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737E7" w14:textId="57955FE0" w:rsidR="00A861A4" w:rsidRDefault="00A861A4" w:rsidP="00A861A4">
      <w:pPr>
        <w:tabs>
          <w:tab w:val="left" w:pos="5608"/>
        </w:tabs>
        <w:spacing w:line="480" w:lineRule="auto"/>
        <w:rPr>
          <w:b/>
          <w:lang w:val="en-CA"/>
        </w:rPr>
      </w:pPr>
      <w:proofErr w:type="gramStart"/>
      <w:r>
        <w:rPr>
          <w:b/>
          <w:lang w:val="en-CA"/>
        </w:rPr>
        <w:t>Appendix</w:t>
      </w:r>
      <w:r w:rsidR="00244A74">
        <w:rPr>
          <w:b/>
          <w:lang w:val="en-CA"/>
        </w:rPr>
        <w:t xml:space="preserve"> 1</w:t>
      </w:r>
      <w:r>
        <w:rPr>
          <w:b/>
          <w:lang w:val="en-CA"/>
        </w:rPr>
        <w:t>.</w:t>
      </w:r>
      <w:proofErr w:type="gramEnd"/>
      <w:r>
        <w:rPr>
          <w:b/>
          <w:lang w:val="en-CA"/>
        </w:rPr>
        <w:t xml:space="preserve"> </w:t>
      </w:r>
      <w:r w:rsidRPr="007F1405">
        <w:rPr>
          <w:b/>
          <w:i/>
          <w:lang w:val="en-CA"/>
        </w:rPr>
        <w:t>C</w:t>
      </w:r>
      <w:r>
        <w:rPr>
          <w:b/>
          <w:i/>
          <w:lang w:val="en-CA"/>
        </w:rPr>
        <w:t>lostridium</w:t>
      </w:r>
      <w:r w:rsidRPr="007F1405">
        <w:rPr>
          <w:b/>
          <w:i/>
          <w:lang w:val="en-CA"/>
        </w:rPr>
        <w:t xml:space="preserve"> </w:t>
      </w:r>
      <w:proofErr w:type="spellStart"/>
      <w:r w:rsidRPr="007F1405">
        <w:rPr>
          <w:b/>
          <w:i/>
          <w:lang w:val="en-CA"/>
        </w:rPr>
        <w:t>difficile</w:t>
      </w:r>
      <w:proofErr w:type="spellEnd"/>
      <w:r>
        <w:rPr>
          <w:b/>
          <w:lang w:val="en-CA"/>
        </w:rPr>
        <w:t xml:space="preserve"> </w:t>
      </w:r>
      <w:proofErr w:type="spellStart"/>
      <w:r>
        <w:rPr>
          <w:b/>
          <w:lang w:val="en-CA"/>
        </w:rPr>
        <w:t>Ribotyping</w:t>
      </w:r>
      <w:proofErr w:type="spellEnd"/>
      <w:r>
        <w:rPr>
          <w:b/>
          <w:lang w:val="en-CA"/>
        </w:rPr>
        <w:t xml:space="preserve"> Methods</w:t>
      </w:r>
      <w:r>
        <w:rPr>
          <w:b/>
          <w:lang w:val="en-CA"/>
        </w:rPr>
        <w:tab/>
      </w:r>
    </w:p>
    <w:p w14:paraId="0CF8547D" w14:textId="77777777" w:rsidR="00A861A4" w:rsidRDefault="00A861A4" w:rsidP="00A861A4">
      <w:pPr>
        <w:tabs>
          <w:tab w:val="left" w:pos="3840"/>
        </w:tabs>
        <w:spacing w:line="480" w:lineRule="auto"/>
      </w:pPr>
      <w:proofErr w:type="spellStart"/>
      <w:r>
        <w:t>Ribotyping</w:t>
      </w:r>
      <w:proofErr w:type="spellEnd"/>
      <w:r>
        <w:t xml:space="preserve"> was performed on all isolates positive by enrichment culture.  From Banana broth, cultures were streaked for single colonies onto </w:t>
      </w:r>
      <w:proofErr w:type="spellStart"/>
      <w:r>
        <w:t>Brusporea</w:t>
      </w:r>
      <w:proofErr w:type="spellEnd"/>
      <w:r>
        <w:t xml:space="preserve"> supplemented agar and grown anaerobically for 7-10 days at 37</w:t>
      </w:r>
      <w:r>
        <w:rPr>
          <w:rFonts w:cstheme="minorHAnsi"/>
        </w:rPr>
        <w:t>ᵒ</w:t>
      </w:r>
      <w:r>
        <w:t xml:space="preserve">C to generate spore stocks. Eight colonies were selected from each plate and dissolved in 50 </w:t>
      </w:r>
      <w:r>
        <w:rPr>
          <w:rFonts w:cstheme="minorHAnsi"/>
        </w:rPr>
        <w:t>µ</w:t>
      </w:r>
      <w:r>
        <w:t>L of ddH</w:t>
      </w:r>
      <w:r w:rsidRPr="008D4BF6">
        <w:rPr>
          <w:vertAlign w:val="subscript"/>
        </w:rPr>
        <w:t>2</w:t>
      </w:r>
      <w:r>
        <w:t xml:space="preserve">O.  30 </w:t>
      </w:r>
      <w:r>
        <w:rPr>
          <w:rFonts w:cstheme="minorHAnsi"/>
        </w:rPr>
        <w:t>µ</w:t>
      </w:r>
      <w:r>
        <w:t>L of each suspension was heated at 98</w:t>
      </w:r>
      <w:r>
        <w:rPr>
          <w:rFonts w:cstheme="minorHAnsi"/>
        </w:rPr>
        <w:t>ᵒ</w:t>
      </w:r>
      <w:r>
        <w:t xml:space="preserve">C for 10 min to extract DNA, vortexed at </w:t>
      </w:r>
      <w:r w:rsidRPr="00CC4B79">
        <w:t>1,500 rpm</w:t>
      </w:r>
      <w:r>
        <w:t xml:space="preserve"> for 5 min, and then centrifuged for 10 min at 4,300 rpm to remove debris.  The </w:t>
      </w:r>
      <w:proofErr w:type="spellStart"/>
      <w:r>
        <w:t>ribotyping</w:t>
      </w:r>
      <w:proofErr w:type="spellEnd"/>
      <w:r>
        <w:t xml:space="preserve"> primers used in this study have been described previously and consisted of a 5</w:t>
      </w:r>
      <w:r>
        <w:rPr>
          <w:rFonts w:cstheme="minorHAnsi"/>
        </w:rPr>
        <w:t>´</w:t>
      </w:r>
      <w:r>
        <w:t>-FAM-labeled 16S primer.</w:t>
      </w:r>
      <w:r>
        <w:fldChar w:fldCharType="begin"/>
      </w:r>
      <w:r>
        <w:instrText xml:space="preserve"> ADDIN ZOTERO_ITEM CSL_CITATION {"citationID":"29mr1ulj6n","properties":{"formattedCitation":"{\\rtf \\super 1\\nosupersub{}}","plainCitation":"1"},"citationItems":[{"id":3650,"uris":["http://zotero.org/users/274931/items/6ZFIPT56"],"uri":["http://zotero.org/users/274931/items/6ZFIPT56"],"itemData":{"id":3650,"type":"article-journal","title":"Development of a new PCR-ribotyping method for Clostridium difficile based on ribosomal RNA gene sequencing","container-title":"FEMS microbiology letters","page":"261-266","volume":"175","issue":"2","source":"PubMed","abstract":"PCR-ribotying, a typing method based on polymorphism in the 16S-23S intergenic spacer region, has been recently used to investigate outbreaks due to Clostridium difficile. However, this method generates bands of high and close molecular masses which are difficult to separate on agarose gel electrophoresis. To improve reading of banding patterns of PCR-ribotyping applied to C. difficile, a partial sequencing of the rRNA genes (16S and 23S) and intergenic spacer region has been performed, then a new set of primers located closer to the intergenic spacer region has been defined. The new PCR gave reproducible patterns of bands easy to separate on agarose gel electrophoresis. Each of the 10 serogroups and 11 subgroups of serogroup A produced a different pattern. This typing method has evidenced major qualities such as easiness, rapidity and reproducibility. However, its discriminatory power has to be evaluated to validate its importance as a typing tool for C. difficile.","ISSN":"0378-1097","note":"PMID: 10386377","journalAbbreviation":"FEMS Microbiol. Lett.","language":"eng","author":[{"family":"Bidet","given":"P."},{"family":"Barbut","given":"F."},{"family":"Lalande","given":"V."},{"family":"Burghoffer","given":"B."},{"family":"Petit","given":"J. C."}],"issued":{"date-parts":[["1999",6,15]]}}}],"schema":"https://github.com/citation-style-language/schema/raw/master/csl-citation.json"} </w:instrText>
      </w:r>
      <w:r>
        <w:fldChar w:fldCharType="separate"/>
      </w:r>
      <w:r w:rsidRPr="00A861A4">
        <w:rPr>
          <w:rFonts w:ascii="Calibri" w:eastAsia="Times New Roman" w:hAnsi="Calibri" w:cs="Times New Roman"/>
          <w:vertAlign w:val="superscript"/>
        </w:rPr>
        <w:t>1</w:t>
      </w:r>
      <w:r>
        <w:fldChar w:fldCharType="end"/>
      </w:r>
      <w:r>
        <w:t xml:space="preserve"> </w:t>
      </w:r>
      <w:proofErr w:type="spellStart"/>
      <w:r>
        <w:t>Ribotyping</w:t>
      </w:r>
      <w:proofErr w:type="spellEnd"/>
      <w:r>
        <w:t xml:space="preserve"> reactions (12 </w:t>
      </w:r>
      <w:r>
        <w:rPr>
          <w:rFonts w:cstheme="minorHAnsi"/>
        </w:rPr>
        <w:t>µ</w:t>
      </w:r>
      <w:r>
        <w:t xml:space="preserve">L) consisting of 2 </w:t>
      </w:r>
      <w:r>
        <w:rPr>
          <w:rFonts w:cstheme="minorHAnsi"/>
        </w:rPr>
        <w:t>µ</w:t>
      </w:r>
      <w:r>
        <w:t xml:space="preserve">L of DNA, 6 </w:t>
      </w:r>
      <w:r>
        <w:rPr>
          <w:rFonts w:cstheme="minorHAnsi"/>
        </w:rPr>
        <w:t>µ</w:t>
      </w:r>
      <w:r>
        <w:t>L Type-it Microsatellite PCR Master Mix (</w:t>
      </w:r>
      <w:proofErr w:type="spellStart"/>
      <w:r>
        <w:t>Qiagen</w:t>
      </w:r>
      <w:proofErr w:type="spellEnd"/>
      <w:r>
        <w:t xml:space="preserve">), 1 </w:t>
      </w:r>
      <w:r>
        <w:rPr>
          <w:rFonts w:cstheme="minorHAnsi"/>
        </w:rPr>
        <w:t>µ</w:t>
      </w:r>
      <w:r>
        <w:t xml:space="preserve">L primer mix (10 </w:t>
      </w:r>
      <w:proofErr w:type="spellStart"/>
      <w:r>
        <w:t>pmol</w:t>
      </w:r>
      <w:proofErr w:type="spellEnd"/>
      <w:r>
        <w:t>/</w:t>
      </w:r>
      <w:r>
        <w:rPr>
          <w:rFonts w:cstheme="minorHAnsi"/>
        </w:rPr>
        <w:t>µ</w:t>
      </w:r>
      <w:r>
        <w:t xml:space="preserve">L) and 3 </w:t>
      </w:r>
      <w:r>
        <w:rPr>
          <w:rFonts w:cstheme="minorHAnsi"/>
        </w:rPr>
        <w:t>µ</w:t>
      </w:r>
      <w:r>
        <w:t>L ddH</w:t>
      </w:r>
      <w:r w:rsidRPr="00CC4B79">
        <w:rPr>
          <w:vertAlign w:val="subscript"/>
        </w:rPr>
        <w:t>2</w:t>
      </w:r>
      <w:r>
        <w:t>O were amplified by PCR using the thermocycler conditions:  95</w:t>
      </w:r>
      <w:r>
        <w:rPr>
          <w:rFonts w:cstheme="minorHAnsi"/>
        </w:rPr>
        <w:t>ᵒ</w:t>
      </w:r>
      <w:r>
        <w:t>C 5 min, followed by 40 cycles of 95</w:t>
      </w:r>
      <w:r>
        <w:rPr>
          <w:rFonts w:cstheme="minorHAnsi"/>
        </w:rPr>
        <w:t>ᵒ</w:t>
      </w:r>
      <w:r>
        <w:t>C 30 sec, 58</w:t>
      </w:r>
      <w:r>
        <w:rPr>
          <w:rFonts w:cstheme="minorHAnsi"/>
        </w:rPr>
        <w:t>ᵒ</w:t>
      </w:r>
      <w:r>
        <w:t>C 1 min, 72</w:t>
      </w:r>
      <w:r>
        <w:rPr>
          <w:rFonts w:cstheme="minorHAnsi"/>
        </w:rPr>
        <w:t>ᵒ</w:t>
      </w:r>
      <w:r>
        <w:t>C 45 sec, and a final 60</w:t>
      </w:r>
      <w:r>
        <w:rPr>
          <w:rFonts w:cstheme="minorHAnsi"/>
        </w:rPr>
        <w:t>ᵒ</w:t>
      </w:r>
      <w:r>
        <w:t>C 30 min elongation. PCR products were diluted 20-fold in ddH</w:t>
      </w:r>
      <w:r w:rsidRPr="00A64FFD">
        <w:rPr>
          <w:vertAlign w:val="subscript"/>
        </w:rPr>
        <w:t>2</w:t>
      </w:r>
      <w:r>
        <w:t xml:space="preserve">O, then an additional 10-fold in </w:t>
      </w:r>
      <w:proofErr w:type="spellStart"/>
      <w:r>
        <w:t>formamide</w:t>
      </w:r>
      <w:proofErr w:type="spellEnd"/>
      <w:r>
        <w:t xml:space="preserve"> containing </w:t>
      </w:r>
      <w:proofErr w:type="spellStart"/>
      <w:r>
        <w:t>GeneScan</w:t>
      </w:r>
      <w:proofErr w:type="spellEnd"/>
      <w:r>
        <w:t xml:space="preserve"> 600 Liz Size Standard 2.0 (Applied Biosystems).  Samples were heated at 98</w:t>
      </w:r>
      <w:r>
        <w:rPr>
          <w:rFonts w:cstheme="minorHAnsi"/>
        </w:rPr>
        <w:t>ᵒ</w:t>
      </w:r>
      <w:r>
        <w:t>C for 5 min prior to analysis by capillary gel electrophoresis on an ABI 3130</w:t>
      </w:r>
      <w:r w:rsidRPr="0082233D">
        <w:rPr>
          <w:i/>
        </w:rPr>
        <w:t>xl</w:t>
      </w:r>
      <w:r>
        <w:t xml:space="preserve"> Genetic Analyzer at 60</w:t>
      </w:r>
      <w:r>
        <w:rPr>
          <w:rFonts w:cstheme="minorHAnsi"/>
        </w:rPr>
        <w:t>ᵒ</w:t>
      </w:r>
      <w:r>
        <w:t xml:space="preserve">C with a 50 cm capillary loaded with a POP7 gel (Applied </w:t>
      </w:r>
      <w:proofErr w:type="spellStart"/>
      <w:r>
        <w:t>Biosystems</w:t>
      </w:r>
      <w:proofErr w:type="spellEnd"/>
      <w:r>
        <w:t>).</w:t>
      </w:r>
      <w:r>
        <w:fldChar w:fldCharType="begin"/>
      </w:r>
      <w:r>
        <w:instrText xml:space="preserve"> ADDIN ZOTERO_ITEM CSL_CITATION {"citationID":"2p5tqe9nag","properties":{"formattedCitation":"{\\rtf \\super 2\\nosupersub{}}","plainCitation":"2"},"citationItems":[{"id":3652,"uris":["http://zotero.org/users/274931/items/AZ7TEEVZ"],"uri":["http://zotero.org/users/274931/items/AZ7TEEVZ"],"itemData":{"id":3652,"type":"article-journal","title":"Characterization of Clostridium difficile isolates using capillary gel electrophoresis-based PCR ribotyping","container-title":"Journal of Medical Microbiology","page":"1377-1382","volume":"57","issue":"Pt 11","source":"PubMed","abstract":"We have developed a Clostridium difficile PCR ribotyping method based on capillary gel electrophoresis and have compared it with conventional PCR ribotyping. A total of 146 C. difficile isolates were studied: five isolates were reference strains (PCR ribotypes 001, 014, 017, 027 and 053); 141 were clinical isolates comprising 39 Austrian PCR ribotypes collected in the period 2006-2007 at 25 Austrian healthcare facilities. Capillary gel electrophoresis yielded up to 11 fragments per isolate and 47 ribotype patterns. All but one of the five PCR ribotypes of reference strains were clearly reflected in the chromatograms of capillary-based typing. Capillary gel electrophoresis divided 24 isolates belonging to PCR ribotype type 014 into seven subgroups, whereas subtyping the same isolates using multiple-locus variable-number tandem-repeat analysis yielded three unrelated subgroups, without obvious correlation to sr subgroups. Using a web-based software program (http://webribo.ages.at), we were able to correctly identify these 014 isolates by simply allocating the seven subgroup patterns to one ribotype, i.e. to PCR ribotype 014. We consider capillary gel electrophoresis-based PCR ribotyping to be a way of overcoming the problems associated with inter-laboratory comparisons of typing results, while at the same time substantially diminishing the hands-on time for PCR ribotyping.","DOI":"10.1099/jmm.0.47714-0","ISSN":"0022-2615","note":"PMID: 18927415\nPMCID: PMC2884938","journalAbbreviation":"J. Med. Microbiol.","language":"eng","author":[{"family":"Indra","given":"A."},{"family":"Huhulescu","given":"S."},{"family":"Schneeweis","given":"M."},{"family":"Hasenberger","given":"P."},{"family":"Kernbichler","given":"S."},{"family":"Fiedler","given":"A."},{"family":"Wewalka","given":"G."},{"family":"Allerberger","given":"F."},{"family":"Kuijper","given":"E. J."}],"issued":{"date-parts":[["2008",11]]}}}],"schema":"https://github.com/citation-style-language/schema/raw/master/csl-citation.json"} </w:instrText>
      </w:r>
      <w:r>
        <w:fldChar w:fldCharType="separate"/>
      </w:r>
      <w:r w:rsidRPr="00A861A4">
        <w:rPr>
          <w:rFonts w:ascii="Calibri" w:eastAsia="Times New Roman" w:hAnsi="Calibri" w:cs="Times New Roman"/>
          <w:vertAlign w:val="superscript"/>
        </w:rPr>
        <w:t>2</w:t>
      </w:r>
      <w:r>
        <w:fldChar w:fldCharType="end"/>
      </w:r>
      <w:r>
        <w:t xml:space="preserve">  </w:t>
      </w:r>
      <w:proofErr w:type="spellStart"/>
      <w:r>
        <w:t>Ribotypes</w:t>
      </w:r>
      <w:proofErr w:type="spellEnd"/>
      <w:r>
        <w:t xml:space="preserve"> were identified using WEBRIBO online software (</w:t>
      </w:r>
      <w:r w:rsidRPr="003F6305">
        <w:t>https://webribo.ages.at</w:t>
      </w:r>
      <w:r>
        <w:t xml:space="preserve">/). </w:t>
      </w:r>
    </w:p>
    <w:p w14:paraId="2DCE0266" w14:textId="77777777" w:rsidR="00A861A4" w:rsidRPr="00A861A4" w:rsidRDefault="00A861A4" w:rsidP="00A861A4">
      <w:pPr>
        <w:tabs>
          <w:tab w:val="left" w:pos="3840"/>
        </w:tabs>
        <w:spacing w:line="480" w:lineRule="auto"/>
        <w:rPr>
          <w:b/>
        </w:rPr>
      </w:pPr>
      <w:r w:rsidRPr="00A861A4">
        <w:rPr>
          <w:b/>
        </w:rPr>
        <w:t>References</w:t>
      </w:r>
    </w:p>
    <w:p w14:paraId="533ED0DE" w14:textId="77777777" w:rsidR="00A861A4" w:rsidRPr="00A861A4" w:rsidRDefault="00A861A4" w:rsidP="00A861A4">
      <w:pPr>
        <w:pStyle w:val="Bibliography"/>
        <w:rPr>
          <w:rFonts w:ascii="Calibri"/>
        </w:rPr>
      </w:pPr>
      <w:r>
        <w:fldChar w:fldCharType="begin"/>
      </w:r>
      <w:r>
        <w:instrText xml:space="preserve"> ADDIN ZOTERO_BIBL {"custom":[]} CSL_BIBLIOGRAPHY </w:instrText>
      </w:r>
      <w:r>
        <w:fldChar w:fldCharType="separate"/>
      </w:r>
      <w:r w:rsidRPr="00A861A4">
        <w:rPr>
          <w:rFonts w:ascii="Calibri"/>
        </w:rPr>
        <w:t xml:space="preserve">1. </w:t>
      </w:r>
      <w:r w:rsidRPr="00A861A4">
        <w:rPr>
          <w:rFonts w:ascii="Calibri"/>
        </w:rPr>
        <w:tab/>
        <w:t xml:space="preserve">Bidet P, Barbut F, Lalande V, Burghoffer B, Petit JC. Development of a new PCR-ribotyping method for Clostridium difficile based on ribosomal RNA gene sequencing. </w:t>
      </w:r>
      <w:r w:rsidRPr="00A861A4">
        <w:rPr>
          <w:rFonts w:ascii="Calibri"/>
          <w:i/>
          <w:iCs/>
        </w:rPr>
        <w:t>FEMS Microbiol Lett</w:t>
      </w:r>
      <w:r w:rsidRPr="00A861A4">
        <w:rPr>
          <w:rFonts w:ascii="Calibri"/>
        </w:rPr>
        <w:t>. 1999;175:261-266.</w:t>
      </w:r>
    </w:p>
    <w:p w14:paraId="2BDFB39F" w14:textId="77777777" w:rsidR="00A861A4" w:rsidRPr="00A861A4" w:rsidRDefault="00A861A4" w:rsidP="00A861A4">
      <w:pPr>
        <w:pStyle w:val="Bibliography"/>
        <w:rPr>
          <w:rFonts w:ascii="Calibri"/>
        </w:rPr>
      </w:pPr>
      <w:r w:rsidRPr="00244A74">
        <w:rPr>
          <w:rFonts w:ascii="Calibri"/>
          <w:lang w:val="fr-CA"/>
        </w:rPr>
        <w:t xml:space="preserve">2. </w:t>
      </w:r>
      <w:r w:rsidRPr="00244A74">
        <w:rPr>
          <w:rFonts w:ascii="Calibri"/>
          <w:lang w:val="fr-CA"/>
        </w:rPr>
        <w:tab/>
        <w:t xml:space="preserve">Indra A, </w:t>
      </w:r>
      <w:proofErr w:type="spellStart"/>
      <w:r w:rsidRPr="00244A74">
        <w:rPr>
          <w:rFonts w:ascii="Calibri"/>
          <w:lang w:val="fr-CA"/>
        </w:rPr>
        <w:t>Huhulescu</w:t>
      </w:r>
      <w:proofErr w:type="spellEnd"/>
      <w:r w:rsidRPr="00244A74">
        <w:rPr>
          <w:rFonts w:ascii="Calibri"/>
          <w:lang w:val="fr-CA"/>
        </w:rPr>
        <w:t xml:space="preserve"> S, </w:t>
      </w:r>
      <w:proofErr w:type="spellStart"/>
      <w:r w:rsidRPr="00244A74">
        <w:rPr>
          <w:rFonts w:ascii="Calibri"/>
          <w:lang w:val="fr-CA"/>
        </w:rPr>
        <w:t>Schneeweis</w:t>
      </w:r>
      <w:proofErr w:type="spellEnd"/>
      <w:r w:rsidRPr="00244A74">
        <w:rPr>
          <w:rFonts w:ascii="Calibri"/>
          <w:lang w:val="fr-CA"/>
        </w:rPr>
        <w:t xml:space="preserve"> M, et al. </w:t>
      </w:r>
      <w:r w:rsidRPr="00A861A4">
        <w:rPr>
          <w:rFonts w:ascii="Calibri"/>
        </w:rPr>
        <w:t xml:space="preserve">Characterization of Clostridium </w:t>
      </w:r>
      <w:proofErr w:type="spellStart"/>
      <w:r w:rsidRPr="00A861A4">
        <w:rPr>
          <w:rFonts w:ascii="Calibri"/>
        </w:rPr>
        <w:t>difficile</w:t>
      </w:r>
      <w:proofErr w:type="spellEnd"/>
      <w:r w:rsidRPr="00A861A4">
        <w:rPr>
          <w:rFonts w:ascii="Calibri"/>
        </w:rPr>
        <w:t xml:space="preserve"> isolates using capillary gel electrophoresis-based PCR ribotyping. </w:t>
      </w:r>
      <w:r w:rsidRPr="00A861A4">
        <w:rPr>
          <w:rFonts w:ascii="Calibri"/>
          <w:i/>
          <w:iCs/>
        </w:rPr>
        <w:t>J Med Microbiol</w:t>
      </w:r>
      <w:r w:rsidRPr="00A861A4">
        <w:rPr>
          <w:rFonts w:ascii="Calibri"/>
        </w:rPr>
        <w:t>. 2008;57:1377-1382.</w:t>
      </w:r>
    </w:p>
    <w:p w14:paraId="3FFAAA30" w14:textId="77777777" w:rsidR="00CE66FA" w:rsidRDefault="00A861A4" w:rsidP="00A861A4">
      <w:pPr>
        <w:tabs>
          <w:tab w:val="left" w:pos="3840"/>
        </w:tabs>
        <w:spacing w:line="480" w:lineRule="auto"/>
      </w:pPr>
      <w:r>
        <w:fldChar w:fldCharType="end"/>
      </w:r>
    </w:p>
    <w:p w14:paraId="04BB967B" w14:textId="6385A418" w:rsidR="00244A74" w:rsidRPr="00A53299" w:rsidRDefault="00244A74" w:rsidP="00244A74">
      <w:pPr>
        <w:rPr>
          <w:b/>
          <w:lang w:val="en-CA"/>
        </w:rPr>
      </w:pPr>
      <w:proofErr w:type="gramStart"/>
      <w:r w:rsidRPr="00A53299">
        <w:rPr>
          <w:b/>
          <w:lang w:val="en-CA"/>
        </w:rPr>
        <w:lastRenderedPageBreak/>
        <w:t xml:space="preserve">Appendix </w:t>
      </w:r>
      <w:r w:rsidRPr="00A53299">
        <w:rPr>
          <w:b/>
          <w:lang w:val="en-CA"/>
        </w:rPr>
        <w:t>2.</w:t>
      </w:r>
      <w:proofErr w:type="gramEnd"/>
      <w:r w:rsidRPr="00A53299">
        <w:rPr>
          <w:b/>
          <w:lang w:val="en-CA"/>
        </w:rPr>
        <w:t xml:space="preserve"> </w:t>
      </w:r>
      <w:r w:rsidRPr="00A53299">
        <w:rPr>
          <w:b/>
        </w:rPr>
        <w:t xml:space="preserve">Estimated environmental sample </w:t>
      </w:r>
      <w:r w:rsidRPr="00A53299">
        <w:rPr>
          <w:b/>
          <w:i/>
        </w:rPr>
        <w:t xml:space="preserve">C. </w:t>
      </w:r>
      <w:proofErr w:type="spellStart"/>
      <w:r w:rsidRPr="00A53299">
        <w:rPr>
          <w:b/>
          <w:i/>
        </w:rPr>
        <w:t>difficile</w:t>
      </w:r>
      <w:proofErr w:type="spellEnd"/>
      <w:r w:rsidRPr="00A53299">
        <w:rPr>
          <w:b/>
        </w:rPr>
        <w:t xml:space="preserve"> positivity and quantity based on quantitative PCR (16s target and Toxin B target) and enrichment culture from environmental samples collected at a tertiary hospital</w:t>
      </w:r>
    </w:p>
    <w:p w14:paraId="2B88AE19" w14:textId="77777777" w:rsidR="00244A74" w:rsidRDefault="00244A74" w:rsidP="00244A74">
      <w:pPr>
        <w:rPr>
          <w:lang w:val="en-CA"/>
        </w:rPr>
      </w:pPr>
    </w:p>
    <w:tbl>
      <w:tblPr>
        <w:tblStyle w:val="TableGrid"/>
        <w:tblW w:w="97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760"/>
        <w:gridCol w:w="1491"/>
        <w:gridCol w:w="1491"/>
        <w:gridCol w:w="1496"/>
        <w:gridCol w:w="1183"/>
        <w:gridCol w:w="1191"/>
      </w:tblGrid>
      <w:tr w:rsidR="00244A74" w:rsidRPr="001058C2" w14:paraId="44759B77" w14:textId="77777777" w:rsidTr="002878DB">
        <w:trPr>
          <w:trHeight w:val="463"/>
        </w:trPr>
        <w:tc>
          <w:tcPr>
            <w:tcW w:w="2113" w:type="dxa"/>
            <w:tcBorders>
              <w:bottom w:val="nil"/>
            </w:tcBorders>
            <w:vAlign w:val="center"/>
          </w:tcPr>
          <w:p w14:paraId="358BBE83" w14:textId="77777777" w:rsidR="00244A74" w:rsidRPr="001058C2" w:rsidRDefault="00244A74" w:rsidP="002878DB">
            <w:pPr>
              <w:jc w:val="center"/>
              <w:rPr>
                <w:rFonts w:cstheme="minorHAnsi"/>
                <w:sz w:val="20"/>
                <w:szCs w:val="20"/>
              </w:rPr>
            </w:pPr>
          </w:p>
        </w:tc>
        <w:tc>
          <w:tcPr>
            <w:tcW w:w="760" w:type="dxa"/>
            <w:tcBorders>
              <w:bottom w:val="nil"/>
            </w:tcBorders>
            <w:vAlign w:val="center"/>
          </w:tcPr>
          <w:p w14:paraId="4D1881BA" w14:textId="77777777" w:rsidR="00244A74" w:rsidRPr="001058C2" w:rsidRDefault="00244A74" w:rsidP="002878DB">
            <w:pPr>
              <w:jc w:val="center"/>
              <w:rPr>
                <w:rFonts w:cstheme="minorHAnsi"/>
                <w:sz w:val="20"/>
                <w:szCs w:val="20"/>
              </w:rPr>
            </w:pPr>
          </w:p>
        </w:tc>
        <w:tc>
          <w:tcPr>
            <w:tcW w:w="4478" w:type="dxa"/>
            <w:gridSpan w:val="3"/>
            <w:tcBorders>
              <w:bottom w:val="nil"/>
            </w:tcBorders>
            <w:vAlign w:val="center"/>
          </w:tcPr>
          <w:p w14:paraId="4035AA1E"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 xml:space="preserve">Positivity </w:t>
            </w:r>
          </w:p>
          <w:p w14:paraId="65CC09CD"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(N, %)</w:t>
            </w:r>
          </w:p>
        </w:tc>
        <w:tc>
          <w:tcPr>
            <w:tcW w:w="2374" w:type="dxa"/>
            <w:gridSpan w:val="2"/>
            <w:tcBorders>
              <w:bottom w:val="nil"/>
            </w:tcBorders>
            <w:vAlign w:val="center"/>
          </w:tcPr>
          <w:p w14:paraId="5FA0F38F"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 xml:space="preserve">Estimated spore count </w:t>
            </w:r>
          </w:p>
          <w:p w14:paraId="3CAC98FB"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(geometric mean)</w:t>
            </w:r>
          </w:p>
        </w:tc>
      </w:tr>
      <w:tr w:rsidR="00244A74" w:rsidRPr="001058C2" w14:paraId="2DD1096A" w14:textId="77777777" w:rsidTr="002878DB">
        <w:trPr>
          <w:trHeight w:val="463"/>
        </w:trPr>
        <w:tc>
          <w:tcPr>
            <w:tcW w:w="2113" w:type="dxa"/>
            <w:tcBorders>
              <w:top w:val="nil"/>
              <w:bottom w:val="single" w:sz="4" w:space="0" w:color="auto"/>
            </w:tcBorders>
            <w:vAlign w:val="center"/>
          </w:tcPr>
          <w:p w14:paraId="6EDA0C9A" w14:textId="77777777" w:rsidR="00244A74" w:rsidRPr="001058C2" w:rsidRDefault="00244A74" w:rsidP="002878DB">
            <w:pPr>
              <w:jc w:val="center"/>
              <w:rPr>
                <w:rFonts w:cstheme="minorHAnsi"/>
                <w:sz w:val="20"/>
                <w:szCs w:val="20"/>
                <w:lang w:val="en-CA"/>
              </w:rPr>
            </w:pPr>
          </w:p>
        </w:tc>
        <w:tc>
          <w:tcPr>
            <w:tcW w:w="760" w:type="dxa"/>
            <w:tcBorders>
              <w:top w:val="nil"/>
              <w:bottom w:val="single" w:sz="4" w:space="0" w:color="auto"/>
            </w:tcBorders>
            <w:vAlign w:val="center"/>
          </w:tcPr>
          <w:p w14:paraId="3E22711F"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N</w:t>
            </w:r>
          </w:p>
        </w:tc>
        <w:tc>
          <w:tcPr>
            <w:tcW w:w="1491" w:type="dxa"/>
            <w:tcBorders>
              <w:top w:val="nil"/>
              <w:bottom w:val="single" w:sz="4" w:space="0" w:color="auto"/>
            </w:tcBorders>
            <w:vAlign w:val="center"/>
          </w:tcPr>
          <w:p w14:paraId="4A5A91CC"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 xml:space="preserve">16s </w:t>
            </w:r>
          </w:p>
          <w:p w14:paraId="0F98094B" w14:textId="77777777" w:rsidR="00244A74" w:rsidRPr="001058C2" w:rsidRDefault="00244A74" w:rsidP="002878DB">
            <w:pPr>
              <w:jc w:val="center"/>
              <w:rPr>
                <w:rFonts w:cstheme="minorHAnsi"/>
                <w:sz w:val="20"/>
                <w:szCs w:val="20"/>
                <w:lang w:val="en-CA"/>
              </w:rPr>
            </w:pPr>
            <w:proofErr w:type="spellStart"/>
            <w:r w:rsidRPr="001058C2">
              <w:rPr>
                <w:rFonts w:cstheme="minorHAnsi"/>
                <w:sz w:val="20"/>
                <w:szCs w:val="20"/>
                <w:lang w:val="en-CA"/>
              </w:rPr>
              <w:t>qPCR</w:t>
            </w:r>
            <w:proofErr w:type="spellEnd"/>
            <w:r w:rsidRPr="001058C2">
              <w:rPr>
                <w:rFonts w:cstheme="minorHAnsi"/>
                <w:sz w:val="20"/>
                <w:szCs w:val="20"/>
                <w:lang w:val="en-CA"/>
              </w:rPr>
              <w:t xml:space="preserve"> </w:t>
            </w:r>
          </w:p>
        </w:tc>
        <w:tc>
          <w:tcPr>
            <w:tcW w:w="1491" w:type="dxa"/>
            <w:tcBorders>
              <w:top w:val="nil"/>
              <w:bottom w:val="single" w:sz="4" w:space="0" w:color="auto"/>
            </w:tcBorders>
            <w:vAlign w:val="center"/>
          </w:tcPr>
          <w:p w14:paraId="56A92EFA"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 xml:space="preserve">Toxin B </w:t>
            </w:r>
          </w:p>
          <w:p w14:paraId="337C1785" w14:textId="77777777" w:rsidR="00244A74" w:rsidRPr="001058C2" w:rsidRDefault="00244A74" w:rsidP="002878DB">
            <w:pPr>
              <w:jc w:val="center"/>
              <w:rPr>
                <w:rFonts w:cstheme="minorHAnsi"/>
                <w:sz w:val="20"/>
                <w:szCs w:val="20"/>
                <w:lang w:val="en-CA"/>
              </w:rPr>
            </w:pPr>
            <w:proofErr w:type="spellStart"/>
            <w:r w:rsidRPr="001058C2">
              <w:rPr>
                <w:rFonts w:cstheme="minorHAnsi"/>
                <w:sz w:val="20"/>
                <w:szCs w:val="20"/>
                <w:lang w:val="en-CA"/>
              </w:rPr>
              <w:t>qPCR</w:t>
            </w:r>
            <w:proofErr w:type="spellEnd"/>
            <w:r w:rsidRPr="001058C2">
              <w:rPr>
                <w:rFonts w:cstheme="minorHAnsi"/>
                <w:sz w:val="20"/>
                <w:szCs w:val="20"/>
                <w:lang w:val="en-CA"/>
              </w:rPr>
              <w:t xml:space="preserve"> </w:t>
            </w:r>
          </w:p>
        </w:tc>
        <w:tc>
          <w:tcPr>
            <w:tcW w:w="1496" w:type="dxa"/>
            <w:tcBorders>
              <w:top w:val="nil"/>
              <w:bottom w:val="single" w:sz="4" w:space="0" w:color="auto"/>
            </w:tcBorders>
            <w:vAlign w:val="center"/>
          </w:tcPr>
          <w:p w14:paraId="3A9F15F8"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Enrichment culture</w:t>
            </w:r>
          </w:p>
        </w:tc>
        <w:tc>
          <w:tcPr>
            <w:tcW w:w="1183" w:type="dxa"/>
            <w:tcBorders>
              <w:top w:val="nil"/>
              <w:bottom w:val="single" w:sz="4" w:space="0" w:color="auto"/>
            </w:tcBorders>
            <w:vAlign w:val="center"/>
          </w:tcPr>
          <w:p w14:paraId="041A9DF8"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 xml:space="preserve">16s </w:t>
            </w:r>
          </w:p>
          <w:p w14:paraId="0C2AE287" w14:textId="77777777" w:rsidR="00244A74" w:rsidRPr="001058C2" w:rsidRDefault="00244A74" w:rsidP="002878DB">
            <w:pPr>
              <w:jc w:val="center"/>
              <w:rPr>
                <w:rFonts w:cstheme="minorHAnsi"/>
                <w:sz w:val="20"/>
                <w:szCs w:val="20"/>
                <w:lang w:val="en-CA"/>
              </w:rPr>
            </w:pPr>
            <w:proofErr w:type="spellStart"/>
            <w:r w:rsidRPr="001058C2">
              <w:rPr>
                <w:rFonts w:cstheme="minorHAnsi"/>
                <w:sz w:val="20"/>
                <w:szCs w:val="20"/>
                <w:lang w:val="en-CA"/>
              </w:rPr>
              <w:t>qPCR</w:t>
            </w:r>
            <w:proofErr w:type="spellEnd"/>
            <w:r w:rsidRPr="001058C2">
              <w:rPr>
                <w:rFonts w:cstheme="minorHAnsi"/>
                <w:sz w:val="20"/>
                <w:szCs w:val="20"/>
                <w:lang w:val="en-CA"/>
              </w:rPr>
              <w:t xml:space="preserve"> </w:t>
            </w:r>
          </w:p>
        </w:tc>
        <w:tc>
          <w:tcPr>
            <w:tcW w:w="1191" w:type="dxa"/>
            <w:tcBorders>
              <w:top w:val="nil"/>
              <w:bottom w:val="single" w:sz="4" w:space="0" w:color="auto"/>
            </w:tcBorders>
            <w:vAlign w:val="center"/>
          </w:tcPr>
          <w:p w14:paraId="644107B1"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 xml:space="preserve">Toxin B </w:t>
            </w:r>
            <w:proofErr w:type="spellStart"/>
            <w:r w:rsidRPr="001058C2">
              <w:rPr>
                <w:rFonts w:cstheme="minorHAnsi"/>
                <w:sz w:val="20"/>
                <w:szCs w:val="20"/>
                <w:lang w:val="en-CA"/>
              </w:rPr>
              <w:t>qPCR</w:t>
            </w:r>
            <w:proofErr w:type="spellEnd"/>
            <w:r w:rsidRPr="001058C2">
              <w:rPr>
                <w:rFonts w:cstheme="minorHAnsi"/>
                <w:sz w:val="20"/>
                <w:szCs w:val="20"/>
                <w:lang w:val="en-CA"/>
              </w:rPr>
              <w:t xml:space="preserve"> </w:t>
            </w:r>
          </w:p>
        </w:tc>
      </w:tr>
      <w:tr w:rsidR="00244A74" w:rsidRPr="001058C2" w14:paraId="12F68C56" w14:textId="77777777" w:rsidTr="002878DB">
        <w:trPr>
          <w:trHeight w:val="215"/>
        </w:trPr>
        <w:tc>
          <w:tcPr>
            <w:tcW w:w="2113" w:type="dxa"/>
            <w:tcBorders>
              <w:top w:val="single" w:sz="4" w:space="0" w:color="auto"/>
            </w:tcBorders>
            <w:vAlign w:val="center"/>
          </w:tcPr>
          <w:p w14:paraId="4762E181" w14:textId="77777777" w:rsidR="00244A74" w:rsidRPr="001058C2" w:rsidRDefault="00244A74" w:rsidP="002878DB">
            <w:pPr>
              <w:rPr>
                <w:rFonts w:cstheme="minorHAnsi"/>
                <w:sz w:val="20"/>
                <w:szCs w:val="20"/>
                <w:lang w:val="en-CA"/>
              </w:rPr>
            </w:pPr>
            <w:r w:rsidRPr="001058C2">
              <w:rPr>
                <w:rFonts w:cstheme="minorHAnsi"/>
                <w:sz w:val="20"/>
                <w:szCs w:val="20"/>
                <w:lang w:val="en-CA"/>
              </w:rPr>
              <w:t>Total</w:t>
            </w:r>
          </w:p>
        </w:tc>
        <w:tc>
          <w:tcPr>
            <w:tcW w:w="760" w:type="dxa"/>
            <w:tcBorders>
              <w:top w:val="single" w:sz="4" w:space="0" w:color="auto"/>
            </w:tcBorders>
            <w:vAlign w:val="center"/>
          </w:tcPr>
          <w:p w14:paraId="3771DBF8"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48</w:t>
            </w:r>
          </w:p>
        </w:tc>
        <w:tc>
          <w:tcPr>
            <w:tcW w:w="1491" w:type="dxa"/>
            <w:tcBorders>
              <w:top w:val="single" w:sz="4" w:space="0" w:color="auto"/>
            </w:tcBorders>
            <w:vAlign w:val="center"/>
          </w:tcPr>
          <w:p w14:paraId="26108539"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31 (64.6)</w:t>
            </w:r>
          </w:p>
        </w:tc>
        <w:tc>
          <w:tcPr>
            <w:tcW w:w="1491" w:type="dxa"/>
            <w:tcBorders>
              <w:top w:val="single" w:sz="4" w:space="0" w:color="auto"/>
            </w:tcBorders>
            <w:vAlign w:val="center"/>
          </w:tcPr>
          <w:p w14:paraId="62D3A429"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19 (39.6)</w:t>
            </w:r>
          </w:p>
        </w:tc>
        <w:tc>
          <w:tcPr>
            <w:tcW w:w="1496" w:type="dxa"/>
            <w:tcBorders>
              <w:top w:val="single" w:sz="4" w:space="0" w:color="auto"/>
            </w:tcBorders>
            <w:vAlign w:val="center"/>
          </w:tcPr>
          <w:p w14:paraId="6C4DAB88"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21 (43.8)</w:t>
            </w:r>
          </w:p>
        </w:tc>
        <w:tc>
          <w:tcPr>
            <w:tcW w:w="1183" w:type="dxa"/>
            <w:tcBorders>
              <w:top w:val="single" w:sz="4" w:space="0" w:color="auto"/>
            </w:tcBorders>
            <w:vAlign w:val="center"/>
          </w:tcPr>
          <w:p w14:paraId="7ABA7D29"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13.8</w:t>
            </w:r>
          </w:p>
        </w:tc>
        <w:tc>
          <w:tcPr>
            <w:tcW w:w="1191" w:type="dxa"/>
            <w:tcBorders>
              <w:top w:val="single" w:sz="4" w:space="0" w:color="auto"/>
            </w:tcBorders>
            <w:vAlign w:val="center"/>
          </w:tcPr>
          <w:p w14:paraId="5F60785E" w14:textId="77777777" w:rsidR="00244A74" w:rsidRPr="001058C2" w:rsidRDefault="00244A74" w:rsidP="002878DB">
            <w:pPr>
              <w:jc w:val="center"/>
              <w:rPr>
                <w:rFonts w:cstheme="minorHAnsi"/>
                <w:sz w:val="20"/>
                <w:szCs w:val="20"/>
                <w:lang w:val="en-CA"/>
              </w:rPr>
            </w:pPr>
            <w:r w:rsidRPr="001058C2">
              <w:rPr>
                <w:rFonts w:cstheme="minorHAnsi"/>
                <w:sz w:val="20"/>
                <w:szCs w:val="20"/>
                <w:lang w:val="en-CA"/>
              </w:rPr>
              <w:t>1.9</w:t>
            </w:r>
          </w:p>
        </w:tc>
      </w:tr>
      <w:tr w:rsidR="00244A74" w:rsidRPr="001058C2" w14:paraId="4E75B55E" w14:textId="77777777" w:rsidTr="002878DB">
        <w:trPr>
          <w:trHeight w:val="215"/>
        </w:trPr>
        <w:tc>
          <w:tcPr>
            <w:tcW w:w="2113" w:type="dxa"/>
            <w:vAlign w:val="center"/>
          </w:tcPr>
          <w:p w14:paraId="17727F15" w14:textId="77777777" w:rsidR="00244A74" w:rsidRPr="001058C2" w:rsidRDefault="00244A74" w:rsidP="002878DB">
            <w:pPr>
              <w:rPr>
                <w:rFonts w:cstheme="minorHAnsi"/>
                <w:sz w:val="20"/>
                <w:szCs w:val="20"/>
                <w:lang w:val="en-CA"/>
              </w:rPr>
            </w:pPr>
          </w:p>
        </w:tc>
        <w:tc>
          <w:tcPr>
            <w:tcW w:w="760" w:type="dxa"/>
            <w:vAlign w:val="center"/>
          </w:tcPr>
          <w:p w14:paraId="1E82192E" w14:textId="77777777" w:rsidR="00244A74" w:rsidRPr="001058C2" w:rsidRDefault="00244A74" w:rsidP="002878DB">
            <w:pPr>
              <w:jc w:val="center"/>
              <w:rPr>
                <w:rFonts w:cstheme="minorHAnsi"/>
                <w:sz w:val="20"/>
                <w:szCs w:val="20"/>
                <w:lang w:val="en-CA"/>
              </w:rPr>
            </w:pPr>
          </w:p>
        </w:tc>
        <w:tc>
          <w:tcPr>
            <w:tcW w:w="1491" w:type="dxa"/>
            <w:vAlign w:val="center"/>
          </w:tcPr>
          <w:p w14:paraId="000CB74E" w14:textId="77777777" w:rsidR="00244A74" w:rsidRPr="001058C2" w:rsidRDefault="00244A74" w:rsidP="002878DB">
            <w:pPr>
              <w:jc w:val="center"/>
              <w:rPr>
                <w:rFonts w:cstheme="minorHAnsi"/>
                <w:sz w:val="20"/>
                <w:szCs w:val="20"/>
                <w:lang w:val="en-CA"/>
              </w:rPr>
            </w:pPr>
          </w:p>
        </w:tc>
        <w:tc>
          <w:tcPr>
            <w:tcW w:w="1491" w:type="dxa"/>
            <w:vAlign w:val="center"/>
          </w:tcPr>
          <w:p w14:paraId="02E0EAA8" w14:textId="77777777" w:rsidR="00244A74" w:rsidRPr="001058C2" w:rsidRDefault="00244A74" w:rsidP="002878DB">
            <w:pPr>
              <w:jc w:val="center"/>
              <w:rPr>
                <w:rFonts w:cstheme="minorHAnsi"/>
                <w:sz w:val="20"/>
                <w:szCs w:val="20"/>
                <w:lang w:val="en-CA"/>
              </w:rPr>
            </w:pPr>
          </w:p>
        </w:tc>
        <w:tc>
          <w:tcPr>
            <w:tcW w:w="1496" w:type="dxa"/>
            <w:vAlign w:val="center"/>
          </w:tcPr>
          <w:p w14:paraId="0996CECE" w14:textId="77777777" w:rsidR="00244A74" w:rsidRPr="001058C2" w:rsidRDefault="00244A74" w:rsidP="002878DB">
            <w:pPr>
              <w:jc w:val="center"/>
              <w:rPr>
                <w:rFonts w:cstheme="minorHAnsi"/>
                <w:sz w:val="20"/>
                <w:szCs w:val="20"/>
                <w:lang w:val="en-CA"/>
              </w:rPr>
            </w:pPr>
          </w:p>
        </w:tc>
        <w:tc>
          <w:tcPr>
            <w:tcW w:w="1183" w:type="dxa"/>
            <w:vAlign w:val="center"/>
          </w:tcPr>
          <w:p w14:paraId="79887690" w14:textId="77777777" w:rsidR="00244A74" w:rsidRPr="001058C2" w:rsidRDefault="00244A74" w:rsidP="002878DB">
            <w:pPr>
              <w:jc w:val="center"/>
              <w:rPr>
                <w:rFonts w:cstheme="minorHAnsi"/>
                <w:sz w:val="20"/>
                <w:szCs w:val="20"/>
                <w:lang w:val="en-CA"/>
              </w:rPr>
            </w:pPr>
          </w:p>
        </w:tc>
        <w:tc>
          <w:tcPr>
            <w:tcW w:w="1191" w:type="dxa"/>
            <w:vAlign w:val="center"/>
          </w:tcPr>
          <w:p w14:paraId="03397622" w14:textId="77777777" w:rsidR="00244A74" w:rsidRPr="001058C2" w:rsidRDefault="00244A74" w:rsidP="002878DB">
            <w:pPr>
              <w:jc w:val="center"/>
              <w:rPr>
                <w:rFonts w:cstheme="minorHAnsi"/>
                <w:sz w:val="20"/>
                <w:szCs w:val="20"/>
                <w:lang w:val="en-CA"/>
              </w:rPr>
            </w:pPr>
          </w:p>
        </w:tc>
      </w:tr>
      <w:tr w:rsidR="00244A74" w:rsidRPr="001058C2" w14:paraId="0C6EF669" w14:textId="77777777" w:rsidTr="002878DB">
        <w:trPr>
          <w:trHeight w:val="215"/>
        </w:trPr>
        <w:tc>
          <w:tcPr>
            <w:tcW w:w="2113" w:type="dxa"/>
            <w:vAlign w:val="center"/>
          </w:tcPr>
          <w:p w14:paraId="14BBA7C7" w14:textId="77777777" w:rsidR="00244A74" w:rsidRPr="001058C2" w:rsidRDefault="00244A74" w:rsidP="002878DB">
            <w:pPr>
              <w:rPr>
                <w:rFonts w:cstheme="minorHAnsi"/>
                <w:sz w:val="20"/>
                <w:szCs w:val="20"/>
                <w:lang w:val="en-CA"/>
              </w:rPr>
            </w:pPr>
            <w:r w:rsidRPr="001058C2">
              <w:rPr>
                <w:rFonts w:cstheme="minorHAnsi"/>
                <w:sz w:val="20"/>
                <w:szCs w:val="20"/>
                <w:lang w:val="en-CA"/>
              </w:rPr>
              <w:t>Room risk of contamination*</w:t>
            </w:r>
          </w:p>
        </w:tc>
        <w:tc>
          <w:tcPr>
            <w:tcW w:w="760" w:type="dxa"/>
            <w:vAlign w:val="center"/>
          </w:tcPr>
          <w:p w14:paraId="7E20327D" w14:textId="77777777" w:rsidR="00244A74" w:rsidRPr="001058C2" w:rsidRDefault="00244A74" w:rsidP="002878DB">
            <w:pPr>
              <w:jc w:val="center"/>
              <w:rPr>
                <w:rFonts w:cstheme="minorHAnsi"/>
                <w:sz w:val="20"/>
                <w:szCs w:val="20"/>
                <w:lang w:val="en-CA"/>
              </w:rPr>
            </w:pPr>
          </w:p>
        </w:tc>
        <w:tc>
          <w:tcPr>
            <w:tcW w:w="1491" w:type="dxa"/>
            <w:vAlign w:val="center"/>
          </w:tcPr>
          <w:p w14:paraId="343DE444" w14:textId="77777777" w:rsidR="00244A74" w:rsidRPr="001058C2" w:rsidRDefault="00244A74" w:rsidP="002878DB">
            <w:pPr>
              <w:jc w:val="center"/>
              <w:rPr>
                <w:rFonts w:cstheme="minorHAnsi"/>
                <w:sz w:val="20"/>
                <w:szCs w:val="20"/>
                <w:lang w:val="en-CA"/>
              </w:rPr>
            </w:pPr>
          </w:p>
        </w:tc>
        <w:tc>
          <w:tcPr>
            <w:tcW w:w="1491" w:type="dxa"/>
            <w:vAlign w:val="center"/>
          </w:tcPr>
          <w:p w14:paraId="456ACC1C" w14:textId="77777777" w:rsidR="00244A74" w:rsidRPr="001058C2" w:rsidRDefault="00244A74" w:rsidP="002878DB">
            <w:pPr>
              <w:jc w:val="center"/>
              <w:rPr>
                <w:rFonts w:cstheme="minorHAnsi"/>
                <w:sz w:val="20"/>
                <w:szCs w:val="20"/>
                <w:lang w:val="en-CA"/>
              </w:rPr>
            </w:pPr>
          </w:p>
        </w:tc>
        <w:tc>
          <w:tcPr>
            <w:tcW w:w="1496" w:type="dxa"/>
            <w:vAlign w:val="center"/>
          </w:tcPr>
          <w:p w14:paraId="2D252BFC" w14:textId="77777777" w:rsidR="00244A74" w:rsidRPr="001058C2" w:rsidRDefault="00244A74" w:rsidP="002878DB">
            <w:pPr>
              <w:jc w:val="center"/>
              <w:rPr>
                <w:rFonts w:cstheme="minorHAnsi"/>
                <w:sz w:val="20"/>
                <w:szCs w:val="20"/>
                <w:lang w:val="en-CA"/>
              </w:rPr>
            </w:pPr>
          </w:p>
        </w:tc>
        <w:tc>
          <w:tcPr>
            <w:tcW w:w="1183" w:type="dxa"/>
            <w:vAlign w:val="center"/>
          </w:tcPr>
          <w:p w14:paraId="061525E9" w14:textId="77777777" w:rsidR="00244A74" w:rsidRPr="001058C2" w:rsidRDefault="00244A74" w:rsidP="002878DB">
            <w:pPr>
              <w:jc w:val="center"/>
              <w:rPr>
                <w:rFonts w:cstheme="minorHAnsi"/>
                <w:sz w:val="20"/>
                <w:szCs w:val="20"/>
                <w:lang w:val="en-CA"/>
              </w:rPr>
            </w:pPr>
          </w:p>
        </w:tc>
        <w:tc>
          <w:tcPr>
            <w:tcW w:w="1191" w:type="dxa"/>
            <w:vAlign w:val="center"/>
          </w:tcPr>
          <w:p w14:paraId="745C1A6E" w14:textId="77777777" w:rsidR="00244A74" w:rsidRPr="001058C2" w:rsidRDefault="00244A74" w:rsidP="002878DB">
            <w:pPr>
              <w:jc w:val="center"/>
              <w:rPr>
                <w:rFonts w:cstheme="minorHAnsi"/>
                <w:sz w:val="20"/>
                <w:szCs w:val="20"/>
                <w:lang w:val="en-CA"/>
              </w:rPr>
            </w:pPr>
          </w:p>
        </w:tc>
      </w:tr>
      <w:tr w:rsidR="00244A74" w:rsidRPr="001058C2" w14:paraId="7E566785" w14:textId="77777777" w:rsidTr="002878DB">
        <w:trPr>
          <w:trHeight w:val="215"/>
        </w:trPr>
        <w:tc>
          <w:tcPr>
            <w:tcW w:w="2113" w:type="dxa"/>
            <w:vAlign w:val="center"/>
          </w:tcPr>
          <w:p w14:paraId="17EFC4C8"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Low</w:t>
            </w:r>
          </w:p>
        </w:tc>
        <w:tc>
          <w:tcPr>
            <w:tcW w:w="760" w:type="dxa"/>
          </w:tcPr>
          <w:p w14:paraId="645CEDB1" w14:textId="77777777" w:rsidR="00244A74" w:rsidRPr="001058C2" w:rsidRDefault="00244A74" w:rsidP="002878DB">
            <w:pPr>
              <w:jc w:val="center"/>
              <w:rPr>
                <w:rFonts w:cstheme="minorHAnsi"/>
                <w:sz w:val="20"/>
                <w:szCs w:val="20"/>
                <w:lang w:val="en-CA"/>
              </w:rPr>
            </w:pPr>
            <w:r w:rsidRPr="001058C2">
              <w:rPr>
                <w:rFonts w:cstheme="minorHAnsi"/>
                <w:sz w:val="20"/>
                <w:szCs w:val="20"/>
              </w:rPr>
              <w:t>20</w:t>
            </w:r>
          </w:p>
        </w:tc>
        <w:tc>
          <w:tcPr>
            <w:tcW w:w="1491" w:type="dxa"/>
          </w:tcPr>
          <w:p w14:paraId="5C17929D" w14:textId="77777777" w:rsidR="00244A74" w:rsidRPr="001058C2" w:rsidRDefault="00244A74" w:rsidP="002878DB">
            <w:pPr>
              <w:jc w:val="center"/>
              <w:rPr>
                <w:rFonts w:cstheme="minorHAnsi"/>
                <w:sz w:val="20"/>
                <w:szCs w:val="20"/>
                <w:lang w:val="en-CA"/>
              </w:rPr>
            </w:pPr>
            <w:r w:rsidRPr="001058C2">
              <w:rPr>
                <w:rFonts w:cstheme="minorHAnsi"/>
                <w:sz w:val="20"/>
                <w:szCs w:val="20"/>
              </w:rPr>
              <w:t>10 (50)</w:t>
            </w:r>
          </w:p>
        </w:tc>
        <w:tc>
          <w:tcPr>
            <w:tcW w:w="1491" w:type="dxa"/>
          </w:tcPr>
          <w:p w14:paraId="0F607FC8" w14:textId="77777777" w:rsidR="00244A74" w:rsidRPr="001058C2" w:rsidRDefault="00244A74" w:rsidP="002878DB">
            <w:pPr>
              <w:jc w:val="center"/>
              <w:rPr>
                <w:rFonts w:cstheme="minorHAnsi"/>
                <w:sz w:val="20"/>
                <w:szCs w:val="20"/>
                <w:lang w:val="en-CA"/>
              </w:rPr>
            </w:pPr>
            <w:r w:rsidRPr="001058C2">
              <w:rPr>
                <w:rFonts w:cstheme="minorHAnsi"/>
                <w:sz w:val="20"/>
                <w:szCs w:val="20"/>
              </w:rPr>
              <w:t>5 (25)</w:t>
            </w:r>
          </w:p>
        </w:tc>
        <w:tc>
          <w:tcPr>
            <w:tcW w:w="1496" w:type="dxa"/>
          </w:tcPr>
          <w:p w14:paraId="0412E0F8" w14:textId="77777777" w:rsidR="00244A74" w:rsidRPr="001058C2" w:rsidRDefault="00244A74" w:rsidP="002878DB">
            <w:pPr>
              <w:jc w:val="center"/>
              <w:rPr>
                <w:rFonts w:cstheme="minorHAnsi"/>
                <w:sz w:val="20"/>
                <w:szCs w:val="20"/>
                <w:lang w:val="en-CA"/>
              </w:rPr>
            </w:pPr>
            <w:r w:rsidRPr="001058C2">
              <w:rPr>
                <w:rFonts w:cstheme="minorHAnsi"/>
                <w:sz w:val="20"/>
                <w:szCs w:val="20"/>
              </w:rPr>
              <w:t>7 (35)</w:t>
            </w:r>
          </w:p>
        </w:tc>
        <w:tc>
          <w:tcPr>
            <w:tcW w:w="1183" w:type="dxa"/>
          </w:tcPr>
          <w:p w14:paraId="634D3E3E" w14:textId="77777777" w:rsidR="00244A74" w:rsidRPr="001058C2" w:rsidRDefault="00244A74" w:rsidP="002878DB">
            <w:pPr>
              <w:jc w:val="center"/>
              <w:rPr>
                <w:rFonts w:cstheme="minorHAnsi"/>
                <w:sz w:val="20"/>
                <w:szCs w:val="20"/>
                <w:lang w:val="en-CA"/>
              </w:rPr>
            </w:pPr>
            <w:r w:rsidRPr="001058C2">
              <w:rPr>
                <w:rFonts w:cstheme="minorHAnsi"/>
                <w:sz w:val="20"/>
                <w:szCs w:val="20"/>
              </w:rPr>
              <w:t>4.3</w:t>
            </w:r>
          </w:p>
        </w:tc>
        <w:tc>
          <w:tcPr>
            <w:tcW w:w="1191" w:type="dxa"/>
          </w:tcPr>
          <w:p w14:paraId="2559BA8D" w14:textId="77777777" w:rsidR="00244A74" w:rsidRPr="001058C2" w:rsidRDefault="00244A74" w:rsidP="002878DB">
            <w:pPr>
              <w:jc w:val="center"/>
              <w:rPr>
                <w:rFonts w:cstheme="minorHAnsi"/>
                <w:sz w:val="20"/>
                <w:szCs w:val="20"/>
                <w:lang w:val="en-CA"/>
              </w:rPr>
            </w:pPr>
            <w:r w:rsidRPr="001058C2">
              <w:rPr>
                <w:rFonts w:cstheme="minorHAnsi"/>
                <w:sz w:val="20"/>
                <w:szCs w:val="20"/>
              </w:rPr>
              <w:t>1.</w:t>
            </w:r>
            <w:r>
              <w:rPr>
                <w:rFonts w:cstheme="minorHAnsi"/>
                <w:sz w:val="20"/>
                <w:szCs w:val="20"/>
              </w:rPr>
              <w:t>3</w:t>
            </w:r>
          </w:p>
        </w:tc>
      </w:tr>
      <w:tr w:rsidR="00244A74" w:rsidRPr="001058C2" w14:paraId="34A25322" w14:textId="77777777" w:rsidTr="002878DB">
        <w:trPr>
          <w:trHeight w:val="215"/>
        </w:trPr>
        <w:tc>
          <w:tcPr>
            <w:tcW w:w="2113" w:type="dxa"/>
            <w:vAlign w:val="center"/>
          </w:tcPr>
          <w:p w14:paraId="53CE5147"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Small</w:t>
            </w:r>
          </w:p>
        </w:tc>
        <w:tc>
          <w:tcPr>
            <w:tcW w:w="760" w:type="dxa"/>
          </w:tcPr>
          <w:p w14:paraId="2D10E34A" w14:textId="77777777" w:rsidR="00244A74" w:rsidRPr="001058C2" w:rsidRDefault="00244A74" w:rsidP="002878DB">
            <w:pPr>
              <w:jc w:val="center"/>
              <w:rPr>
                <w:rFonts w:cstheme="minorHAnsi"/>
                <w:sz w:val="20"/>
                <w:szCs w:val="20"/>
                <w:lang w:val="en-CA"/>
              </w:rPr>
            </w:pPr>
            <w:r w:rsidRPr="001058C2">
              <w:rPr>
                <w:rFonts w:cstheme="minorHAnsi"/>
                <w:sz w:val="20"/>
                <w:szCs w:val="20"/>
              </w:rPr>
              <w:t>10</w:t>
            </w:r>
          </w:p>
        </w:tc>
        <w:tc>
          <w:tcPr>
            <w:tcW w:w="1491" w:type="dxa"/>
          </w:tcPr>
          <w:p w14:paraId="7BEC6732" w14:textId="77777777" w:rsidR="00244A74" w:rsidRPr="001058C2" w:rsidRDefault="00244A74" w:rsidP="002878DB">
            <w:pPr>
              <w:jc w:val="center"/>
              <w:rPr>
                <w:rFonts w:cstheme="minorHAnsi"/>
                <w:sz w:val="20"/>
                <w:szCs w:val="20"/>
                <w:lang w:val="en-CA"/>
              </w:rPr>
            </w:pPr>
            <w:r w:rsidRPr="001058C2">
              <w:rPr>
                <w:rFonts w:cstheme="minorHAnsi"/>
                <w:sz w:val="20"/>
                <w:szCs w:val="20"/>
              </w:rPr>
              <w:t>4 (40)</w:t>
            </w:r>
          </w:p>
        </w:tc>
        <w:tc>
          <w:tcPr>
            <w:tcW w:w="1491" w:type="dxa"/>
          </w:tcPr>
          <w:p w14:paraId="373FD6C9" w14:textId="77777777" w:rsidR="00244A74" w:rsidRPr="001058C2" w:rsidRDefault="00244A74" w:rsidP="002878DB">
            <w:pPr>
              <w:jc w:val="center"/>
              <w:rPr>
                <w:rFonts w:cstheme="minorHAnsi"/>
                <w:sz w:val="20"/>
                <w:szCs w:val="20"/>
                <w:lang w:val="en-CA"/>
              </w:rPr>
            </w:pPr>
            <w:r w:rsidRPr="001058C2">
              <w:rPr>
                <w:rFonts w:cstheme="minorHAnsi"/>
                <w:sz w:val="20"/>
                <w:szCs w:val="20"/>
              </w:rPr>
              <w:t>1 (10)</w:t>
            </w:r>
          </w:p>
        </w:tc>
        <w:tc>
          <w:tcPr>
            <w:tcW w:w="1496" w:type="dxa"/>
          </w:tcPr>
          <w:p w14:paraId="271FACF8" w14:textId="77777777" w:rsidR="00244A74" w:rsidRPr="001058C2" w:rsidRDefault="00244A74" w:rsidP="002878DB">
            <w:pPr>
              <w:jc w:val="center"/>
              <w:rPr>
                <w:rFonts w:cstheme="minorHAnsi"/>
                <w:sz w:val="20"/>
                <w:szCs w:val="20"/>
                <w:lang w:val="en-CA"/>
              </w:rPr>
            </w:pPr>
            <w:r w:rsidRPr="001058C2">
              <w:rPr>
                <w:rFonts w:cstheme="minorHAnsi"/>
                <w:sz w:val="20"/>
                <w:szCs w:val="20"/>
              </w:rPr>
              <w:t>3 (30)</w:t>
            </w:r>
          </w:p>
        </w:tc>
        <w:tc>
          <w:tcPr>
            <w:tcW w:w="1183" w:type="dxa"/>
          </w:tcPr>
          <w:p w14:paraId="053B78AB" w14:textId="77777777" w:rsidR="00244A74" w:rsidRPr="001058C2" w:rsidRDefault="00244A74" w:rsidP="002878DB">
            <w:pPr>
              <w:jc w:val="center"/>
              <w:rPr>
                <w:rFonts w:cstheme="minorHAnsi"/>
                <w:sz w:val="20"/>
                <w:szCs w:val="20"/>
                <w:lang w:val="en-CA"/>
              </w:rPr>
            </w:pPr>
            <w:r w:rsidRPr="001058C2">
              <w:rPr>
                <w:rFonts w:cstheme="minorHAnsi"/>
                <w:sz w:val="20"/>
                <w:szCs w:val="20"/>
              </w:rPr>
              <w:t>2.</w:t>
            </w:r>
            <w:r>
              <w:rPr>
                <w:rFonts w:cstheme="minorHAnsi"/>
                <w:sz w:val="20"/>
                <w:szCs w:val="20"/>
              </w:rPr>
              <w:t>4</w:t>
            </w:r>
          </w:p>
        </w:tc>
        <w:tc>
          <w:tcPr>
            <w:tcW w:w="1191" w:type="dxa"/>
          </w:tcPr>
          <w:p w14:paraId="5590F20A" w14:textId="77777777" w:rsidR="00244A74" w:rsidRPr="001058C2" w:rsidRDefault="00244A74" w:rsidP="002878DB">
            <w:pPr>
              <w:jc w:val="center"/>
              <w:rPr>
                <w:rFonts w:cstheme="minorHAnsi"/>
                <w:sz w:val="20"/>
                <w:szCs w:val="20"/>
                <w:lang w:val="en-CA"/>
              </w:rPr>
            </w:pPr>
            <w:r w:rsidRPr="001058C2">
              <w:rPr>
                <w:rFonts w:cstheme="minorHAnsi"/>
                <w:sz w:val="20"/>
                <w:szCs w:val="20"/>
              </w:rPr>
              <w:t>0.8</w:t>
            </w:r>
          </w:p>
        </w:tc>
      </w:tr>
      <w:tr w:rsidR="00244A74" w:rsidRPr="001058C2" w14:paraId="70EDE744" w14:textId="77777777" w:rsidTr="002878DB">
        <w:trPr>
          <w:trHeight w:val="215"/>
        </w:trPr>
        <w:tc>
          <w:tcPr>
            <w:tcW w:w="2113" w:type="dxa"/>
            <w:vAlign w:val="center"/>
          </w:tcPr>
          <w:p w14:paraId="525C0F99"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Large</w:t>
            </w:r>
          </w:p>
        </w:tc>
        <w:tc>
          <w:tcPr>
            <w:tcW w:w="760" w:type="dxa"/>
          </w:tcPr>
          <w:p w14:paraId="30CF4F07" w14:textId="77777777" w:rsidR="00244A74" w:rsidRPr="001058C2" w:rsidRDefault="00244A74" w:rsidP="002878DB">
            <w:pPr>
              <w:jc w:val="center"/>
              <w:rPr>
                <w:rFonts w:cstheme="minorHAnsi"/>
                <w:sz w:val="20"/>
                <w:szCs w:val="20"/>
                <w:lang w:val="en-CA"/>
              </w:rPr>
            </w:pPr>
            <w:r w:rsidRPr="001058C2">
              <w:rPr>
                <w:rFonts w:cstheme="minorHAnsi"/>
                <w:sz w:val="20"/>
                <w:szCs w:val="20"/>
              </w:rPr>
              <w:t>10</w:t>
            </w:r>
          </w:p>
        </w:tc>
        <w:tc>
          <w:tcPr>
            <w:tcW w:w="1491" w:type="dxa"/>
          </w:tcPr>
          <w:p w14:paraId="1C178F58" w14:textId="77777777" w:rsidR="00244A74" w:rsidRPr="001058C2" w:rsidRDefault="00244A74" w:rsidP="002878DB">
            <w:pPr>
              <w:jc w:val="center"/>
              <w:rPr>
                <w:rFonts w:cstheme="minorHAnsi"/>
                <w:sz w:val="20"/>
                <w:szCs w:val="20"/>
                <w:lang w:val="en-CA"/>
              </w:rPr>
            </w:pPr>
            <w:r w:rsidRPr="001058C2">
              <w:rPr>
                <w:rFonts w:cstheme="minorHAnsi"/>
                <w:sz w:val="20"/>
                <w:szCs w:val="20"/>
              </w:rPr>
              <w:t>6 (60)</w:t>
            </w:r>
          </w:p>
        </w:tc>
        <w:tc>
          <w:tcPr>
            <w:tcW w:w="1491" w:type="dxa"/>
          </w:tcPr>
          <w:p w14:paraId="4EE2E79A" w14:textId="77777777" w:rsidR="00244A74" w:rsidRPr="001058C2" w:rsidRDefault="00244A74" w:rsidP="002878DB">
            <w:pPr>
              <w:jc w:val="center"/>
              <w:rPr>
                <w:rFonts w:cstheme="minorHAnsi"/>
                <w:sz w:val="20"/>
                <w:szCs w:val="20"/>
                <w:lang w:val="en-CA"/>
              </w:rPr>
            </w:pPr>
            <w:r w:rsidRPr="001058C2">
              <w:rPr>
                <w:rFonts w:cstheme="minorHAnsi"/>
                <w:sz w:val="20"/>
                <w:szCs w:val="20"/>
              </w:rPr>
              <w:t>4 (40)</w:t>
            </w:r>
          </w:p>
        </w:tc>
        <w:tc>
          <w:tcPr>
            <w:tcW w:w="1496" w:type="dxa"/>
          </w:tcPr>
          <w:p w14:paraId="71DBE778" w14:textId="77777777" w:rsidR="00244A74" w:rsidRPr="001058C2" w:rsidRDefault="00244A74" w:rsidP="002878DB">
            <w:pPr>
              <w:jc w:val="center"/>
              <w:rPr>
                <w:rFonts w:cstheme="minorHAnsi"/>
                <w:sz w:val="20"/>
                <w:szCs w:val="20"/>
                <w:lang w:val="en-CA"/>
              </w:rPr>
            </w:pPr>
            <w:r w:rsidRPr="001058C2">
              <w:rPr>
                <w:rFonts w:cstheme="minorHAnsi"/>
                <w:sz w:val="20"/>
                <w:szCs w:val="20"/>
              </w:rPr>
              <w:t>4 (40)</w:t>
            </w:r>
          </w:p>
        </w:tc>
        <w:tc>
          <w:tcPr>
            <w:tcW w:w="1183" w:type="dxa"/>
          </w:tcPr>
          <w:p w14:paraId="1C4BCF59" w14:textId="77777777" w:rsidR="00244A74" w:rsidRPr="001058C2" w:rsidRDefault="00244A74" w:rsidP="002878DB">
            <w:pPr>
              <w:jc w:val="center"/>
              <w:rPr>
                <w:rFonts w:cstheme="minorHAnsi"/>
                <w:sz w:val="20"/>
                <w:szCs w:val="20"/>
                <w:lang w:val="en-CA"/>
              </w:rPr>
            </w:pPr>
            <w:r w:rsidRPr="001058C2">
              <w:rPr>
                <w:rFonts w:cstheme="minorHAnsi"/>
                <w:sz w:val="20"/>
                <w:szCs w:val="20"/>
              </w:rPr>
              <w:t>7.9</w:t>
            </w:r>
          </w:p>
        </w:tc>
        <w:tc>
          <w:tcPr>
            <w:tcW w:w="1191" w:type="dxa"/>
          </w:tcPr>
          <w:p w14:paraId="235E3A43" w14:textId="77777777" w:rsidR="00244A74" w:rsidRPr="001058C2" w:rsidRDefault="00244A74" w:rsidP="002878DB">
            <w:pPr>
              <w:jc w:val="center"/>
              <w:rPr>
                <w:rFonts w:cstheme="minorHAnsi"/>
                <w:sz w:val="20"/>
                <w:szCs w:val="20"/>
                <w:lang w:val="en-CA"/>
              </w:rPr>
            </w:pPr>
            <w:r w:rsidRPr="001058C2">
              <w:rPr>
                <w:rFonts w:cstheme="minorHAnsi"/>
                <w:sz w:val="20"/>
                <w:szCs w:val="20"/>
              </w:rPr>
              <w:t>2.</w:t>
            </w:r>
            <w:r>
              <w:rPr>
                <w:rFonts w:cstheme="minorHAnsi"/>
                <w:sz w:val="20"/>
                <w:szCs w:val="20"/>
              </w:rPr>
              <w:t>1</w:t>
            </w:r>
          </w:p>
        </w:tc>
      </w:tr>
      <w:tr w:rsidR="00244A74" w:rsidRPr="001058C2" w14:paraId="36ABC8B9" w14:textId="77777777" w:rsidTr="002878DB">
        <w:trPr>
          <w:trHeight w:val="269"/>
        </w:trPr>
        <w:tc>
          <w:tcPr>
            <w:tcW w:w="2113" w:type="dxa"/>
            <w:vAlign w:val="center"/>
          </w:tcPr>
          <w:p w14:paraId="71CE0E1E"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Medium </w:t>
            </w:r>
          </w:p>
        </w:tc>
        <w:tc>
          <w:tcPr>
            <w:tcW w:w="760" w:type="dxa"/>
          </w:tcPr>
          <w:p w14:paraId="09007CD4" w14:textId="77777777" w:rsidR="00244A74" w:rsidRPr="001058C2" w:rsidRDefault="00244A74" w:rsidP="002878DB">
            <w:pPr>
              <w:jc w:val="center"/>
              <w:rPr>
                <w:rFonts w:cstheme="minorHAnsi"/>
                <w:sz w:val="20"/>
                <w:szCs w:val="20"/>
                <w:lang w:val="en-CA"/>
              </w:rPr>
            </w:pPr>
            <w:r w:rsidRPr="001058C2">
              <w:rPr>
                <w:rFonts w:cstheme="minorHAnsi"/>
                <w:sz w:val="20"/>
                <w:szCs w:val="20"/>
              </w:rPr>
              <w:t>8</w:t>
            </w:r>
          </w:p>
        </w:tc>
        <w:tc>
          <w:tcPr>
            <w:tcW w:w="1491" w:type="dxa"/>
          </w:tcPr>
          <w:p w14:paraId="72C18217" w14:textId="77777777" w:rsidR="00244A74" w:rsidRPr="001058C2" w:rsidRDefault="00244A74" w:rsidP="002878DB">
            <w:pPr>
              <w:jc w:val="center"/>
              <w:rPr>
                <w:rFonts w:cstheme="minorHAnsi"/>
                <w:sz w:val="20"/>
                <w:szCs w:val="20"/>
                <w:lang w:val="en-CA"/>
              </w:rPr>
            </w:pPr>
            <w:r w:rsidRPr="001058C2">
              <w:rPr>
                <w:rFonts w:cstheme="minorHAnsi"/>
                <w:sz w:val="20"/>
                <w:szCs w:val="20"/>
              </w:rPr>
              <w:t>4 (50)</w:t>
            </w:r>
          </w:p>
        </w:tc>
        <w:tc>
          <w:tcPr>
            <w:tcW w:w="1491" w:type="dxa"/>
          </w:tcPr>
          <w:p w14:paraId="04A8AB96" w14:textId="77777777" w:rsidR="00244A74" w:rsidRPr="001058C2" w:rsidRDefault="00244A74" w:rsidP="002878DB">
            <w:pPr>
              <w:jc w:val="center"/>
              <w:rPr>
                <w:rFonts w:cstheme="minorHAnsi"/>
                <w:sz w:val="20"/>
                <w:szCs w:val="20"/>
                <w:lang w:val="en-CA"/>
              </w:rPr>
            </w:pPr>
            <w:r w:rsidRPr="001058C2">
              <w:rPr>
                <w:rFonts w:cstheme="minorHAnsi"/>
                <w:sz w:val="20"/>
                <w:szCs w:val="20"/>
              </w:rPr>
              <w:t>3 (37.5)</w:t>
            </w:r>
          </w:p>
        </w:tc>
        <w:tc>
          <w:tcPr>
            <w:tcW w:w="1496" w:type="dxa"/>
          </w:tcPr>
          <w:p w14:paraId="55CB5D4D" w14:textId="77777777" w:rsidR="00244A74" w:rsidRPr="001058C2" w:rsidRDefault="00244A74" w:rsidP="002878DB">
            <w:pPr>
              <w:jc w:val="center"/>
              <w:rPr>
                <w:rFonts w:cstheme="minorHAnsi"/>
                <w:sz w:val="20"/>
                <w:szCs w:val="20"/>
                <w:lang w:val="en-CA"/>
              </w:rPr>
            </w:pPr>
            <w:r w:rsidRPr="001058C2">
              <w:rPr>
                <w:rFonts w:cstheme="minorHAnsi"/>
                <w:sz w:val="20"/>
                <w:szCs w:val="20"/>
              </w:rPr>
              <w:t>1 (12.5)</w:t>
            </w:r>
          </w:p>
        </w:tc>
        <w:tc>
          <w:tcPr>
            <w:tcW w:w="1183" w:type="dxa"/>
          </w:tcPr>
          <w:p w14:paraId="75C73B92"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5.0</w:t>
            </w:r>
          </w:p>
        </w:tc>
        <w:tc>
          <w:tcPr>
            <w:tcW w:w="1191" w:type="dxa"/>
          </w:tcPr>
          <w:p w14:paraId="77453FC1"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1.7</w:t>
            </w:r>
          </w:p>
        </w:tc>
      </w:tr>
      <w:tr w:rsidR="00244A74" w:rsidRPr="001058C2" w14:paraId="1AEF0474" w14:textId="77777777" w:rsidTr="002878DB">
        <w:trPr>
          <w:trHeight w:val="269"/>
        </w:trPr>
        <w:tc>
          <w:tcPr>
            <w:tcW w:w="2113" w:type="dxa"/>
            <w:vAlign w:val="center"/>
          </w:tcPr>
          <w:p w14:paraId="7740338D" w14:textId="77777777" w:rsidR="00244A74" w:rsidRPr="001058C2" w:rsidRDefault="00244A74" w:rsidP="002878DB">
            <w:pPr>
              <w:rPr>
                <w:rFonts w:cstheme="minorHAnsi"/>
                <w:sz w:val="20"/>
                <w:szCs w:val="20"/>
                <w:lang w:val="en-CA"/>
              </w:rPr>
            </w:pPr>
            <w:bookmarkStart w:id="0" w:name="_GoBack"/>
            <w:r w:rsidRPr="001058C2">
              <w:rPr>
                <w:rFonts w:cstheme="minorHAnsi"/>
                <w:sz w:val="20"/>
                <w:szCs w:val="20"/>
                <w:lang w:val="en-CA"/>
              </w:rPr>
              <w:t xml:space="preserve">    Small</w:t>
            </w:r>
          </w:p>
        </w:tc>
        <w:tc>
          <w:tcPr>
            <w:tcW w:w="760" w:type="dxa"/>
          </w:tcPr>
          <w:p w14:paraId="750699F6" w14:textId="77777777" w:rsidR="00244A74" w:rsidRPr="001058C2" w:rsidRDefault="00244A74" w:rsidP="002878DB">
            <w:pPr>
              <w:jc w:val="center"/>
              <w:rPr>
                <w:rFonts w:cstheme="minorHAnsi"/>
                <w:sz w:val="20"/>
                <w:szCs w:val="20"/>
                <w:lang w:val="en-CA"/>
              </w:rPr>
            </w:pPr>
            <w:r w:rsidRPr="001058C2">
              <w:rPr>
                <w:rFonts w:cstheme="minorHAnsi"/>
                <w:sz w:val="20"/>
                <w:szCs w:val="20"/>
              </w:rPr>
              <w:t>4</w:t>
            </w:r>
          </w:p>
        </w:tc>
        <w:tc>
          <w:tcPr>
            <w:tcW w:w="1491" w:type="dxa"/>
          </w:tcPr>
          <w:p w14:paraId="194D683B" w14:textId="77777777" w:rsidR="00244A74" w:rsidRPr="001058C2" w:rsidRDefault="00244A74" w:rsidP="002878DB">
            <w:pPr>
              <w:jc w:val="center"/>
              <w:rPr>
                <w:rFonts w:cstheme="minorHAnsi"/>
                <w:sz w:val="20"/>
                <w:szCs w:val="20"/>
                <w:lang w:val="en-CA"/>
              </w:rPr>
            </w:pPr>
            <w:r w:rsidRPr="001058C2">
              <w:rPr>
                <w:rFonts w:cstheme="minorHAnsi"/>
                <w:sz w:val="20"/>
                <w:szCs w:val="20"/>
              </w:rPr>
              <w:t>2 (50)</w:t>
            </w:r>
          </w:p>
        </w:tc>
        <w:tc>
          <w:tcPr>
            <w:tcW w:w="1491" w:type="dxa"/>
          </w:tcPr>
          <w:p w14:paraId="49A46EA2" w14:textId="77777777" w:rsidR="00244A74" w:rsidRPr="001058C2" w:rsidRDefault="00244A74" w:rsidP="002878DB">
            <w:pPr>
              <w:jc w:val="center"/>
              <w:rPr>
                <w:rFonts w:cstheme="minorHAnsi"/>
                <w:sz w:val="20"/>
                <w:szCs w:val="20"/>
                <w:lang w:val="en-CA"/>
              </w:rPr>
            </w:pPr>
            <w:r w:rsidRPr="001058C2">
              <w:rPr>
                <w:rFonts w:cstheme="minorHAnsi"/>
                <w:sz w:val="20"/>
                <w:szCs w:val="20"/>
              </w:rPr>
              <w:t>1 (25)</w:t>
            </w:r>
          </w:p>
        </w:tc>
        <w:tc>
          <w:tcPr>
            <w:tcW w:w="1496" w:type="dxa"/>
          </w:tcPr>
          <w:p w14:paraId="44351677" w14:textId="77777777" w:rsidR="00244A74" w:rsidRPr="001058C2" w:rsidRDefault="00244A74" w:rsidP="002878DB">
            <w:pPr>
              <w:jc w:val="center"/>
              <w:rPr>
                <w:rFonts w:cstheme="minorHAnsi"/>
                <w:sz w:val="20"/>
                <w:szCs w:val="20"/>
                <w:lang w:val="en-CA"/>
              </w:rPr>
            </w:pPr>
            <w:r w:rsidRPr="001058C2">
              <w:rPr>
                <w:rFonts w:cstheme="minorHAnsi"/>
                <w:sz w:val="20"/>
                <w:szCs w:val="20"/>
              </w:rPr>
              <w:t>0 (0)</w:t>
            </w:r>
          </w:p>
        </w:tc>
        <w:tc>
          <w:tcPr>
            <w:tcW w:w="1183" w:type="dxa"/>
          </w:tcPr>
          <w:p w14:paraId="43ABB65C"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3.</w:t>
            </w:r>
            <w:r>
              <w:rPr>
                <w:rFonts w:cstheme="minorHAnsi"/>
                <w:sz w:val="20"/>
                <w:szCs w:val="20"/>
              </w:rPr>
              <w:t>1</w:t>
            </w:r>
          </w:p>
        </w:tc>
        <w:tc>
          <w:tcPr>
            <w:tcW w:w="1191" w:type="dxa"/>
          </w:tcPr>
          <w:p w14:paraId="2D7FCD2D"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1.1</w:t>
            </w:r>
          </w:p>
        </w:tc>
      </w:tr>
      <w:tr w:rsidR="00244A74" w:rsidRPr="001058C2" w14:paraId="2568A83C" w14:textId="77777777" w:rsidTr="002878DB">
        <w:trPr>
          <w:trHeight w:val="269"/>
        </w:trPr>
        <w:tc>
          <w:tcPr>
            <w:tcW w:w="2113" w:type="dxa"/>
            <w:vAlign w:val="center"/>
          </w:tcPr>
          <w:p w14:paraId="5E8A8618"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Large</w:t>
            </w:r>
          </w:p>
        </w:tc>
        <w:tc>
          <w:tcPr>
            <w:tcW w:w="760" w:type="dxa"/>
          </w:tcPr>
          <w:p w14:paraId="03472A27" w14:textId="77777777" w:rsidR="00244A74" w:rsidRPr="001058C2" w:rsidRDefault="00244A74" w:rsidP="002878DB">
            <w:pPr>
              <w:jc w:val="center"/>
              <w:rPr>
                <w:rFonts w:cstheme="minorHAnsi"/>
                <w:sz w:val="20"/>
                <w:szCs w:val="20"/>
                <w:lang w:val="en-CA"/>
              </w:rPr>
            </w:pPr>
            <w:r w:rsidRPr="001058C2">
              <w:rPr>
                <w:rFonts w:cstheme="minorHAnsi"/>
                <w:sz w:val="20"/>
                <w:szCs w:val="20"/>
              </w:rPr>
              <w:t>4</w:t>
            </w:r>
          </w:p>
        </w:tc>
        <w:tc>
          <w:tcPr>
            <w:tcW w:w="1491" w:type="dxa"/>
          </w:tcPr>
          <w:p w14:paraId="5C28CF11" w14:textId="77777777" w:rsidR="00244A74" w:rsidRPr="001058C2" w:rsidRDefault="00244A74" w:rsidP="002878DB">
            <w:pPr>
              <w:jc w:val="center"/>
              <w:rPr>
                <w:rFonts w:cstheme="minorHAnsi"/>
                <w:sz w:val="20"/>
                <w:szCs w:val="20"/>
                <w:lang w:val="en-CA"/>
              </w:rPr>
            </w:pPr>
            <w:r w:rsidRPr="001058C2">
              <w:rPr>
                <w:rFonts w:cstheme="minorHAnsi"/>
                <w:sz w:val="20"/>
                <w:szCs w:val="20"/>
              </w:rPr>
              <w:t>2 (50)</w:t>
            </w:r>
          </w:p>
        </w:tc>
        <w:tc>
          <w:tcPr>
            <w:tcW w:w="1491" w:type="dxa"/>
          </w:tcPr>
          <w:p w14:paraId="249CA229" w14:textId="77777777" w:rsidR="00244A74" w:rsidRPr="001058C2" w:rsidRDefault="00244A74" w:rsidP="002878DB">
            <w:pPr>
              <w:jc w:val="center"/>
              <w:rPr>
                <w:rFonts w:cstheme="minorHAnsi"/>
                <w:sz w:val="20"/>
                <w:szCs w:val="20"/>
                <w:lang w:val="en-CA"/>
              </w:rPr>
            </w:pPr>
            <w:r w:rsidRPr="001058C2">
              <w:rPr>
                <w:rFonts w:cstheme="minorHAnsi"/>
                <w:sz w:val="20"/>
                <w:szCs w:val="20"/>
              </w:rPr>
              <w:t>2 (50)</w:t>
            </w:r>
          </w:p>
        </w:tc>
        <w:tc>
          <w:tcPr>
            <w:tcW w:w="1496" w:type="dxa"/>
          </w:tcPr>
          <w:p w14:paraId="2805C75A" w14:textId="77777777" w:rsidR="00244A74" w:rsidRPr="001058C2" w:rsidRDefault="00244A74" w:rsidP="002878DB">
            <w:pPr>
              <w:jc w:val="center"/>
              <w:rPr>
                <w:rFonts w:cstheme="minorHAnsi"/>
                <w:sz w:val="20"/>
                <w:szCs w:val="20"/>
                <w:lang w:val="en-CA"/>
              </w:rPr>
            </w:pPr>
            <w:r w:rsidRPr="001058C2">
              <w:rPr>
                <w:rFonts w:cstheme="minorHAnsi"/>
                <w:sz w:val="20"/>
                <w:szCs w:val="20"/>
              </w:rPr>
              <w:t>1 (25)</w:t>
            </w:r>
          </w:p>
        </w:tc>
        <w:tc>
          <w:tcPr>
            <w:tcW w:w="1183" w:type="dxa"/>
          </w:tcPr>
          <w:p w14:paraId="00BD93FA"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8.2</w:t>
            </w:r>
          </w:p>
        </w:tc>
        <w:tc>
          <w:tcPr>
            <w:tcW w:w="1191" w:type="dxa"/>
          </w:tcPr>
          <w:p w14:paraId="03E28DDA"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2.</w:t>
            </w:r>
            <w:r>
              <w:rPr>
                <w:rFonts w:cstheme="minorHAnsi"/>
                <w:sz w:val="20"/>
                <w:szCs w:val="20"/>
              </w:rPr>
              <w:t>6</w:t>
            </w:r>
          </w:p>
        </w:tc>
      </w:tr>
      <w:bookmarkEnd w:id="0"/>
      <w:tr w:rsidR="00244A74" w:rsidRPr="001058C2" w14:paraId="31E2FA11" w14:textId="77777777" w:rsidTr="002878DB">
        <w:trPr>
          <w:trHeight w:val="244"/>
        </w:trPr>
        <w:tc>
          <w:tcPr>
            <w:tcW w:w="2113" w:type="dxa"/>
            <w:vAlign w:val="center"/>
          </w:tcPr>
          <w:p w14:paraId="3B0AC214"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High </w:t>
            </w:r>
          </w:p>
        </w:tc>
        <w:tc>
          <w:tcPr>
            <w:tcW w:w="760" w:type="dxa"/>
          </w:tcPr>
          <w:p w14:paraId="26C444E8" w14:textId="77777777" w:rsidR="00244A74" w:rsidRPr="001058C2" w:rsidRDefault="00244A74" w:rsidP="002878DB">
            <w:pPr>
              <w:jc w:val="center"/>
              <w:rPr>
                <w:rFonts w:cstheme="minorHAnsi"/>
                <w:sz w:val="20"/>
                <w:szCs w:val="20"/>
                <w:lang w:val="en-CA"/>
              </w:rPr>
            </w:pPr>
            <w:r w:rsidRPr="001058C2">
              <w:rPr>
                <w:rFonts w:cstheme="minorHAnsi"/>
                <w:sz w:val="20"/>
                <w:szCs w:val="20"/>
              </w:rPr>
              <w:t>20</w:t>
            </w:r>
          </w:p>
        </w:tc>
        <w:tc>
          <w:tcPr>
            <w:tcW w:w="1491" w:type="dxa"/>
          </w:tcPr>
          <w:p w14:paraId="52944D06" w14:textId="77777777" w:rsidR="00244A74" w:rsidRPr="001058C2" w:rsidRDefault="00244A74" w:rsidP="002878DB">
            <w:pPr>
              <w:jc w:val="center"/>
              <w:rPr>
                <w:rFonts w:cstheme="minorHAnsi"/>
                <w:sz w:val="20"/>
                <w:szCs w:val="20"/>
                <w:lang w:val="en-CA"/>
              </w:rPr>
            </w:pPr>
            <w:r w:rsidRPr="001058C2">
              <w:rPr>
                <w:rFonts w:cstheme="minorHAnsi"/>
                <w:sz w:val="20"/>
                <w:szCs w:val="20"/>
              </w:rPr>
              <w:t>17 (85)</w:t>
            </w:r>
          </w:p>
        </w:tc>
        <w:tc>
          <w:tcPr>
            <w:tcW w:w="1491" w:type="dxa"/>
          </w:tcPr>
          <w:p w14:paraId="1E5BC9BB" w14:textId="77777777" w:rsidR="00244A74" w:rsidRPr="001058C2" w:rsidRDefault="00244A74" w:rsidP="002878DB">
            <w:pPr>
              <w:jc w:val="center"/>
              <w:rPr>
                <w:rFonts w:cstheme="minorHAnsi"/>
                <w:sz w:val="20"/>
                <w:szCs w:val="20"/>
                <w:lang w:val="en-CA"/>
              </w:rPr>
            </w:pPr>
            <w:r w:rsidRPr="001058C2">
              <w:rPr>
                <w:rFonts w:cstheme="minorHAnsi"/>
                <w:sz w:val="20"/>
                <w:szCs w:val="20"/>
              </w:rPr>
              <w:t>11 (55)</w:t>
            </w:r>
          </w:p>
        </w:tc>
        <w:tc>
          <w:tcPr>
            <w:tcW w:w="1496" w:type="dxa"/>
          </w:tcPr>
          <w:p w14:paraId="4256C9A6" w14:textId="77777777" w:rsidR="00244A74" w:rsidRPr="001058C2" w:rsidRDefault="00244A74" w:rsidP="002878DB">
            <w:pPr>
              <w:jc w:val="center"/>
              <w:rPr>
                <w:rFonts w:cstheme="minorHAnsi"/>
                <w:sz w:val="20"/>
                <w:szCs w:val="20"/>
                <w:lang w:val="en-CA"/>
              </w:rPr>
            </w:pPr>
            <w:r w:rsidRPr="001058C2">
              <w:rPr>
                <w:rFonts w:cstheme="minorHAnsi"/>
                <w:sz w:val="20"/>
                <w:szCs w:val="20"/>
              </w:rPr>
              <w:t>13 (65)</w:t>
            </w:r>
          </w:p>
        </w:tc>
        <w:tc>
          <w:tcPr>
            <w:tcW w:w="1183" w:type="dxa"/>
          </w:tcPr>
          <w:p w14:paraId="1682C06C"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65.</w:t>
            </w:r>
            <w:r>
              <w:rPr>
                <w:rFonts w:cstheme="minorHAnsi"/>
                <w:sz w:val="20"/>
                <w:szCs w:val="20"/>
              </w:rPr>
              <w:t>6</w:t>
            </w:r>
          </w:p>
        </w:tc>
        <w:tc>
          <w:tcPr>
            <w:tcW w:w="1191" w:type="dxa"/>
          </w:tcPr>
          <w:p w14:paraId="311C9DEA"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3</w:t>
            </w:r>
            <w:r>
              <w:rPr>
                <w:rFonts w:cstheme="minorHAnsi"/>
                <w:sz w:val="20"/>
                <w:szCs w:val="20"/>
              </w:rPr>
              <w:t>.0</w:t>
            </w:r>
          </w:p>
        </w:tc>
      </w:tr>
      <w:tr w:rsidR="00244A74" w:rsidRPr="001058C2" w14:paraId="45B5907C" w14:textId="77777777" w:rsidTr="002878DB">
        <w:trPr>
          <w:trHeight w:val="244"/>
        </w:trPr>
        <w:tc>
          <w:tcPr>
            <w:tcW w:w="2113" w:type="dxa"/>
            <w:vAlign w:val="center"/>
          </w:tcPr>
          <w:p w14:paraId="6BA032C4"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Small</w:t>
            </w:r>
          </w:p>
        </w:tc>
        <w:tc>
          <w:tcPr>
            <w:tcW w:w="760" w:type="dxa"/>
          </w:tcPr>
          <w:p w14:paraId="7BC88C2D" w14:textId="77777777" w:rsidR="00244A74" w:rsidRPr="001058C2" w:rsidRDefault="00244A74" w:rsidP="002878DB">
            <w:pPr>
              <w:jc w:val="center"/>
              <w:rPr>
                <w:rFonts w:cstheme="minorHAnsi"/>
                <w:sz w:val="20"/>
                <w:szCs w:val="20"/>
                <w:lang w:val="en-CA"/>
              </w:rPr>
            </w:pPr>
            <w:r w:rsidRPr="001058C2">
              <w:rPr>
                <w:rFonts w:cstheme="minorHAnsi"/>
                <w:sz w:val="20"/>
                <w:szCs w:val="20"/>
              </w:rPr>
              <w:t>10</w:t>
            </w:r>
          </w:p>
        </w:tc>
        <w:tc>
          <w:tcPr>
            <w:tcW w:w="1491" w:type="dxa"/>
          </w:tcPr>
          <w:p w14:paraId="57B687AB" w14:textId="77777777" w:rsidR="00244A74" w:rsidRPr="001058C2" w:rsidRDefault="00244A74" w:rsidP="002878DB">
            <w:pPr>
              <w:jc w:val="center"/>
              <w:rPr>
                <w:rFonts w:cstheme="minorHAnsi"/>
                <w:sz w:val="20"/>
                <w:szCs w:val="20"/>
                <w:lang w:val="en-CA"/>
              </w:rPr>
            </w:pPr>
            <w:r w:rsidRPr="001058C2">
              <w:rPr>
                <w:rFonts w:cstheme="minorHAnsi"/>
                <w:sz w:val="20"/>
                <w:szCs w:val="20"/>
              </w:rPr>
              <w:t>8 (80)</w:t>
            </w:r>
          </w:p>
        </w:tc>
        <w:tc>
          <w:tcPr>
            <w:tcW w:w="1491" w:type="dxa"/>
          </w:tcPr>
          <w:p w14:paraId="107F8590" w14:textId="77777777" w:rsidR="00244A74" w:rsidRPr="001058C2" w:rsidRDefault="00244A74" w:rsidP="002878DB">
            <w:pPr>
              <w:jc w:val="center"/>
              <w:rPr>
                <w:rFonts w:cstheme="minorHAnsi"/>
                <w:sz w:val="20"/>
                <w:szCs w:val="20"/>
                <w:lang w:val="en-CA"/>
              </w:rPr>
            </w:pPr>
            <w:r w:rsidRPr="001058C2">
              <w:rPr>
                <w:rFonts w:cstheme="minorHAnsi"/>
                <w:sz w:val="20"/>
                <w:szCs w:val="20"/>
              </w:rPr>
              <w:t>5 (50)</w:t>
            </w:r>
          </w:p>
        </w:tc>
        <w:tc>
          <w:tcPr>
            <w:tcW w:w="1496" w:type="dxa"/>
          </w:tcPr>
          <w:p w14:paraId="0733A202" w14:textId="77777777" w:rsidR="00244A74" w:rsidRPr="001058C2" w:rsidRDefault="00244A74" w:rsidP="002878DB">
            <w:pPr>
              <w:jc w:val="center"/>
              <w:rPr>
                <w:rFonts w:cstheme="minorHAnsi"/>
                <w:sz w:val="20"/>
                <w:szCs w:val="20"/>
                <w:lang w:val="en-CA"/>
              </w:rPr>
            </w:pPr>
            <w:r w:rsidRPr="001058C2">
              <w:rPr>
                <w:rFonts w:cstheme="minorHAnsi"/>
                <w:sz w:val="20"/>
                <w:szCs w:val="20"/>
              </w:rPr>
              <w:t>6 (60)</w:t>
            </w:r>
          </w:p>
        </w:tc>
        <w:tc>
          <w:tcPr>
            <w:tcW w:w="1183" w:type="dxa"/>
          </w:tcPr>
          <w:p w14:paraId="62DADF25"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2</w:t>
            </w:r>
            <w:r>
              <w:rPr>
                <w:rFonts w:cstheme="minorHAnsi"/>
                <w:sz w:val="20"/>
                <w:szCs w:val="20"/>
              </w:rPr>
              <w:t>9.0</w:t>
            </w:r>
          </w:p>
        </w:tc>
        <w:tc>
          <w:tcPr>
            <w:tcW w:w="1191" w:type="dxa"/>
          </w:tcPr>
          <w:p w14:paraId="01AF8608" w14:textId="77777777" w:rsidR="00244A74" w:rsidRPr="001058C2" w:rsidRDefault="00244A74" w:rsidP="002878DB">
            <w:pPr>
              <w:jc w:val="center"/>
              <w:rPr>
                <w:rFonts w:eastAsia="Times New Roman" w:cstheme="minorHAnsi"/>
                <w:sz w:val="20"/>
                <w:szCs w:val="20"/>
              </w:rPr>
            </w:pPr>
            <w:r>
              <w:rPr>
                <w:rFonts w:cstheme="minorHAnsi"/>
                <w:sz w:val="20"/>
                <w:szCs w:val="20"/>
              </w:rPr>
              <w:t>2.0</w:t>
            </w:r>
          </w:p>
        </w:tc>
      </w:tr>
      <w:tr w:rsidR="00244A74" w:rsidRPr="001058C2" w14:paraId="03CBF1E2" w14:textId="77777777" w:rsidTr="002878DB">
        <w:trPr>
          <w:trHeight w:val="244"/>
        </w:trPr>
        <w:tc>
          <w:tcPr>
            <w:tcW w:w="2113" w:type="dxa"/>
            <w:vAlign w:val="center"/>
          </w:tcPr>
          <w:p w14:paraId="6174CC00" w14:textId="77777777" w:rsidR="00244A74" w:rsidRPr="001058C2" w:rsidRDefault="00244A74" w:rsidP="002878DB">
            <w:pPr>
              <w:rPr>
                <w:rFonts w:cstheme="minorHAnsi"/>
                <w:sz w:val="20"/>
                <w:szCs w:val="20"/>
                <w:lang w:val="en-CA"/>
              </w:rPr>
            </w:pPr>
            <w:r w:rsidRPr="001058C2">
              <w:rPr>
                <w:rFonts w:cstheme="minorHAnsi"/>
                <w:sz w:val="20"/>
                <w:szCs w:val="20"/>
                <w:lang w:val="en-CA"/>
              </w:rPr>
              <w:t xml:space="preserve">    Large</w:t>
            </w:r>
          </w:p>
        </w:tc>
        <w:tc>
          <w:tcPr>
            <w:tcW w:w="760" w:type="dxa"/>
          </w:tcPr>
          <w:p w14:paraId="58C2FC82" w14:textId="77777777" w:rsidR="00244A74" w:rsidRPr="001058C2" w:rsidRDefault="00244A74" w:rsidP="002878DB">
            <w:pPr>
              <w:jc w:val="center"/>
              <w:rPr>
                <w:rFonts w:cstheme="minorHAnsi"/>
                <w:sz w:val="20"/>
                <w:szCs w:val="20"/>
                <w:lang w:val="en-CA"/>
              </w:rPr>
            </w:pPr>
            <w:r w:rsidRPr="001058C2">
              <w:rPr>
                <w:rFonts w:cstheme="minorHAnsi"/>
                <w:sz w:val="20"/>
                <w:szCs w:val="20"/>
              </w:rPr>
              <w:t>10</w:t>
            </w:r>
          </w:p>
        </w:tc>
        <w:tc>
          <w:tcPr>
            <w:tcW w:w="1491" w:type="dxa"/>
          </w:tcPr>
          <w:p w14:paraId="4B5DDF44" w14:textId="77777777" w:rsidR="00244A74" w:rsidRPr="001058C2" w:rsidRDefault="00244A74" w:rsidP="002878DB">
            <w:pPr>
              <w:jc w:val="center"/>
              <w:rPr>
                <w:rFonts w:cstheme="minorHAnsi"/>
                <w:sz w:val="20"/>
                <w:szCs w:val="20"/>
                <w:lang w:val="en-CA"/>
              </w:rPr>
            </w:pPr>
            <w:r w:rsidRPr="001058C2">
              <w:rPr>
                <w:rFonts w:cstheme="minorHAnsi"/>
                <w:sz w:val="20"/>
                <w:szCs w:val="20"/>
              </w:rPr>
              <w:t>9 (90)</w:t>
            </w:r>
          </w:p>
        </w:tc>
        <w:tc>
          <w:tcPr>
            <w:tcW w:w="1491" w:type="dxa"/>
          </w:tcPr>
          <w:p w14:paraId="6B4B1DF3" w14:textId="77777777" w:rsidR="00244A74" w:rsidRPr="001058C2" w:rsidRDefault="00244A74" w:rsidP="002878DB">
            <w:pPr>
              <w:jc w:val="center"/>
              <w:rPr>
                <w:rFonts w:cstheme="minorHAnsi"/>
                <w:sz w:val="20"/>
                <w:szCs w:val="20"/>
                <w:lang w:val="en-CA"/>
              </w:rPr>
            </w:pPr>
            <w:r w:rsidRPr="001058C2">
              <w:rPr>
                <w:rFonts w:cstheme="minorHAnsi"/>
                <w:sz w:val="20"/>
                <w:szCs w:val="20"/>
              </w:rPr>
              <w:t>6 (60)</w:t>
            </w:r>
          </w:p>
        </w:tc>
        <w:tc>
          <w:tcPr>
            <w:tcW w:w="1496" w:type="dxa"/>
          </w:tcPr>
          <w:p w14:paraId="3BC8E2D9" w14:textId="77777777" w:rsidR="00244A74" w:rsidRPr="001058C2" w:rsidRDefault="00244A74" w:rsidP="002878DB">
            <w:pPr>
              <w:jc w:val="center"/>
              <w:rPr>
                <w:rFonts w:cstheme="minorHAnsi"/>
                <w:sz w:val="20"/>
                <w:szCs w:val="20"/>
                <w:lang w:val="en-CA"/>
              </w:rPr>
            </w:pPr>
            <w:r w:rsidRPr="001058C2">
              <w:rPr>
                <w:rFonts w:cstheme="minorHAnsi"/>
                <w:sz w:val="20"/>
                <w:szCs w:val="20"/>
              </w:rPr>
              <w:t>7 (70)</w:t>
            </w:r>
          </w:p>
        </w:tc>
        <w:tc>
          <w:tcPr>
            <w:tcW w:w="1183" w:type="dxa"/>
          </w:tcPr>
          <w:p w14:paraId="24B36425"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148.</w:t>
            </w:r>
            <w:r>
              <w:rPr>
                <w:rFonts w:cstheme="minorHAnsi"/>
                <w:sz w:val="20"/>
                <w:szCs w:val="20"/>
              </w:rPr>
              <w:t>5</w:t>
            </w:r>
          </w:p>
        </w:tc>
        <w:tc>
          <w:tcPr>
            <w:tcW w:w="1191" w:type="dxa"/>
          </w:tcPr>
          <w:p w14:paraId="11159398" w14:textId="77777777" w:rsidR="00244A74" w:rsidRPr="001058C2" w:rsidRDefault="00244A74" w:rsidP="002878DB">
            <w:pPr>
              <w:jc w:val="center"/>
              <w:rPr>
                <w:rFonts w:eastAsia="Times New Roman" w:cstheme="minorHAnsi"/>
                <w:sz w:val="20"/>
                <w:szCs w:val="20"/>
              </w:rPr>
            </w:pPr>
            <w:r w:rsidRPr="001058C2">
              <w:rPr>
                <w:rFonts w:cstheme="minorHAnsi"/>
                <w:sz w:val="20"/>
                <w:szCs w:val="20"/>
              </w:rPr>
              <w:t>4.</w:t>
            </w:r>
            <w:r>
              <w:rPr>
                <w:rFonts w:cstheme="minorHAnsi"/>
                <w:sz w:val="20"/>
                <w:szCs w:val="20"/>
              </w:rPr>
              <w:t>6</w:t>
            </w:r>
          </w:p>
        </w:tc>
      </w:tr>
    </w:tbl>
    <w:p w14:paraId="420B1F67" w14:textId="77777777" w:rsidR="00244A74" w:rsidRPr="00D910E0" w:rsidRDefault="00244A74" w:rsidP="00244A74">
      <w:pPr>
        <w:rPr>
          <w:lang w:val="en-CA"/>
        </w:rPr>
      </w:pPr>
    </w:p>
    <w:p w14:paraId="566FAB24" w14:textId="77777777" w:rsidR="00244A74" w:rsidRDefault="00244A74" w:rsidP="00244A74">
      <w:pPr>
        <w:rPr>
          <w:lang w:val="en-CA"/>
        </w:rPr>
      </w:pPr>
      <w:proofErr w:type="spellStart"/>
      <w:proofErr w:type="gramStart"/>
      <w:r>
        <w:rPr>
          <w:lang w:val="en-CA"/>
        </w:rPr>
        <w:t>qPCR</w:t>
      </w:r>
      <w:proofErr w:type="spellEnd"/>
      <w:proofErr w:type="gramEnd"/>
      <w:r>
        <w:rPr>
          <w:lang w:val="en-CA"/>
        </w:rPr>
        <w:t>, quantitative PCR</w:t>
      </w:r>
    </w:p>
    <w:p w14:paraId="15055813" w14:textId="77777777" w:rsidR="00244A74" w:rsidRPr="0066389C" w:rsidRDefault="00244A74" w:rsidP="00244A74">
      <w:pPr>
        <w:rPr>
          <w:lang w:val="en-CA"/>
        </w:rPr>
      </w:pPr>
      <w:r w:rsidRPr="0066389C">
        <w:rPr>
          <w:lang w:val="en-CA"/>
        </w:rPr>
        <w:t>*</w:t>
      </w:r>
      <w:r>
        <w:rPr>
          <w:lang w:val="en-CA"/>
        </w:rPr>
        <w:t xml:space="preserve"> L</w:t>
      </w:r>
      <w:r w:rsidRPr="0066389C">
        <w:rPr>
          <w:lang w:val="en-CA"/>
        </w:rPr>
        <w:t xml:space="preserve">ow = </w:t>
      </w:r>
      <w:r>
        <w:rPr>
          <w:lang w:val="en-CA"/>
        </w:rPr>
        <w:t xml:space="preserve">occupant had </w:t>
      </w:r>
      <w:r w:rsidRPr="0066389C">
        <w:rPr>
          <w:lang w:val="en-CA"/>
        </w:rPr>
        <w:t xml:space="preserve">no receipt of antibiotics in prior 14 days, medium = </w:t>
      </w:r>
      <w:r>
        <w:rPr>
          <w:lang w:val="en-CA"/>
        </w:rPr>
        <w:t xml:space="preserve">occupant had </w:t>
      </w:r>
      <w:r w:rsidRPr="0066389C">
        <w:rPr>
          <w:lang w:val="en-CA"/>
        </w:rPr>
        <w:t xml:space="preserve">receipt of antibiotics in prior 14 days, high = </w:t>
      </w:r>
      <w:r>
        <w:rPr>
          <w:lang w:val="en-CA"/>
        </w:rPr>
        <w:t xml:space="preserve">occupant had </w:t>
      </w:r>
      <w:r w:rsidRPr="0066389C">
        <w:rPr>
          <w:lang w:val="en-CA"/>
        </w:rPr>
        <w:t xml:space="preserve">confirmed </w:t>
      </w:r>
      <w:r w:rsidRPr="00994E43">
        <w:rPr>
          <w:i/>
          <w:lang w:val="en-CA"/>
        </w:rPr>
        <w:t xml:space="preserve">C. </w:t>
      </w:r>
      <w:proofErr w:type="spellStart"/>
      <w:r w:rsidRPr="00994E43">
        <w:rPr>
          <w:i/>
          <w:lang w:val="en-CA"/>
        </w:rPr>
        <w:t>difficile</w:t>
      </w:r>
      <w:proofErr w:type="spellEnd"/>
      <w:r w:rsidRPr="0066389C">
        <w:rPr>
          <w:lang w:val="en-CA"/>
        </w:rPr>
        <w:t xml:space="preserve"> i</w:t>
      </w:r>
      <w:r>
        <w:rPr>
          <w:lang w:val="en-CA"/>
        </w:rPr>
        <w:t>nfection.</w:t>
      </w:r>
    </w:p>
    <w:p w14:paraId="675F4A4C" w14:textId="77777777" w:rsidR="00244A74" w:rsidRPr="00244A74" w:rsidRDefault="00244A74" w:rsidP="00A861A4">
      <w:pPr>
        <w:tabs>
          <w:tab w:val="left" w:pos="3840"/>
        </w:tabs>
        <w:spacing w:line="480" w:lineRule="auto"/>
        <w:rPr>
          <w:lang w:val="en-CA"/>
        </w:rPr>
      </w:pPr>
    </w:p>
    <w:sectPr w:rsidR="00244A74" w:rsidRPr="00244A74" w:rsidSect="00A861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E489F" w14:textId="77777777" w:rsidR="00611801" w:rsidRDefault="00611801">
      <w:r>
        <w:separator/>
      </w:r>
    </w:p>
  </w:endnote>
  <w:endnote w:type="continuationSeparator" w:id="0">
    <w:p w14:paraId="6E140976" w14:textId="77777777" w:rsidR="00611801" w:rsidRDefault="006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4B7CA" w14:textId="77777777" w:rsidR="00A108BF" w:rsidRDefault="00F06F60" w:rsidP="000C44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B980C" w14:textId="77777777" w:rsidR="00A108BF" w:rsidRDefault="00611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B9E0" w14:textId="77777777" w:rsidR="00A108BF" w:rsidRDefault="00F06F60" w:rsidP="000C44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B9D">
      <w:rPr>
        <w:rStyle w:val="PageNumber"/>
        <w:noProof/>
      </w:rPr>
      <w:t>2</w:t>
    </w:r>
    <w:r>
      <w:rPr>
        <w:rStyle w:val="PageNumber"/>
      </w:rPr>
      <w:fldChar w:fldCharType="end"/>
    </w:r>
  </w:p>
  <w:p w14:paraId="1C5C90B5" w14:textId="77777777" w:rsidR="00A108BF" w:rsidRDefault="00611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174A" w14:textId="77777777" w:rsidR="00A108BF" w:rsidRDefault="0061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F8310" w14:textId="77777777" w:rsidR="00611801" w:rsidRDefault="00611801">
      <w:r>
        <w:separator/>
      </w:r>
    </w:p>
  </w:footnote>
  <w:footnote w:type="continuationSeparator" w:id="0">
    <w:p w14:paraId="324C4FB5" w14:textId="77777777" w:rsidR="00611801" w:rsidRDefault="00611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6724" w14:textId="77777777" w:rsidR="00A108BF" w:rsidRDefault="00611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A0CC" w14:textId="77777777" w:rsidR="00A108BF" w:rsidRDefault="00611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053B0" w14:textId="77777777" w:rsidR="00A108BF" w:rsidRDefault="00611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4"/>
    <w:rsid w:val="00244A74"/>
    <w:rsid w:val="003B46ED"/>
    <w:rsid w:val="004C3478"/>
    <w:rsid w:val="00611801"/>
    <w:rsid w:val="00780BC9"/>
    <w:rsid w:val="00A53299"/>
    <w:rsid w:val="00A861A4"/>
    <w:rsid w:val="00CE66FA"/>
    <w:rsid w:val="00E77B9D"/>
    <w:rsid w:val="00F0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3F1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61A4"/>
    <w:pPr>
      <w:tabs>
        <w:tab w:val="center" w:pos="4680"/>
        <w:tab w:val="right" w:pos="9360"/>
      </w:tabs>
    </w:pPr>
  </w:style>
  <w:style w:type="character" w:customStyle="1" w:styleId="FooterChar">
    <w:name w:val="Footer Char"/>
    <w:basedOn w:val="DefaultParagraphFont"/>
    <w:link w:val="Footer"/>
    <w:uiPriority w:val="99"/>
    <w:rsid w:val="00A861A4"/>
  </w:style>
  <w:style w:type="character" w:styleId="PageNumber">
    <w:name w:val="page number"/>
    <w:basedOn w:val="DefaultParagraphFont"/>
    <w:uiPriority w:val="99"/>
    <w:semiHidden/>
    <w:unhideWhenUsed/>
    <w:rsid w:val="00A861A4"/>
  </w:style>
  <w:style w:type="paragraph" w:styleId="Header">
    <w:name w:val="header"/>
    <w:basedOn w:val="Normal"/>
    <w:link w:val="HeaderChar"/>
    <w:uiPriority w:val="99"/>
    <w:unhideWhenUsed/>
    <w:rsid w:val="00A861A4"/>
    <w:pPr>
      <w:tabs>
        <w:tab w:val="center" w:pos="4680"/>
        <w:tab w:val="right" w:pos="9360"/>
      </w:tabs>
    </w:pPr>
  </w:style>
  <w:style w:type="character" w:customStyle="1" w:styleId="HeaderChar">
    <w:name w:val="Header Char"/>
    <w:basedOn w:val="DefaultParagraphFont"/>
    <w:link w:val="Header"/>
    <w:uiPriority w:val="99"/>
    <w:rsid w:val="00A861A4"/>
  </w:style>
  <w:style w:type="character" w:styleId="LineNumber">
    <w:name w:val="line number"/>
    <w:basedOn w:val="DefaultParagraphFont"/>
    <w:uiPriority w:val="99"/>
    <w:semiHidden/>
    <w:unhideWhenUsed/>
    <w:rsid w:val="00A861A4"/>
  </w:style>
  <w:style w:type="paragraph" w:styleId="Bibliography">
    <w:name w:val="Bibliography"/>
    <w:basedOn w:val="Normal"/>
    <w:next w:val="Normal"/>
    <w:uiPriority w:val="37"/>
    <w:unhideWhenUsed/>
    <w:rsid w:val="00A861A4"/>
    <w:pPr>
      <w:tabs>
        <w:tab w:val="left" w:pos="380"/>
      </w:tabs>
      <w:spacing w:after="240"/>
      <w:ind w:left="384" w:hanging="384"/>
    </w:pPr>
  </w:style>
  <w:style w:type="character" w:styleId="Hyperlink">
    <w:name w:val="Hyperlink"/>
    <w:basedOn w:val="DefaultParagraphFont"/>
    <w:uiPriority w:val="99"/>
    <w:unhideWhenUsed/>
    <w:rsid w:val="00A861A4"/>
    <w:rPr>
      <w:color w:val="0563C1" w:themeColor="hyperlink"/>
      <w:u w:val="single"/>
    </w:rPr>
  </w:style>
  <w:style w:type="table" w:styleId="TableGrid">
    <w:name w:val="Table Grid"/>
    <w:basedOn w:val="TableNormal"/>
    <w:uiPriority w:val="39"/>
    <w:rsid w:val="00244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61A4"/>
    <w:pPr>
      <w:tabs>
        <w:tab w:val="center" w:pos="4680"/>
        <w:tab w:val="right" w:pos="9360"/>
      </w:tabs>
    </w:pPr>
  </w:style>
  <w:style w:type="character" w:customStyle="1" w:styleId="FooterChar">
    <w:name w:val="Footer Char"/>
    <w:basedOn w:val="DefaultParagraphFont"/>
    <w:link w:val="Footer"/>
    <w:uiPriority w:val="99"/>
    <w:rsid w:val="00A861A4"/>
  </w:style>
  <w:style w:type="character" w:styleId="PageNumber">
    <w:name w:val="page number"/>
    <w:basedOn w:val="DefaultParagraphFont"/>
    <w:uiPriority w:val="99"/>
    <w:semiHidden/>
    <w:unhideWhenUsed/>
    <w:rsid w:val="00A861A4"/>
  </w:style>
  <w:style w:type="paragraph" w:styleId="Header">
    <w:name w:val="header"/>
    <w:basedOn w:val="Normal"/>
    <w:link w:val="HeaderChar"/>
    <w:uiPriority w:val="99"/>
    <w:unhideWhenUsed/>
    <w:rsid w:val="00A861A4"/>
    <w:pPr>
      <w:tabs>
        <w:tab w:val="center" w:pos="4680"/>
        <w:tab w:val="right" w:pos="9360"/>
      </w:tabs>
    </w:pPr>
  </w:style>
  <w:style w:type="character" w:customStyle="1" w:styleId="HeaderChar">
    <w:name w:val="Header Char"/>
    <w:basedOn w:val="DefaultParagraphFont"/>
    <w:link w:val="Header"/>
    <w:uiPriority w:val="99"/>
    <w:rsid w:val="00A861A4"/>
  </w:style>
  <w:style w:type="character" w:styleId="LineNumber">
    <w:name w:val="line number"/>
    <w:basedOn w:val="DefaultParagraphFont"/>
    <w:uiPriority w:val="99"/>
    <w:semiHidden/>
    <w:unhideWhenUsed/>
    <w:rsid w:val="00A861A4"/>
  </w:style>
  <w:style w:type="paragraph" w:styleId="Bibliography">
    <w:name w:val="Bibliography"/>
    <w:basedOn w:val="Normal"/>
    <w:next w:val="Normal"/>
    <w:uiPriority w:val="37"/>
    <w:unhideWhenUsed/>
    <w:rsid w:val="00A861A4"/>
    <w:pPr>
      <w:tabs>
        <w:tab w:val="left" w:pos="380"/>
      </w:tabs>
      <w:spacing w:after="240"/>
      <w:ind w:left="384" w:hanging="384"/>
    </w:pPr>
  </w:style>
  <w:style w:type="character" w:styleId="Hyperlink">
    <w:name w:val="Hyperlink"/>
    <w:basedOn w:val="DefaultParagraphFont"/>
    <w:uiPriority w:val="99"/>
    <w:unhideWhenUsed/>
    <w:rsid w:val="00A861A4"/>
    <w:rPr>
      <w:color w:val="0563C1" w:themeColor="hyperlink"/>
      <w:u w:val="single"/>
    </w:rPr>
  </w:style>
  <w:style w:type="table" w:styleId="TableGrid">
    <w:name w:val="Table Grid"/>
    <w:basedOn w:val="TableNormal"/>
    <w:uiPriority w:val="39"/>
    <w:rsid w:val="00244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E08D45-8F57-4FCF-A516-1A3814A8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Brown</dc:creator>
  <cp:keywords/>
  <dc:description/>
  <cp:lastModifiedBy>Kevin Brown</cp:lastModifiedBy>
  <cp:revision>4</cp:revision>
  <dcterms:created xsi:type="dcterms:W3CDTF">2018-01-24T16:00:00Z</dcterms:created>
  <dcterms:modified xsi:type="dcterms:W3CDTF">2018-03-23T16:25:00Z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zotero-version="5.0.34.3"&gt;&lt;session id="BaDNJxXs"/&gt;&lt;style id="http://www.zotero.org/styles/infection-control-and-hospital-epidemiology" hasBibliography="1" bibliographyStyleHasBeenSet="1"/&gt;&lt;prefs&gt;&lt;pref name="fieldType" value="Field"/</vt:lpwstr>
  </property>
  <property fmtid="{D5CDD505-2E9C-101B-9397-08002B2CF9AE}" pid="3" name="ZOTERO_PREF_2">
    <vt:lpwstr>&gt;&lt;pref name="automaticJournalAbbreviations" value="true"/&gt;&lt;pref name="noteType" value="0"/&gt;&lt;/prefs&gt;&lt;/data&gt;</vt:lpwstr>
  </property>
</Properties>
</file>