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41D2D" w14:textId="2D6FDA42" w:rsidR="008B6B17" w:rsidRDefault="008B6B17" w:rsidP="008B6B17">
      <w:pPr>
        <w:spacing w:line="480" w:lineRule="auto"/>
      </w:pPr>
      <w:r>
        <w:t xml:space="preserve">Appendix 1: Summary of </w:t>
      </w:r>
      <w:r w:rsidR="0061757E" w:rsidRPr="0061757E">
        <w:rPr>
          <w:i/>
        </w:rPr>
        <w:t>C. difficile</w:t>
      </w:r>
      <w:r w:rsidR="0061757E">
        <w:t xml:space="preserve"> </w:t>
      </w:r>
      <w:r>
        <w:t>cases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1219"/>
        <w:gridCol w:w="1161"/>
        <w:gridCol w:w="1280"/>
        <w:gridCol w:w="1219"/>
        <w:gridCol w:w="1219"/>
        <w:gridCol w:w="1219"/>
        <w:gridCol w:w="1219"/>
        <w:gridCol w:w="1324"/>
        <w:gridCol w:w="1365"/>
        <w:gridCol w:w="971"/>
        <w:gridCol w:w="15"/>
        <w:gridCol w:w="1187"/>
      </w:tblGrid>
      <w:tr w:rsidR="008B6B17" w:rsidRPr="00164B2D" w14:paraId="0736F547" w14:textId="77777777" w:rsidTr="008B6B17">
        <w:trPr>
          <w:trHeight w:val="1329"/>
        </w:trPr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002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Age/Sex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592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Procedure Type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A1D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Co-morbidities</w:t>
            </w:r>
            <w:r w:rsidRPr="000676B9">
              <w:rPr>
                <w:rFonts w:eastAsia="Times New Roman"/>
                <w:vertAlign w:val="superscript"/>
              </w:rPr>
              <w:t>†</w:t>
            </w:r>
            <w:r>
              <w:rPr>
                <w:rFonts w:eastAsia="Times New Roman"/>
                <w:vertAlign w:val="superscript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817F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Inpatient at time of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CIED procedure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D1F0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PPI in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prior 6 months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FCE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Post-CIED Antibiotics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F193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Duration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 days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6163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Antibiotics in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last 6 months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E6C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Agent(s)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5E24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Reason for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other antibiotics</w:t>
            </w:r>
            <w:r w:rsidRPr="000676B9">
              <w:rPr>
                <w:rFonts w:ascii="Arial" w:eastAsia="Times New Roman" w:hAnsi="Arial" w:cs="Arial"/>
                <w:color w:val="222222"/>
                <w:sz w:val="17"/>
                <w:szCs w:val="17"/>
                <w:shd w:val="clear" w:color="auto" w:fill="FFFFFF"/>
                <w:vertAlign w:val="superscript"/>
              </w:rPr>
              <w:t>| |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3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659D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Interval between CIED procedure and CDI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7E38" w14:textId="69BC9CEA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CDI Complication</w:t>
            </w:r>
            <w:r w:rsidR="00B23F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8B6B17" w:rsidRPr="00164B2D" w14:paraId="7A5C0B34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26C4A7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58M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F72388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AICD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BEFB02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DMII, peripheral artery disease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4637B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1D4360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528ABFC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amoxicillin/</w:t>
            </w:r>
          </w:p>
          <w:p w14:paraId="345AEAD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clavulanate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EF0238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D8FE1A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3D1E92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E9D99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44CD1E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21CEA7A" w14:textId="62A6931E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073C04A3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826D5A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4DE788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PPM/AICD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5C384C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8C8972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25CD35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E23C42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cefazolin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D2A1F4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3FEEFA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63E074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ciprofloxacin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4AB298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Blocked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urinary catheter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5660DD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72DE87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6FD67A6B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48A87C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188B23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429D3A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COPD, AF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73A9884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49DD169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41B90EDA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cefazolin,</w:t>
            </w:r>
          </w:p>
          <w:p w14:paraId="737B932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6C9A78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12C7D7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02D7455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moxifloxacin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178C943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COPD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71DF75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3A79A4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4822999C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22358E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7F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1165D7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PPM, generator change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20CD6B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195990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31C48A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F1C3ED5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cefazolin,</w:t>
            </w:r>
          </w:p>
          <w:p w14:paraId="49A3372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vancomycin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58717A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AA4192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4657D5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486C88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BCC resection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prophylaxis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C7ACE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441B75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30E41E9F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26BD7D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E43B7E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F31BA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 s/p CABG, mitral valve replacement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779478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2BA397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3C981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A3E48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283DD8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7D63186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piperacillin/</w:t>
            </w:r>
          </w:p>
          <w:p w14:paraId="1F36C55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vancomycin, ciprofloxacin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33D3E0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Enterobacte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 PNA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F8228F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F6AD7C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65DE620D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A7777E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43EBC7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5D1173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DMII, AF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75829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41F7EE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753FF3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C71E4A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5D1DA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746E54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5D7661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37481E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7A87D5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158344D0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F6483F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78M 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E26414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CA3891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CAD, cirrhosis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8CE8BF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6DCA2C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95D858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3D8990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774A87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16EE8A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6DFC38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15C033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1F4C05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73D1876A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7F3A16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849F7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AICD, generator change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2E6CCB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CVA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B4911B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D39E6B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1549B4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doxycycline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5D6A1E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0D047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C7106E5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piperacillin/</w:t>
            </w:r>
          </w:p>
          <w:p w14:paraId="47226BE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vancomycin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0E92B91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PNA/sepsis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D2787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E6495B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72E28177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844F53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87FA3E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73C0CBB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peripheral artery disease, AAA, AF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653CE5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81F0B7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A07886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vancomycin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E07DB4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E73741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E38FBD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ceftazidime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3B21E8A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Pseudomonas PNA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EE82DE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C36F1A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2CA4D171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8DA99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82F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3AFED5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F30A9D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CHF, CVA, CKD, COPD, AF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F1C19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D9D18D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ECFFA61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vancomycin,</w:t>
            </w:r>
          </w:p>
          <w:p w14:paraId="1BC52D2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615FA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09F252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461AF9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29962C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6F7E5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4E371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74256367" w14:textId="77777777" w:rsidTr="008B6B17">
        <w:trPr>
          <w:trHeight w:val="52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A0397B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6E0C18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76E33D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lung cancer, peripheral artery disease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9C85F8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704B6F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AEB4F0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ceftriaxone, ciprofloxacin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042EB8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253425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F23B27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ciprofloxacin, </w:t>
            </w: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cefepime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meropenem</w:t>
            </w:r>
            <w:proofErr w:type="spellEnd"/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783027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UTI, wound infection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0314C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vAlign w:val="center"/>
            <w:hideMark/>
          </w:tcPr>
          <w:p w14:paraId="794200C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Toxic megacolon 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requiring colectomy</w:t>
            </w:r>
          </w:p>
        </w:tc>
      </w:tr>
      <w:tr w:rsidR="008B6B17" w:rsidRPr="00164B2D" w14:paraId="033B6B79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596369C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55DD6E1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PPM, generator change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AD4C1F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CHF,DMII, AF,COPD, lung cancer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3F23071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3DD4B53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4388BA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852072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DE9C85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3CB8D6DA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oxifloxacin, piperacillin/</w:t>
            </w:r>
          </w:p>
          <w:p w14:paraId="1A174A3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imipenem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0A87758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PNA/sepsis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9B4897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E09A63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  <w:tr w:rsidR="008B6B17" w:rsidRPr="00164B2D" w14:paraId="7C3D2FC3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996B76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607D2D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52FCDA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DMII, CKD, AF, deep vein thrombosis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F17A2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BE8E98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153264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cefazolin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DF0238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0907CB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20D3DA4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moxifloxacin, vancomycin, ampicillin</w:t>
            </w:r>
          </w:p>
          <w:p w14:paraId="1102892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sulbactam</w:t>
            </w:r>
            <w:proofErr w:type="spellEnd"/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9549AE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Cellulitis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C73B7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F40991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76B548F3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25E3F1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4A6CA3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DA7912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aortic stenosis, CKD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078F08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AAFE63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920E71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cefazolin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E4F106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A35741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FB2ADF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4C94F0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9EA698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0DF6F1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50896DCC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3BC87B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2AE5D0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634AE1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E067CB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9EA8D3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63719B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AE272E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C5FA1B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BCC15D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F6DC41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07DBF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58DEB5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6881B7F4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3461B9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67M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39E38C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PPM/AICD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7F586A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13BBCD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  <w:r w:rsidRPr="000676B9">
              <w:rPr>
                <w:rFonts w:ascii="Arial" w:hAnsi="Arial" w:cs="Arial"/>
                <w:sz w:val="17"/>
                <w:szCs w:val="17"/>
                <w:vertAlign w:val="superscript"/>
              </w:rPr>
              <w:t>‡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BC752F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8C70B6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70C317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9D1DED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35FDF8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00F726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BA46E8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E31D33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20F3A352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37B01F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106C03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B08B7E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DMII, CKD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883DC0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9DD55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30E0C5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CFB9BF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B9AA44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69CF9F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ceftriaxone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7F2DEE7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UTI/diarrhea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022299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9A16D8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3895CE73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DCD3B0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5D9AB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306046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CABG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8E4932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3EF0D9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4E88D4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880C49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F01DE7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5C07BB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ciprofloxacin, metronidazol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457A27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Cecal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Inflammation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10111B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125D6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11716157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61DD4B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175511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CB56B9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aortic stenosis, CAD s/p CABG, bladder cancer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6EDB0E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7A8BCC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F5FDC5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B95B81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9C4688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EEAEDF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ceftriaxone, vancomycin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B7FE4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CABG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prophylaxis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EA3236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3918A3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1BE10674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5B000E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C1F5D8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A540C6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aortic stenosis, colon cancer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56D087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2EA7B6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88DAF1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E82922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22E57C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6EA7D87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piperacillin/</w:t>
            </w:r>
          </w:p>
          <w:p w14:paraId="7CDE972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258CD3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Small bowel obstruction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3C4A28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99CB53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7B8505BC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2C1533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52F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DA1BB2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PPM, generator change, new RV defib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rillator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lead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096532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breast cancer, leukemia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20227F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7C2F16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CB33C9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327DCE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B5222F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9136B0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8FD4ED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8C69ED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6C981C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64F05A01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939F7F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FEA32D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PPM/AICD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6AC5A5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DMII, TIA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1269F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678D31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44724C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85B813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9793CB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B1C71C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D46E6F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416961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189222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4C0775A4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3B9D3C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AFE0CA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F372AD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CHF, DMII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274713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827703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C09D5A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doxycycline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055A34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064FB1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D023CB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ciprofloxacin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9E0D0C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0B6AB1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ACED67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2BBBA441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538F48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7F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&gt;</w:t>
            </w: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50B05F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PPM/AICD upgrade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2EFA8E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COPD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F302C5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620FD5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AA2B06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doxycycline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E55CD5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CB424F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5FA790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azithromycin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5012FCB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COPD Exacerbation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993786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97FED3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180E288C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58992C93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74FF0E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0D8835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colon cancer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D3267E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01C912F1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9E84AF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vancomycin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F91C8E4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6D4C2C6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B40E7CA" w14:textId="77777777" w:rsidR="008B6B17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piperacillin/</w:t>
            </w:r>
          </w:p>
          <w:p w14:paraId="040923A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vancomycin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6DA872A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HAP/VAP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244A14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DECFF6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332610D8" w14:textId="77777777" w:rsidTr="008B6B17">
        <w:trPr>
          <w:trHeight w:val="280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7236437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60M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6C65C4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PPM/AICD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2CF175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CHF, DMII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7DBF2EA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000000" w:fill="FFFFFF"/>
            <w:noWrap/>
            <w:vAlign w:val="center"/>
            <w:hideMark/>
          </w:tcPr>
          <w:p w14:paraId="2A6CE860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2F1B778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BC548E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6A8B0EC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73C3A77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cephalexin, TMP/SMX</w:t>
            </w:r>
            <w:r w:rsidRPr="000676B9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§ </w:t>
            </w:r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33FD382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Elbow swelling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146036F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single" w:sz="8" w:space="0" w:color="E7E6E6" w:themeColor="background2"/>
              <w:right w:val="nil"/>
            </w:tcBorders>
            <w:shd w:val="clear" w:color="auto" w:fill="auto"/>
            <w:noWrap/>
            <w:vAlign w:val="center"/>
            <w:hideMark/>
          </w:tcPr>
          <w:p w14:paraId="4A2972C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4B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8B6B17" w:rsidRPr="00164B2D" w14:paraId="0712F8A0" w14:textId="77777777" w:rsidTr="008B6B17">
        <w:trPr>
          <w:trHeight w:val="322"/>
        </w:trPr>
        <w:tc>
          <w:tcPr>
            <w:tcW w:w="41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60F74C" w14:textId="77777777" w:rsidR="008B6B17" w:rsidRPr="000E111A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*79M</w:t>
            </w:r>
            <w:r w:rsidRPr="00C22E1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C0DBA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Temporary Pacer</w:t>
            </w:r>
          </w:p>
        </w:tc>
        <w:tc>
          <w:tcPr>
            <w:tcW w:w="39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A780B9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CAD, CHF, DMII, CKD</w:t>
            </w:r>
          </w:p>
        </w:tc>
        <w:tc>
          <w:tcPr>
            <w:tcW w:w="438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01FF1D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4E76E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34" w:type="pct"/>
            <w:gridSpan w:val="2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5662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Ongoing antibiotic therapy for other indications – not modified for temporary pacemaker procedure</w:t>
            </w:r>
          </w:p>
        </w:tc>
        <w:tc>
          <w:tcPr>
            <w:tcW w:w="41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1A4E7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3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E758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Imipenem, vancomycin, metronidazole, piperacillin/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tazobactam</w:t>
            </w:r>
            <w:proofErr w:type="spellEnd"/>
          </w:p>
        </w:tc>
        <w:tc>
          <w:tcPr>
            <w:tcW w:w="467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E1FF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Sepsis</w:t>
            </w:r>
          </w:p>
        </w:tc>
        <w:tc>
          <w:tcPr>
            <w:tcW w:w="332" w:type="pct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FB55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CDI positive prior to procedure</w:t>
            </w:r>
          </w:p>
        </w:tc>
        <w:tc>
          <w:tcPr>
            <w:tcW w:w="412" w:type="pct"/>
            <w:gridSpan w:val="2"/>
            <w:tcBorders>
              <w:top w:val="single" w:sz="8" w:space="0" w:color="E7E6E6" w:themeColor="background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C3EC" w14:textId="77777777" w:rsidR="008B6B17" w:rsidRPr="00164B2D" w:rsidRDefault="008B6B17" w:rsidP="00E506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</w:tr>
    </w:tbl>
    <w:p w14:paraId="7DD8B4F7" w14:textId="77777777" w:rsidR="008B6B17" w:rsidRDefault="008B6B17" w:rsidP="008B6B17">
      <w:pPr>
        <w:spacing w:line="480" w:lineRule="auto"/>
      </w:pPr>
    </w:p>
    <w:p w14:paraId="7DA35353" w14:textId="77777777" w:rsidR="008B6B17" w:rsidRPr="009715EF" w:rsidRDefault="008B6B17" w:rsidP="008B6B1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Footnotes: </w:t>
      </w:r>
    </w:p>
    <w:p w14:paraId="7DC0910F" w14:textId="77777777" w:rsidR="008B6B17" w:rsidRPr="009715EF" w:rsidRDefault="008B6B17" w:rsidP="008B6B1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*</w:t>
      </w:r>
      <w:r w:rsidRPr="009715EF">
        <w:rPr>
          <w:rFonts w:ascii="Arial" w:hAnsi="Arial" w:cs="Arial"/>
          <w:sz w:val="17"/>
          <w:szCs w:val="17"/>
        </w:rPr>
        <w:t xml:space="preserve"> PPM = permanent pacemaker, AICD = Automated implantable cardioverter defibrillator</w:t>
      </w:r>
    </w:p>
    <w:p w14:paraId="5F89DAAB" w14:textId="77777777" w:rsidR="008B6B17" w:rsidRPr="009715EF" w:rsidRDefault="008B6B17" w:rsidP="008B6B17">
      <w:pPr>
        <w:rPr>
          <w:rFonts w:ascii="Arial" w:hAnsi="Arial" w:cs="Arial"/>
          <w:sz w:val="17"/>
          <w:szCs w:val="17"/>
        </w:rPr>
      </w:pPr>
      <w:r w:rsidRPr="000676B9">
        <w:rPr>
          <w:rFonts w:eastAsia="Times New Roman"/>
          <w:vertAlign w:val="superscript"/>
        </w:rPr>
        <w:t>†</w:t>
      </w:r>
      <w:r>
        <w:rPr>
          <w:rFonts w:eastAsia="Times New Roman"/>
          <w:vertAlign w:val="superscript"/>
        </w:rPr>
        <w:t xml:space="preserve"> </w:t>
      </w:r>
      <w:r w:rsidRPr="009715EF">
        <w:rPr>
          <w:rFonts w:ascii="Arial" w:hAnsi="Arial" w:cs="Arial"/>
          <w:sz w:val="17"/>
          <w:szCs w:val="17"/>
        </w:rPr>
        <w:t>CHF = congestive heart failure, DMII = type II diabetes mellitus, CKD = chronic kidney disease, CAD = coronary artery disease, AF = atrial fibrillation/flutter, CABG = coronary artery bypass grafting, CVA = cerebrovascular accident, AAA = abdominal aortic aneurysm, TIA = transient ischemic attack, COPD = chronic obstruction pulmonary disease</w:t>
      </w:r>
    </w:p>
    <w:p w14:paraId="4696B374" w14:textId="77777777" w:rsidR="008B6B17" w:rsidRPr="009715EF" w:rsidRDefault="008B6B17" w:rsidP="008B6B17">
      <w:pPr>
        <w:rPr>
          <w:rFonts w:ascii="Arial" w:hAnsi="Arial" w:cs="Arial"/>
          <w:sz w:val="17"/>
          <w:szCs w:val="17"/>
        </w:rPr>
      </w:pPr>
      <w:r w:rsidRPr="00C22E1A">
        <w:rPr>
          <w:rFonts w:ascii="Arial" w:hAnsi="Arial" w:cs="Arial"/>
          <w:sz w:val="17"/>
          <w:szCs w:val="17"/>
          <w:vertAlign w:val="superscript"/>
        </w:rPr>
        <w:t>‡</w:t>
      </w:r>
      <w:r w:rsidRPr="009715EF">
        <w:rPr>
          <w:rFonts w:ascii="Arial" w:hAnsi="Arial" w:cs="Arial"/>
          <w:sz w:val="17"/>
          <w:szCs w:val="17"/>
        </w:rPr>
        <w:t xml:space="preserve"> Patient was admitted 1-month prior</w:t>
      </w:r>
    </w:p>
    <w:p w14:paraId="1E6F411C" w14:textId="77777777" w:rsidR="008B6B17" w:rsidRPr="009715EF" w:rsidRDefault="008B6B17" w:rsidP="008B6B17">
      <w:pPr>
        <w:rPr>
          <w:rFonts w:ascii="Arial" w:hAnsi="Arial" w:cs="Arial"/>
          <w:sz w:val="17"/>
          <w:szCs w:val="17"/>
        </w:rPr>
      </w:pPr>
      <w:bookmarkStart w:id="0" w:name="_GoBack"/>
      <w:r w:rsidRPr="00C22E1A">
        <w:rPr>
          <w:rFonts w:ascii="Arial" w:hAnsi="Arial" w:cs="Arial"/>
          <w:sz w:val="17"/>
          <w:szCs w:val="17"/>
          <w:vertAlign w:val="superscript"/>
        </w:rPr>
        <w:t>§</w:t>
      </w:r>
      <w:bookmarkEnd w:id="0"/>
      <w:r w:rsidRPr="00C22E1A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9715EF">
        <w:rPr>
          <w:rFonts w:ascii="Arial" w:hAnsi="Arial" w:cs="Arial"/>
          <w:sz w:val="17"/>
          <w:szCs w:val="17"/>
        </w:rPr>
        <w:t>TMP/SMX = trimethoprim/sulfamethoxazole</w:t>
      </w:r>
    </w:p>
    <w:p w14:paraId="2D218C17" w14:textId="77777777" w:rsidR="008B6B17" w:rsidRPr="00C22E1A" w:rsidRDefault="008B6B17" w:rsidP="008B6B17">
      <w:pPr>
        <w:rPr>
          <w:rFonts w:eastAsia="Times New Roman"/>
          <w:sz w:val="17"/>
          <w:szCs w:val="17"/>
        </w:rPr>
      </w:pPr>
      <w:r w:rsidRPr="00C22E1A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vertAlign w:val="superscript"/>
        </w:rPr>
        <w:t>| |</w:t>
      </w:r>
      <w:r>
        <w:rPr>
          <w:rFonts w:eastAsia="Times New Roman"/>
          <w:sz w:val="17"/>
          <w:szCs w:val="17"/>
        </w:rPr>
        <w:t xml:space="preserve"> </w:t>
      </w:r>
      <w:r w:rsidRPr="009715EF">
        <w:rPr>
          <w:rFonts w:ascii="Arial" w:hAnsi="Arial" w:cs="Arial"/>
          <w:sz w:val="17"/>
          <w:szCs w:val="17"/>
        </w:rPr>
        <w:t>BCC = basal cell carcinoma, HAP = hospital acquired pneumonia, VAP = ventilator associated pneumonia, PNA = pneumonia, COPD = chronic obstruction pulmonary disease,</w:t>
      </w:r>
      <w:r>
        <w:rPr>
          <w:rFonts w:ascii="Arial" w:hAnsi="Arial" w:cs="Arial"/>
          <w:sz w:val="17"/>
          <w:szCs w:val="17"/>
        </w:rPr>
        <w:t xml:space="preserve"> UTI = urinary tract infection</w:t>
      </w:r>
    </w:p>
    <w:p w14:paraId="7B081BAE" w14:textId="77777777" w:rsidR="008B6B17" w:rsidRDefault="008B6B17" w:rsidP="008B6B17">
      <w:pPr>
        <w:rPr>
          <w:rFonts w:ascii="Arial" w:hAnsi="Arial" w:cs="Arial"/>
          <w:sz w:val="17"/>
          <w:szCs w:val="17"/>
        </w:rPr>
      </w:pPr>
      <w:r w:rsidRPr="00C22E1A">
        <w:rPr>
          <w:rFonts w:ascii="Arial" w:hAnsi="Arial" w:cs="Arial"/>
          <w:sz w:val="17"/>
          <w:szCs w:val="17"/>
          <w:vertAlign w:val="superscript"/>
        </w:rPr>
        <w:t>#</w:t>
      </w:r>
      <w:r>
        <w:rPr>
          <w:rFonts w:ascii="Arial" w:hAnsi="Arial" w:cs="Arial"/>
          <w:sz w:val="17"/>
          <w:szCs w:val="17"/>
        </w:rPr>
        <w:t xml:space="preserve"> This patient underwent a temporary pacemaker procedure that was misclassified as a permanent pacemaker</w:t>
      </w:r>
    </w:p>
    <w:p w14:paraId="7A0AF1DA" w14:textId="2296C7A6" w:rsidR="00A267AE" w:rsidRPr="009715EF" w:rsidRDefault="00A267AE" w:rsidP="008B6B1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** Due to multiple co-morbidities and complex issues at time of death</w:t>
      </w:r>
      <w:r w:rsidR="00B23F0B"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sz w:val="17"/>
          <w:szCs w:val="17"/>
        </w:rPr>
        <w:t>it was difficult to ascertain if CDI was sole cause of mortality</w:t>
      </w:r>
      <w:r w:rsidR="00B23F0B">
        <w:rPr>
          <w:rFonts w:ascii="Arial" w:hAnsi="Arial" w:cs="Arial"/>
          <w:sz w:val="17"/>
          <w:szCs w:val="17"/>
        </w:rPr>
        <w:t xml:space="preserve"> in affected patients. However,</w:t>
      </w:r>
      <w:r>
        <w:rPr>
          <w:rFonts w:ascii="Arial" w:hAnsi="Arial" w:cs="Arial"/>
          <w:sz w:val="17"/>
          <w:szCs w:val="17"/>
        </w:rPr>
        <w:t xml:space="preserve"> in all cases where the patient died, CDI was a significant contributing factor. </w:t>
      </w:r>
    </w:p>
    <w:p w14:paraId="011ACD70" w14:textId="77777777" w:rsidR="008B6B17" w:rsidRPr="00347D9F" w:rsidRDefault="008B6B17" w:rsidP="008B6B17">
      <w:pPr>
        <w:spacing w:line="480" w:lineRule="auto"/>
      </w:pPr>
    </w:p>
    <w:p w14:paraId="5BFD9170" w14:textId="77777777" w:rsidR="00C93DB9" w:rsidRDefault="002B0C75"/>
    <w:sectPr w:rsidR="00C93DB9" w:rsidSect="00EE15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8"/>
    <w:rsid w:val="00014EF5"/>
    <w:rsid w:val="00166C94"/>
    <w:rsid w:val="00182D82"/>
    <w:rsid w:val="001A7578"/>
    <w:rsid w:val="0026538E"/>
    <w:rsid w:val="0027525F"/>
    <w:rsid w:val="00294308"/>
    <w:rsid w:val="002B0C75"/>
    <w:rsid w:val="00334A0C"/>
    <w:rsid w:val="00376616"/>
    <w:rsid w:val="00484238"/>
    <w:rsid w:val="004F0145"/>
    <w:rsid w:val="00513D70"/>
    <w:rsid w:val="0056328E"/>
    <w:rsid w:val="00615C25"/>
    <w:rsid w:val="0061757E"/>
    <w:rsid w:val="0062208E"/>
    <w:rsid w:val="006674A6"/>
    <w:rsid w:val="008347B7"/>
    <w:rsid w:val="00843F80"/>
    <w:rsid w:val="008B6B17"/>
    <w:rsid w:val="008C4F0D"/>
    <w:rsid w:val="00960A13"/>
    <w:rsid w:val="00996F5B"/>
    <w:rsid w:val="009C11E5"/>
    <w:rsid w:val="009C438A"/>
    <w:rsid w:val="009E18F1"/>
    <w:rsid w:val="00A0779E"/>
    <w:rsid w:val="00A253C2"/>
    <w:rsid w:val="00A267AE"/>
    <w:rsid w:val="00A36E81"/>
    <w:rsid w:val="00A610E1"/>
    <w:rsid w:val="00A81F65"/>
    <w:rsid w:val="00AA36C5"/>
    <w:rsid w:val="00B23F0B"/>
    <w:rsid w:val="00BB519E"/>
    <w:rsid w:val="00BB75D2"/>
    <w:rsid w:val="00BC3F1D"/>
    <w:rsid w:val="00C147AE"/>
    <w:rsid w:val="00C2726C"/>
    <w:rsid w:val="00C47E05"/>
    <w:rsid w:val="00CE590A"/>
    <w:rsid w:val="00D31420"/>
    <w:rsid w:val="00D625E6"/>
    <w:rsid w:val="00D75154"/>
    <w:rsid w:val="00E425C6"/>
    <w:rsid w:val="00E7725D"/>
    <w:rsid w:val="00EC3E04"/>
    <w:rsid w:val="00EF7F57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FFD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B1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2018-06-12T18:28:00Z</dcterms:created>
  <dcterms:modified xsi:type="dcterms:W3CDTF">2018-06-12T18:28:00Z</dcterms:modified>
</cp:coreProperties>
</file>