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47" w:rsidRDefault="00A53747" w:rsidP="00A53747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295752">
        <w:rPr>
          <w:sz w:val="24"/>
          <w:szCs w:val="24"/>
        </w:rPr>
        <w:t>Supplemental table</w:t>
      </w:r>
      <w:r>
        <w:rPr>
          <w:sz w:val="24"/>
          <w:szCs w:val="24"/>
        </w:rPr>
        <w:t>s</w:t>
      </w:r>
    </w:p>
    <w:p w:rsidR="00A53747" w:rsidRDefault="00A53747" w:rsidP="00A53747"/>
    <w:p w:rsidR="00A53747" w:rsidRPr="003358C9" w:rsidRDefault="00A53747" w:rsidP="00A53747">
      <w:pPr>
        <w:pStyle w:val="Caption"/>
        <w:keepNext/>
        <w:spacing w:line="360" w:lineRule="auto"/>
        <w:contextualSpacing/>
        <w:jc w:val="center"/>
        <w:rPr>
          <w:rFonts w:ascii="Arial" w:hAnsi="Arial" w:cs="Arial"/>
          <w:i w:val="0"/>
          <w:color w:val="000000"/>
          <w:sz w:val="16"/>
          <w:szCs w:val="16"/>
        </w:rPr>
      </w:pPr>
      <w:bookmarkStart w:id="0" w:name="_Toc510892377"/>
      <w:bookmarkStart w:id="1" w:name="_Toc510892378"/>
      <w:r>
        <w:rPr>
          <w:rFonts w:ascii="Arial" w:hAnsi="Arial" w:cs="Arial"/>
          <w:i w:val="0"/>
          <w:color w:val="000000"/>
          <w:sz w:val="16"/>
          <w:szCs w:val="16"/>
        </w:rPr>
        <w:t>Table 1</w:t>
      </w:r>
      <w:r w:rsidRPr="003358C9">
        <w:rPr>
          <w:rFonts w:ascii="Arial" w:hAnsi="Arial" w:cs="Arial"/>
          <w:i w:val="0"/>
          <w:color w:val="000000"/>
          <w:sz w:val="16"/>
          <w:szCs w:val="16"/>
        </w:rPr>
        <w:t>: Demographic and clinical characteristics among patients enrolled in a point-prevalence survey of antimicrobial use, Southern Province, Sri Lanka, 2017</w:t>
      </w:r>
      <w:bookmarkEnd w:id="0"/>
    </w:p>
    <w:tbl>
      <w:tblPr>
        <w:tblW w:w="90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777"/>
        <w:gridCol w:w="820"/>
        <w:gridCol w:w="880"/>
        <w:gridCol w:w="818"/>
        <w:gridCol w:w="880"/>
        <w:gridCol w:w="831"/>
        <w:gridCol w:w="997"/>
      </w:tblGrid>
      <w:tr w:rsidR="00A53747" w:rsidRPr="003358C9" w:rsidTr="0025587D">
        <w:trPr>
          <w:trHeight w:val="661"/>
          <w:jc w:val="center"/>
        </w:trPr>
        <w:tc>
          <w:tcPr>
            <w:tcW w:w="324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Characteristic</w:t>
            </w:r>
          </w:p>
        </w:tc>
        <w:tc>
          <w:tcPr>
            <w:tcW w:w="13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Total Patients (N = 1,709)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 xml:space="preserve">Patients on Antimicrobials </w:t>
            </w:r>
          </w:p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(N = 935)</w:t>
            </w:r>
          </w:p>
        </w:tc>
        <w:tc>
          <w:tcPr>
            <w:tcW w:w="17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Patients Not on Antimicrobials (N = 774)</w:t>
            </w:r>
          </w:p>
        </w:tc>
        <w:tc>
          <w:tcPr>
            <w:tcW w:w="10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P Values</w:t>
            </w:r>
          </w:p>
        </w:tc>
      </w:tr>
      <w:tr w:rsidR="00A53747" w:rsidRPr="003358C9" w:rsidTr="0025587D">
        <w:trPr>
          <w:trHeight w:val="706"/>
          <w:jc w:val="center"/>
        </w:trPr>
        <w:tc>
          <w:tcPr>
            <w:tcW w:w="32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 or median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 or IQR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c</w:t>
            </w:r>
            <w:r w:rsidRPr="003358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 or median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 or IQR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 or median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 or IQR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Age, years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42.2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21.0-63.0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43.1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20.0-64.0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41.1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22.0-60.7</w:t>
            </w:r>
          </w:p>
        </w:tc>
        <w:tc>
          <w:tcPr>
            <w:tcW w:w="1025" w:type="dxa"/>
            <w:tcBorders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0.053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Male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55.8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44.2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0.332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Hospitalization Duration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r w:rsidRPr="003358C9">
              <w:rPr>
                <w:rFonts w:ascii="Arial" w:hAnsi="Arial" w:cs="Arial"/>
                <w:b/>
                <w:sz w:val="16"/>
                <w:szCs w:val="16"/>
              </w:rPr>
              <w:t xml:space="preserve">, days 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2.0-6.0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3.0-8.0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2.0-4.0</w:t>
            </w:r>
          </w:p>
        </w:tc>
        <w:tc>
          <w:tcPr>
            <w:tcW w:w="1025" w:type="dxa"/>
            <w:tcBorders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Antimicrobial Allergy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Available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0.019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Chronic Medical Conditions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661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Total patients with chronic medical conditions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40.3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45.8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33.7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Cardiovascular disease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0.479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Neurologic disease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0.647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OLE_LINK10"/>
            <w:bookmarkStart w:id="3" w:name="OLE_LINK11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Psychiatric disease</w:t>
            </w:r>
            <w:bookmarkEnd w:id="2"/>
            <w:bookmarkEnd w:id="3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0.703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Renal/Genitourinary disease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0.061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25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Endocrine disease</w:t>
            </w:r>
            <w:bookmarkEnd w:id="4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OLE_LINK26"/>
            <w:bookmarkStart w:id="6" w:name="OLE_LINK27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Pulmonary disease</w:t>
            </w:r>
            <w:bookmarkEnd w:id="5"/>
            <w:bookmarkEnd w:id="6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" w:name="OLE_LINK28"/>
            <w:bookmarkStart w:id="8" w:name="OLE_LINK29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Gastrointestinal disease</w:t>
            </w:r>
            <w:bookmarkEnd w:id="7"/>
            <w:bookmarkEnd w:id="8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0.884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9" w:name="OLE_LINK30"/>
            <w:bookmarkStart w:id="10" w:name="OLE_LINK31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Hematologic disease</w:t>
            </w:r>
            <w:bookmarkEnd w:id="9"/>
            <w:bookmarkEnd w:id="10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1" w:name="OLE_LINK32"/>
            <w:bookmarkStart w:id="12" w:name="OLE_LINK33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Rheumatologic disease</w:t>
            </w:r>
            <w:bookmarkEnd w:id="11"/>
            <w:bookmarkEnd w:id="12"/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/Arthritis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Malignancy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0.153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Other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0.019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Admission Diagnosis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Dengue fever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34.6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Acute lower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respiratory infection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Cellulitis and acute </w:t>
            </w: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lymphangitis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Fever of unknown origin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Disorders of the urinary system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Acute myocardial infarction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3" w:name="OLE_LINK4"/>
            <w:bookmarkStart w:id="14" w:name="OLE_LINK5"/>
            <w:bookmarkStart w:id="15" w:name="OLE_LINK6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Infectious gastroenteritis and </w:t>
            </w: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colitis</w:t>
            </w:r>
            <w:bookmarkEnd w:id="13"/>
            <w:bookmarkEnd w:id="14"/>
            <w:bookmarkEnd w:id="15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OLE_LINK39"/>
            <w:bookmarkStart w:id="17" w:name="OLE_LINK40"/>
            <w:r w:rsidRPr="003358C9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0.450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Asthma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Pain in throat and chest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Sepsis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Nausea and vomiting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0.943</w:t>
            </w:r>
          </w:p>
        </w:tc>
      </w:tr>
      <w:tr w:rsidR="00A53747" w:rsidRPr="003358C9" w:rsidTr="0025587D">
        <w:trPr>
          <w:trHeight w:val="309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Open wound of ankle, foot and toes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</w:tr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Fracture of lower leg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</w:tr>
      <w:bookmarkEnd w:id="16"/>
      <w:bookmarkEnd w:id="17"/>
      <w:tr w:rsidR="00A53747" w:rsidRPr="003358C9" w:rsidTr="0025587D">
        <w:trPr>
          <w:trHeight w:val="352"/>
          <w:jc w:val="center"/>
        </w:trPr>
        <w:tc>
          <w:tcPr>
            <w:tcW w:w="32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Disorders of vestibular function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58C9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</w:tr>
    </w:tbl>
    <w:p w:rsidR="00A53747" w:rsidRPr="003358C9" w:rsidRDefault="00A53747" w:rsidP="00A53747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a</w:t>
      </w:r>
      <w:r w:rsidRPr="003358C9">
        <w:rPr>
          <w:rFonts w:ascii="Arial" w:hAnsi="Arial" w:cs="Arial"/>
          <w:sz w:val="16"/>
          <w:szCs w:val="16"/>
        </w:rPr>
        <w:t xml:space="preserve"> At time of enrollment.</w:t>
      </w:r>
    </w:p>
    <w:p w:rsidR="00A53747" w:rsidRPr="003358C9" w:rsidRDefault="00A53747" w:rsidP="00A53747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b</w:t>
      </w:r>
      <w:r w:rsidRPr="003358C9">
        <w:rPr>
          <w:rFonts w:ascii="Arial" w:hAnsi="Arial" w:cs="Arial"/>
          <w:sz w:val="16"/>
          <w:szCs w:val="16"/>
        </w:rPr>
        <w:t xml:space="preserve"> Only diagnoses attributed to 20 patients or more are listed.</w:t>
      </w:r>
    </w:p>
    <w:p w:rsidR="00A53747" w:rsidRPr="003358C9" w:rsidRDefault="00A53747" w:rsidP="00A53747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c</w:t>
      </w:r>
      <w:r w:rsidRPr="003358C9">
        <w:rPr>
          <w:rFonts w:ascii="Arial" w:hAnsi="Arial" w:cs="Arial"/>
          <w:sz w:val="16"/>
          <w:szCs w:val="16"/>
        </w:rPr>
        <w:t xml:space="preserve"> The interquartile range corresponds to 25</w:t>
      </w:r>
      <w:r w:rsidRPr="003358C9">
        <w:rPr>
          <w:rFonts w:ascii="Arial" w:hAnsi="Arial" w:cs="Arial"/>
          <w:sz w:val="16"/>
          <w:szCs w:val="16"/>
          <w:vertAlign w:val="superscript"/>
        </w:rPr>
        <w:t>th</w:t>
      </w:r>
      <w:r w:rsidRPr="003358C9">
        <w:rPr>
          <w:rFonts w:ascii="Arial" w:hAnsi="Arial" w:cs="Arial"/>
          <w:sz w:val="16"/>
          <w:szCs w:val="16"/>
        </w:rPr>
        <w:t xml:space="preserve"> - 75</w:t>
      </w:r>
      <w:r w:rsidRPr="003358C9">
        <w:rPr>
          <w:rFonts w:ascii="Arial" w:hAnsi="Arial" w:cs="Arial"/>
          <w:sz w:val="16"/>
          <w:szCs w:val="16"/>
          <w:vertAlign w:val="superscript"/>
        </w:rPr>
        <w:t>th</w:t>
      </w:r>
      <w:r w:rsidRPr="003358C9">
        <w:rPr>
          <w:rFonts w:ascii="Arial" w:hAnsi="Arial" w:cs="Arial"/>
          <w:sz w:val="16"/>
          <w:szCs w:val="16"/>
        </w:rPr>
        <w:t xml:space="preserve"> percentile.</w:t>
      </w:r>
    </w:p>
    <w:p w:rsidR="00A53747" w:rsidRDefault="00A53747" w:rsidP="00A53747">
      <w:pPr>
        <w:pStyle w:val="Caption"/>
        <w:keepNext/>
        <w:spacing w:line="480" w:lineRule="auto"/>
        <w:contextualSpacing/>
        <w:jc w:val="center"/>
        <w:rPr>
          <w:rFonts w:ascii="Arial" w:hAnsi="Arial" w:cs="Arial"/>
          <w:i w:val="0"/>
          <w:color w:val="000000"/>
          <w:sz w:val="16"/>
          <w:szCs w:val="16"/>
        </w:rPr>
      </w:pPr>
    </w:p>
    <w:p w:rsidR="00A53747" w:rsidRPr="003358C9" w:rsidRDefault="00A53747" w:rsidP="00A53747">
      <w:pPr>
        <w:pStyle w:val="Caption"/>
        <w:keepNext/>
        <w:spacing w:line="480" w:lineRule="auto"/>
        <w:contextualSpacing/>
        <w:jc w:val="center"/>
        <w:rPr>
          <w:rFonts w:ascii="Arial" w:hAnsi="Arial" w:cs="Arial"/>
          <w:i w:val="0"/>
          <w:color w:val="000000"/>
          <w:sz w:val="16"/>
          <w:szCs w:val="16"/>
        </w:rPr>
      </w:pPr>
      <w:r>
        <w:rPr>
          <w:rFonts w:ascii="Arial" w:hAnsi="Arial" w:cs="Arial"/>
          <w:i w:val="0"/>
          <w:color w:val="000000"/>
          <w:sz w:val="16"/>
          <w:szCs w:val="16"/>
        </w:rPr>
        <w:t>Table 2</w:t>
      </w:r>
      <w:r w:rsidRPr="003358C9">
        <w:rPr>
          <w:rFonts w:ascii="Arial" w:hAnsi="Arial" w:cs="Arial"/>
          <w:i w:val="0"/>
          <w:color w:val="000000"/>
          <w:sz w:val="16"/>
          <w:szCs w:val="16"/>
        </w:rPr>
        <w:t>: Indications for antimicrobial use, organized by type of ward, southern Sri Lanka, 2017</w:t>
      </w:r>
      <w:bookmarkEnd w:id="1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484"/>
        <w:gridCol w:w="979"/>
        <w:gridCol w:w="504"/>
        <w:gridCol w:w="529"/>
        <w:gridCol w:w="504"/>
        <w:gridCol w:w="529"/>
        <w:gridCol w:w="507"/>
        <w:gridCol w:w="519"/>
        <w:gridCol w:w="13"/>
        <w:gridCol w:w="505"/>
        <w:gridCol w:w="701"/>
        <w:gridCol w:w="1160"/>
      </w:tblGrid>
      <w:tr w:rsidR="00A53747" w:rsidRPr="003358C9" w:rsidTr="0025587D">
        <w:trPr>
          <w:trHeight w:val="721"/>
        </w:trPr>
        <w:tc>
          <w:tcPr>
            <w:tcW w:w="138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Characteristic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Total Patients on </w:t>
            </w:r>
            <w:bookmarkStart w:id="18" w:name="OLE_LINK55"/>
            <w:bookmarkStart w:id="19" w:name="OLE_LINK56"/>
            <w:r w:rsidRPr="003358C9">
              <w:rPr>
                <w:rFonts w:ascii="Arial" w:hAnsi="Arial" w:cs="Arial"/>
                <w:b/>
                <w:sz w:val="16"/>
                <w:szCs w:val="16"/>
                <w:lang w:val="fr-FR"/>
              </w:rPr>
              <w:t>Antimicrobials</w:t>
            </w:r>
            <w:bookmarkEnd w:id="18"/>
            <w:bookmarkEnd w:id="19"/>
          </w:p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  <w:lang w:val="fr-FR"/>
              </w:rPr>
              <w:t>(N = 935)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 xml:space="preserve">Medical Wards </w:t>
            </w:r>
          </w:p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(N = 406)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Surgical Wards</w:t>
            </w:r>
          </w:p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(N = 316)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Pediatric Wards</w:t>
            </w:r>
          </w:p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(N = 135)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Intensive Care Units (N = 78)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P Values</w:t>
            </w:r>
          </w:p>
        </w:tc>
      </w:tr>
      <w:tr w:rsidR="00A53747" w:rsidRPr="003358C9" w:rsidTr="0025587D">
        <w:trPr>
          <w:trHeight w:val="141"/>
        </w:trPr>
        <w:tc>
          <w:tcPr>
            <w:tcW w:w="138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 xml:space="preserve">Indication for Antimicrobials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Present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Yes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83.3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81.3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82.3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86.7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92.3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0.076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    Per chart</w:t>
            </w:r>
          </w:p>
        </w:tc>
        <w:tc>
          <w:tcPr>
            <w:tcW w:w="19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517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37.4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33.5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40.2</w:t>
            </w: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48.1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28.2</w:t>
            </w:r>
          </w:p>
        </w:tc>
        <w:tc>
          <w:tcPr>
            <w:tcW w:w="61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0.004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    Inferred</w:t>
            </w:r>
          </w:p>
        </w:tc>
        <w:tc>
          <w:tcPr>
            <w:tcW w:w="19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517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45.8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47.8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41.8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38.5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64.1</w:t>
            </w: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OLE_LINK53"/>
            <w:bookmarkStart w:id="21" w:name="OLE_LINK54"/>
            <w:r w:rsidRPr="003358C9">
              <w:rPr>
                <w:rFonts w:ascii="Arial" w:hAnsi="Arial" w:cs="Arial"/>
                <w:b/>
                <w:sz w:val="16"/>
                <w:szCs w:val="16"/>
              </w:rPr>
              <w:t>Number of Indications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20"/>
      <w:bookmarkEnd w:id="21"/>
      <w:tr w:rsidR="00A53747" w:rsidRPr="003358C9" w:rsidTr="0025587D">
        <w:trPr>
          <w:trHeight w:val="23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80.2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78.3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79.4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86.7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82.1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0.206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2</w:t>
            </w:r>
          </w:p>
        </w:tc>
        <w:tc>
          <w:tcPr>
            <w:tcW w:w="19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7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2.7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2.7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9.0</w:t>
            </w: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&gt;= 3</w:t>
            </w:r>
          </w:p>
        </w:tc>
        <w:tc>
          <w:tcPr>
            <w:tcW w:w="1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0.2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0.2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0.161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Number of Antimicrobial Agents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bookmarkStart w:id="22" w:name="OLE_LINK41"/>
            <w:bookmarkStart w:id="23" w:name="OLE_LINK42"/>
            <w:r w:rsidRPr="003358C9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51.9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55.7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44.6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69.6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30.8</w:t>
            </w:r>
          </w:p>
        </w:tc>
        <w:tc>
          <w:tcPr>
            <w:tcW w:w="61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2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36.1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36.2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41.1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25.2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34.6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3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9.9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6.9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13.0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5.2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21.8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4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0.9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10.3</w:t>
            </w: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5</w:t>
            </w:r>
          </w:p>
        </w:tc>
        <w:tc>
          <w:tcPr>
            <w:tcW w:w="1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0.2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2.6</w:t>
            </w: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22"/>
      <w:bookmarkEnd w:id="23"/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Indications</w:t>
            </w:r>
            <w:r w:rsidRPr="003358C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5"/>
        </w:trPr>
        <w:tc>
          <w:tcPr>
            <w:tcW w:w="1385" w:type="pct"/>
            <w:tcBorders>
              <w:top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Lower respiratory infection/Pneumonia</w:t>
            </w:r>
          </w:p>
        </w:tc>
        <w:tc>
          <w:tcPr>
            <w:tcW w:w="19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517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20.7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29.8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0.9</w:t>
            </w: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41.5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17.9</w:t>
            </w:r>
          </w:p>
        </w:tc>
        <w:tc>
          <w:tcPr>
            <w:tcW w:w="61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Cellulitis/Abscess/Soft tissue infection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19.4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12.6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39.5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3.8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Urinary tract infection/Pyelonephritis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13.3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7.9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8.1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0.003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Surgical prophylaxis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7.8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0.2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17.1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21.8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Upper respiratory infection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4.3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5.4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13.3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Primary bacteremia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3.6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0.3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23.1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3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Meningitis/Encephalitis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3.2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6.4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0.002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Infected wound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5.7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Leptospirosis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1.9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3.4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0.3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3.8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0.004</w:t>
            </w:r>
          </w:p>
        </w:tc>
      </w:tr>
      <w:tr w:rsidR="00A53747" w:rsidRPr="003358C9" w:rsidTr="0025587D">
        <w:trPr>
          <w:trHeight w:val="235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Fractures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1.9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4.4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2.6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Fever of unclear etiology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3.8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35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Secondary bacteremia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0.3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0.002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OLE_LINK65"/>
            <w:bookmarkStart w:id="25" w:name="OLE_LINK66"/>
            <w:r w:rsidRPr="003358C9">
              <w:rPr>
                <w:rFonts w:ascii="Arial" w:hAnsi="Arial" w:cs="Arial"/>
                <w:b/>
                <w:sz w:val="16"/>
                <w:szCs w:val="16"/>
              </w:rPr>
              <w:t>Culture Result</w:t>
            </w:r>
            <w:r w:rsidRPr="003358C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None ordered/ available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5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85.3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87.7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88.9</w:t>
            </w:r>
          </w:p>
        </w:tc>
        <w:tc>
          <w:tcPr>
            <w:tcW w:w="2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88.9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52.6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bookmarkEnd w:id="24"/>
      <w:bookmarkEnd w:id="25"/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Positive</w:t>
            </w:r>
          </w:p>
        </w:tc>
        <w:tc>
          <w:tcPr>
            <w:tcW w:w="1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6.1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4.9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4.4</w:t>
            </w:r>
          </w:p>
        </w:tc>
        <w:tc>
          <w:tcPr>
            <w:tcW w:w="27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24.3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Potentially Inappropriate Antimicrobial Use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Double anaerobic coverage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9.2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3.4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16.8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23.1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tcBorders>
              <w:top w:val="nil"/>
            </w:tcBorders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Double beta-lactam combination</w:t>
            </w:r>
          </w:p>
        </w:tc>
        <w:tc>
          <w:tcPr>
            <w:tcW w:w="19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7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7.6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7.6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8.5</w:t>
            </w: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pct"/>
            <w:gridSpan w:val="2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4.4</w:t>
            </w:r>
          </w:p>
        </w:tc>
        <w:tc>
          <w:tcPr>
            <w:tcW w:w="269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9.0</w:t>
            </w:r>
          </w:p>
        </w:tc>
        <w:tc>
          <w:tcPr>
            <w:tcW w:w="611" w:type="pct"/>
            <w:tcBorders>
              <w:top w:val="nil"/>
            </w:tcBorders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Double </w:t>
            </w:r>
            <w:bookmarkStart w:id="26" w:name="OLE_LINK7"/>
            <w:bookmarkStart w:id="27" w:name="OLE_LINK8"/>
            <w:r w:rsidRPr="003358C9">
              <w:rPr>
                <w:rFonts w:ascii="Arial" w:hAnsi="Arial" w:cs="Arial"/>
                <w:sz w:val="16"/>
                <w:szCs w:val="16"/>
              </w:rPr>
              <w:t xml:space="preserve">Pseudomonas </w:t>
            </w:r>
            <w:bookmarkEnd w:id="26"/>
            <w:bookmarkEnd w:id="27"/>
            <w:r w:rsidRPr="003358C9">
              <w:rPr>
                <w:rFonts w:ascii="Arial" w:hAnsi="Arial" w:cs="Arial"/>
                <w:sz w:val="16"/>
                <w:szCs w:val="16"/>
              </w:rPr>
              <w:t>coverage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1.5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0.7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1.6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7.7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  <w:tr w:rsidR="00A53747" w:rsidRPr="003358C9" w:rsidTr="0025587D">
        <w:trPr>
          <w:trHeight w:val="242"/>
        </w:trPr>
        <w:tc>
          <w:tcPr>
            <w:tcW w:w="1385" w:type="pct"/>
            <w:shd w:val="clear" w:color="auto" w:fill="auto"/>
            <w:vAlign w:val="center"/>
          </w:tcPr>
          <w:p w:rsidR="00A53747" w:rsidRPr="003358C9" w:rsidRDefault="00A53747" w:rsidP="0025587D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 xml:space="preserve">    Double MRSA coverage</w:t>
            </w:r>
            <w:r w:rsidRPr="003358C9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9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0.3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0.6</w:t>
            </w:r>
          </w:p>
        </w:tc>
        <w:tc>
          <w:tcPr>
            <w:tcW w:w="270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58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611" w:type="pct"/>
            <w:shd w:val="clear" w:color="auto" w:fill="auto"/>
          </w:tcPr>
          <w:p w:rsidR="00A53747" w:rsidRPr="003358C9" w:rsidRDefault="00A53747" w:rsidP="0025587D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8C9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</w:tr>
    </w:tbl>
    <w:p w:rsidR="00A53747" w:rsidRPr="003358C9" w:rsidRDefault="00A53747" w:rsidP="00A53747">
      <w:pPr>
        <w:spacing w:line="48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a</w:t>
      </w:r>
      <w:r w:rsidRPr="003358C9">
        <w:rPr>
          <w:rFonts w:ascii="Arial" w:hAnsi="Arial" w:cs="Arial"/>
          <w:sz w:val="16"/>
          <w:szCs w:val="16"/>
        </w:rPr>
        <w:t xml:space="preserve"> Patients may have more than one indication thus the total percentage of patients in patients with indications is not 100%.</w:t>
      </w:r>
    </w:p>
    <w:p w:rsidR="00A53747" w:rsidRPr="003358C9" w:rsidRDefault="00A53747" w:rsidP="00A53747">
      <w:pPr>
        <w:spacing w:line="48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3358C9">
        <w:rPr>
          <w:rFonts w:ascii="Arial" w:hAnsi="Arial" w:cs="Arial"/>
          <w:sz w:val="16"/>
          <w:szCs w:val="16"/>
        </w:rPr>
        <w:t>Indications that have less than 10 patients are listed in the text.</w:t>
      </w:r>
    </w:p>
    <w:p w:rsidR="00A53747" w:rsidRPr="003358C9" w:rsidRDefault="00A53747" w:rsidP="00A53747">
      <w:pPr>
        <w:spacing w:line="480" w:lineRule="auto"/>
        <w:contextualSpacing/>
        <w:rPr>
          <w:rFonts w:ascii="Arial" w:hAnsi="Arial" w:cs="Arial"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c</w:t>
      </w:r>
      <w:r w:rsidRPr="003358C9">
        <w:rPr>
          <w:rFonts w:ascii="Arial" w:hAnsi="Arial" w:cs="Arial"/>
          <w:sz w:val="16"/>
          <w:szCs w:val="16"/>
        </w:rPr>
        <w:t xml:space="preserve"> Culture result relevant to the indication for antimicrobials. </w:t>
      </w:r>
    </w:p>
    <w:p w:rsidR="00A53747" w:rsidRPr="003358C9" w:rsidRDefault="00A53747" w:rsidP="00A53747">
      <w:pPr>
        <w:spacing w:line="480" w:lineRule="auto"/>
        <w:contextualSpacing/>
        <w:rPr>
          <w:rFonts w:ascii="Arial" w:hAnsi="Arial" w:cs="Arial"/>
          <w:i/>
          <w:sz w:val="16"/>
          <w:szCs w:val="16"/>
        </w:rPr>
      </w:pPr>
      <w:r w:rsidRPr="003358C9">
        <w:rPr>
          <w:rFonts w:ascii="Arial" w:hAnsi="Arial" w:cs="Arial"/>
          <w:sz w:val="16"/>
          <w:szCs w:val="16"/>
          <w:vertAlign w:val="superscript"/>
        </w:rPr>
        <w:t>d</w:t>
      </w:r>
      <w:r w:rsidRPr="003358C9">
        <w:rPr>
          <w:rFonts w:ascii="Arial" w:hAnsi="Arial" w:cs="Arial"/>
          <w:sz w:val="16"/>
          <w:szCs w:val="16"/>
        </w:rPr>
        <w:t xml:space="preserve"> MRSA = methicillin-resistant </w:t>
      </w:r>
      <w:r w:rsidRPr="003358C9">
        <w:rPr>
          <w:rFonts w:ascii="Arial" w:hAnsi="Arial" w:cs="Arial"/>
          <w:i/>
          <w:sz w:val="16"/>
          <w:szCs w:val="16"/>
        </w:rPr>
        <w:t>Staphylococcus aureus</w:t>
      </w:r>
    </w:p>
    <w:p w:rsidR="007622E4" w:rsidRDefault="007622E4">
      <w:bookmarkStart w:id="28" w:name="_GoBack"/>
      <w:bookmarkEnd w:id="28"/>
    </w:p>
    <w:sectPr w:rsidR="007622E4" w:rsidSect="00A53747">
      <w:type w:val="continuous"/>
      <w:pgSz w:w="12240" w:h="15840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20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47"/>
    <w:rsid w:val="001D2E94"/>
    <w:rsid w:val="006877ED"/>
    <w:rsid w:val="007622E4"/>
    <w:rsid w:val="00A53747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A7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47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747"/>
    <w:pPr>
      <w:keepNext/>
      <w:keepLines/>
      <w:numPr>
        <w:numId w:val="1"/>
      </w:numPr>
      <w:spacing w:before="240"/>
      <w:outlineLvl w:val="0"/>
    </w:pPr>
    <w:rPr>
      <w:rFonts w:ascii="Arial" w:eastAsia="DengXian Light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747"/>
    <w:pPr>
      <w:keepNext/>
      <w:keepLines/>
      <w:numPr>
        <w:ilvl w:val="1"/>
        <w:numId w:val="1"/>
      </w:numPr>
      <w:spacing w:before="40"/>
      <w:outlineLvl w:val="1"/>
    </w:pPr>
    <w:rPr>
      <w:rFonts w:ascii="Arial" w:eastAsia="DengXian Light" w:hAnsi="Arial"/>
      <w:b/>
      <w:i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74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="DengXian Light" w:hAnsi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747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DengXian Light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747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DengXian Light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747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DengXian Light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747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DengXian Light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747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747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747"/>
    <w:rPr>
      <w:rFonts w:ascii="Arial" w:eastAsia="DengXian Light" w:hAnsi="Arial" w:cs="Times New Roman"/>
      <w:b/>
      <w:color w:val="0000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53747"/>
    <w:rPr>
      <w:rFonts w:ascii="Arial" w:eastAsia="DengXian Light" w:hAnsi="Arial" w:cs="Times New Roman"/>
      <w:b/>
      <w:i/>
      <w:color w:val="000000"/>
      <w:sz w:val="28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53747"/>
    <w:rPr>
      <w:rFonts w:ascii="Arial" w:eastAsia="DengXian Light" w:hAnsi="Arial" w:cs="Times New Roman"/>
      <w:b/>
      <w:color w:val="00000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747"/>
    <w:rPr>
      <w:rFonts w:ascii="Calibri Light" w:eastAsia="DengXian Light" w:hAnsi="Calibri Light" w:cs="Times New Roman"/>
      <w:i/>
      <w:iCs/>
      <w:color w:val="2F549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747"/>
    <w:rPr>
      <w:rFonts w:ascii="Calibri Light" w:eastAsia="DengXian Light" w:hAnsi="Calibri Light" w:cs="Times New Roman"/>
      <w:color w:val="2F549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747"/>
    <w:rPr>
      <w:rFonts w:ascii="Calibri Light" w:eastAsia="DengXian Light" w:hAnsi="Calibri Light" w:cs="Times New Roman"/>
      <w:color w:val="1F3763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747"/>
    <w:rPr>
      <w:rFonts w:ascii="Calibri Light" w:eastAsia="DengXian Light" w:hAnsi="Calibri Light" w:cs="Times New Roman"/>
      <w:i/>
      <w:iCs/>
      <w:color w:val="1F3763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747"/>
    <w:rPr>
      <w:rFonts w:ascii="Calibri Light" w:eastAsia="DengXian Light" w:hAnsi="Calibri Light" w:cs="Times New Roman"/>
      <w:color w:val="272727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747"/>
    <w:rPr>
      <w:rFonts w:ascii="Calibri Light" w:eastAsia="DengXian Light" w:hAnsi="Calibri Light" w:cs="Times New Roman"/>
      <w:i/>
      <w:iCs/>
      <w:color w:val="272727"/>
      <w:sz w:val="21"/>
      <w:szCs w:val="21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A53747"/>
    <w:pPr>
      <w:spacing w:after="200"/>
    </w:pPr>
    <w:rPr>
      <w:i/>
      <w:iCs/>
      <w:color w:val="44546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47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747"/>
    <w:pPr>
      <w:keepNext/>
      <w:keepLines/>
      <w:numPr>
        <w:numId w:val="1"/>
      </w:numPr>
      <w:spacing w:before="240"/>
      <w:outlineLvl w:val="0"/>
    </w:pPr>
    <w:rPr>
      <w:rFonts w:ascii="Arial" w:eastAsia="DengXian Light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747"/>
    <w:pPr>
      <w:keepNext/>
      <w:keepLines/>
      <w:numPr>
        <w:ilvl w:val="1"/>
        <w:numId w:val="1"/>
      </w:numPr>
      <w:spacing w:before="40"/>
      <w:outlineLvl w:val="1"/>
    </w:pPr>
    <w:rPr>
      <w:rFonts w:ascii="Arial" w:eastAsia="DengXian Light" w:hAnsi="Arial"/>
      <w:b/>
      <w:i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74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="DengXian Light" w:hAnsi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747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DengXian Light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747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DengXian Light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747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DengXian Light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747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DengXian Light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747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747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747"/>
    <w:rPr>
      <w:rFonts w:ascii="Arial" w:eastAsia="DengXian Light" w:hAnsi="Arial" w:cs="Times New Roman"/>
      <w:b/>
      <w:color w:val="0000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53747"/>
    <w:rPr>
      <w:rFonts w:ascii="Arial" w:eastAsia="DengXian Light" w:hAnsi="Arial" w:cs="Times New Roman"/>
      <w:b/>
      <w:i/>
      <w:color w:val="000000"/>
      <w:sz w:val="28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53747"/>
    <w:rPr>
      <w:rFonts w:ascii="Arial" w:eastAsia="DengXian Light" w:hAnsi="Arial" w:cs="Times New Roman"/>
      <w:b/>
      <w:color w:val="00000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747"/>
    <w:rPr>
      <w:rFonts w:ascii="Calibri Light" w:eastAsia="DengXian Light" w:hAnsi="Calibri Light" w:cs="Times New Roman"/>
      <w:i/>
      <w:iCs/>
      <w:color w:val="2F549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747"/>
    <w:rPr>
      <w:rFonts w:ascii="Calibri Light" w:eastAsia="DengXian Light" w:hAnsi="Calibri Light" w:cs="Times New Roman"/>
      <w:color w:val="2F549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747"/>
    <w:rPr>
      <w:rFonts w:ascii="Calibri Light" w:eastAsia="DengXian Light" w:hAnsi="Calibri Light" w:cs="Times New Roman"/>
      <w:color w:val="1F3763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747"/>
    <w:rPr>
      <w:rFonts w:ascii="Calibri Light" w:eastAsia="DengXian Light" w:hAnsi="Calibri Light" w:cs="Times New Roman"/>
      <w:i/>
      <w:iCs/>
      <w:color w:val="1F3763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747"/>
    <w:rPr>
      <w:rFonts w:ascii="Calibri Light" w:eastAsia="DengXian Light" w:hAnsi="Calibri Light" w:cs="Times New Roman"/>
      <w:color w:val="272727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747"/>
    <w:rPr>
      <w:rFonts w:ascii="Calibri Light" w:eastAsia="DengXian Light" w:hAnsi="Calibri Light" w:cs="Times New Roman"/>
      <w:i/>
      <w:iCs/>
      <w:color w:val="272727"/>
      <w:sz w:val="21"/>
      <w:szCs w:val="21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A53747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Macintosh Word</Application>
  <DocSecurity>0</DocSecurity>
  <Lines>35</Lines>
  <Paragraphs>10</Paragraphs>
  <ScaleCrop>false</ScaleCrop>
  <Company>Duke University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Gayani Tillekeratne</dc:creator>
  <cp:keywords/>
  <dc:description/>
  <cp:lastModifiedBy>Gayani Tillekeratne</cp:lastModifiedBy>
  <cp:revision>1</cp:revision>
  <dcterms:created xsi:type="dcterms:W3CDTF">2018-10-17T14:18:00Z</dcterms:created>
  <dcterms:modified xsi:type="dcterms:W3CDTF">2018-10-17T14:18:00Z</dcterms:modified>
</cp:coreProperties>
</file>