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9E" w:rsidRDefault="0045049E" w:rsidP="00086D9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Supplemental Materials </w:t>
      </w:r>
    </w:p>
    <w:p w:rsidR="00086D96" w:rsidRPr="00546087" w:rsidRDefault="00086D96" w:rsidP="00086D9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Figure 2</w:t>
      </w:r>
      <w:r w:rsidRPr="00546087">
        <w:rPr>
          <w:rFonts w:ascii="Times New Roman" w:eastAsia="Times New Roman" w:hAnsi="Times New Roman" w:cs="Times New Roman"/>
          <w:b/>
          <w:sz w:val="24"/>
          <w:szCs w:val="24"/>
        </w:rPr>
        <w:t xml:space="preserve"> Classification of </w:t>
      </w:r>
      <w:r w:rsidRPr="005460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Clostridium difficile </w:t>
      </w:r>
      <w:r w:rsidRPr="00546087">
        <w:rPr>
          <w:rFonts w:ascii="Times New Roman" w:hAnsi="Times New Roman" w:cs="Times New Roman"/>
          <w:b/>
          <w:sz w:val="24"/>
          <w:szCs w:val="24"/>
        </w:rPr>
        <w:t xml:space="preserve">Infection </w:t>
      </w:r>
      <w:r w:rsidRPr="00546087">
        <w:rPr>
          <w:rFonts w:ascii="Times New Roman" w:eastAsia="Times New Roman" w:hAnsi="Times New Roman" w:cs="Times New Roman"/>
          <w:b/>
          <w:sz w:val="24"/>
          <w:szCs w:val="24"/>
        </w:rPr>
        <w:t xml:space="preserve">Severity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Treatment Recommendations</w:t>
      </w:r>
    </w:p>
    <w:p w:rsidR="00086D96" w:rsidRPr="006F02DE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6F02DE">
        <w:rPr>
          <w:rFonts w:ascii="Times New Roman" w:hAnsi="Times New Roman" w:cs="Times New Roman"/>
          <w:sz w:val="18"/>
          <w:szCs w:val="18"/>
        </w:rPr>
        <w:t>IDSA</w:t>
      </w:r>
      <w:r>
        <w:rPr>
          <w:rFonts w:ascii="Times New Roman" w:hAnsi="Times New Roman" w:cs="Times New Roman"/>
          <w:sz w:val="18"/>
          <w:szCs w:val="18"/>
          <w:lang w:val="en"/>
        </w:rPr>
        <w:t>=</w:t>
      </w:r>
      <w:r w:rsidRPr="006F02DE">
        <w:rPr>
          <w:rFonts w:ascii="Times New Roman" w:hAnsi="Times New Roman" w:cs="Times New Roman"/>
          <w:sz w:val="18"/>
          <w:szCs w:val="18"/>
          <w:lang w:val="en"/>
        </w:rPr>
        <w:t xml:space="preserve"> Infectious Diseases Society of America (IDSA)</w:t>
      </w:r>
    </w:p>
    <w:p w:rsidR="00086D96" w:rsidRPr="006F02DE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6F02DE">
        <w:rPr>
          <w:rFonts w:ascii="Times New Roman" w:hAnsi="Times New Roman" w:cs="Times New Roman"/>
          <w:sz w:val="18"/>
          <w:szCs w:val="18"/>
        </w:rPr>
        <w:t>SHEA</w:t>
      </w:r>
      <w:r>
        <w:rPr>
          <w:rFonts w:ascii="Times New Roman" w:hAnsi="Times New Roman" w:cs="Times New Roman"/>
          <w:sz w:val="18"/>
          <w:szCs w:val="18"/>
        </w:rPr>
        <w:t>=</w:t>
      </w:r>
      <w:r w:rsidRPr="006F02DE">
        <w:rPr>
          <w:rFonts w:ascii="Times New Roman" w:hAnsi="Times New Roman" w:cs="Times New Roman"/>
          <w:sz w:val="18"/>
          <w:szCs w:val="18"/>
          <w:lang w:val="en"/>
        </w:rPr>
        <w:t xml:space="preserve"> Society for Healthcare Epidemiology of America</w:t>
      </w: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Scr</w:t>
      </w:r>
      <w:proofErr w:type="spellEnd"/>
      <w:r>
        <w:rPr>
          <w:rFonts w:ascii="Times New Roman" w:hAnsi="Times New Roman" w:cs="Times New Roman"/>
          <w:sz w:val="18"/>
          <w:szCs w:val="18"/>
        </w:rPr>
        <w:t>=</w:t>
      </w:r>
      <w:r w:rsidRPr="006F02DE">
        <w:rPr>
          <w:rFonts w:ascii="Times New Roman" w:hAnsi="Times New Roman" w:cs="Times New Roman"/>
          <w:sz w:val="18"/>
          <w:szCs w:val="18"/>
        </w:rPr>
        <w:t xml:space="preserve"> Serum Creatinine</w:t>
      </w: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PO= Per </w:t>
      </w:r>
      <w:proofErr w:type="spellStart"/>
      <w:r>
        <w:rPr>
          <w:rFonts w:ascii="Times New Roman" w:hAnsi="Times New Roman" w:cs="Times New Roman"/>
          <w:sz w:val="18"/>
          <w:szCs w:val="18"/>
        </w:rPr>
        <w:t>Os</w:t>
      </w:r>
      <w:proofErr w:type="spellEnd"/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IV= Intravenous</w:t>
      </w:r>
    </w:p>
    <w:p w:rsidR="00086D96" w:rsidRPr="006F02DE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Q= Every</w:t>
      </w: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86D96" w:rsidRDefault="00086D96" w:rsidP="00086D9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Figure 3</w:t>
      </w:r>
      <w:r w:rsidRPr="00546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60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Clostridium difficile </w:t>
      </w:r>
      <w:r w:rsidRPr="00546087">
        <w:rPr>
          <w:rFonts w:ascii="Times New Roman" w:hAnsi="Times New Roman" w:cs="Times New Roman"/>
          <w:b/>
          <w:sz w:val="24"/>
          <w:szCs w:val="24"/>
        </w:rPr>
        <w:t xml:space="preserve">Infection </w:t>
      </w:r>
      <w:r w:rsidRPr="00546087">
        <w:rPr>
          <w:rFonts w:ascii="Times New Roman" w:eastAsia="Times New Roman" w:hAnsi="Times New Roman" w:cs="Times New Roman"/>
          <w:b/>
          <w:sz w:val="24"/>
          <w:szCs w:val="24"/>
        </w:rPr>
        <w:t xml:space="preserve">Best Practice Alert </w:t>
      </w:r>
    </w:p>
    <w:p w:rsidR="00086D96" w:rsidRDefault="00086D96" w:rsidP="00086D9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6D96" w:rsidRPr="006F02DE" w:rsidRDefault="00086D96" w:rsidP="00086D96">
      <w:pPr>
        <w:spacing w:after="0" w:line="480" w:lineRule="auto"/>
        <w:rPr>
          <w:rFonts w:ascii="Times New Roman" w:hAnsi="Times New Roman" w:cs="Times New Roman"/>
          <w:b/>
          <w:sz w:val="18"/>
          <w:szCs w:val="24"/>
        </w:rPr>
      </w:pPr>
      <w:r w:rsidRPr="006F02DE">
        <w:rPr>
          <w:rFonts w:ascii="Times New Roman" w:hAnsi="Times New Roman" w:cs="Times New Roman"/>
          <w:b/>
          <w:sz w:val="24"/>
          <w:szCs w:val="24"/>
        </w:rPr>
        <w:t xml:space="preserve">Figure 4 </w:t>
      </w:r>
      <w:r w:rsidRPr="00372AEB">
        <w:rPr>
          <w:rFonts w:ascii="Times New Roman" w:hAnsi="Times New Roman" w:cs="Times New Roman"/>
          <w:b/>
          <w:i/>
          <w:iCs/>
          <w:sz w:val="24"/>
          <w:szCs w:val="24"/>
        </w:rPr>
        <w:t>Clostridium</w:t>
      </w:r>
      <w:r w:rsidRPr="005460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difficile </w:t>
      </w:r>
      <w:r w:rsidRPr="00546087">
        <w:rPr>
          <w:rFonts w:ascii="Times New Roman" w:hAnsi="Times New Roman" w:cs="Times New Roman"/>
          <w:b/>
          <w:sz w:val="24"/>
          <w:szCs w:val="24"/>
        </w:rPr>
        <w:t>Infection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Guideline-based Treatment Prescribing</w:t>
      </w:r>
    </w:p>
    <w:p w:rsidR="00086D96" w:rsidRDefault="00086D96" w:rsidP="00086D9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96" w:rsidRPr="007502DE" w:rsidRDefault="00086D96" w:rsidP="00086D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</w:t>
      </w:r>
      <w:r w:rsidRPr="00A64D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Clinical Characteristics</w:t>
      </w:r>
    </w:p>
    <w:tbl>
      <w:tblPr>
        <w:tblW w:w="49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2867"/>
        <w:gridCol w:w="2778"/>
      </w:tblGrid>
      <w:tr w:rsidR="00086D96" w:rsidRPr="00A64D42" w:rsidTr="008925D6">
        <w:trPr>
          <w:trHeight w:val="847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303B4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303B4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 BPA/Order Set</w:t>
            </w:r>
          </w:p>
          <w:p w:rsidR="00086D96" w:rsidRPr="004E58B0" w:rsidRDefault="00086D96" w:rsidP="008925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N=66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303B4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BPA/Order Set</w:t>
            </w:r>
          </w:p>
          <w:p w:rsidR="00086D96" w:rsidRPr="004E58B0" w:rsidRDefault="00086D96" w:rsidP="008925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N=65</w:t>
            </w:r>
          </w:p>
        </w:tc>
      </w:tr>
      <w:tr w:rsidR="00086D96" w:rsidRPr="00A64D42" w:rsidTr="008925D6">
        <w:trPr>
          <w:trHeight w:val="325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E7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at CDI diagnosis (Median (IQR))</w:t>
            </w:r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E7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57 (42-69)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E7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60 (52-67)</w:t>
            </w:r>
          </w:p>
        </w:tc>
      </w:tr>
      <w:tr w:rsidR="00086D96" w:rsidRPr="00A64D42" w:rsidTr="008925D6">
        <w:trPr>
          <w:trHeight w:val="45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Gender 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Female, n (%)</w:t>
            </w:r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38 (57.6)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28 (43)</w:t>
            </w:r>
          </w:p>
        </w:tc>
      </w:tr>
      <w:tr w:rsidR="00086D96" w:rsidRPr="00A64D42" w:rsidTr="008925D6">
        <w:trPr>
          <w:trHeight w:val="1855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E7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 Factors for CDI, n (%)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Immunocompromised  </w:t>
            </w:r>
          </w:p>
          <w:p w:rsidR="00086D96" w:rsidRPr="004E58B0" w:rsidRDefault="00086D96" w:rsidP="008925D6">
            <w:pPr>
              <w:spacing w:after="0" w:line="480" w:lineRule="auto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Cancer*</w:t>
            </w:r>
          </w:p>
          <w:p w:rsidR="00086D96" w:rsidRPr="004E58B0" w:rsidRDefault="00086D96" w:rsidP="008925D6">
            <w:pPr>
              <w:spacing w:after="0" w:line="480" w:lineRule="auto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Immunosuppressant PTA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Antibiotics PTA</w:t>
            </w:r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E7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35 (53)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18 (27.3)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3 (4.5)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14 (21.2)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29 (43.9)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E7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21 (32.3)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7 (10.8)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0 (0)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14 (21.5)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21 (32.3)</w:t>
            </w:r>
          </w:p>
        </w:tc>
      </w:tr>
      <w:tr w:rsidR="00086D96" w:rsidRPr="00A64D42" w:rsidTr="008925D6">
        <w:trPr>
          <w:trHeight w:val="955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CDI, n (%)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 previous occurrences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&gt;2 occurrences </w:t>
            </w:r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3 (4.5)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10 (15.4)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D96" w:rsidRPr="00A64D42" w:rsidTr="008925D6">
        <w:trPr>
          <w:trHeight w:val="955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Toxigenic CDI**, n (%)</w:t>
            </w:r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37 (56.1)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33 (50.7)</w:t>
            </w:r>
          </w:p>
        </w:tc>
      </w:tr>
      <w:tr w:rsidR="00086D96" w:rsidRPr="00A64D42" w:rsidTr="008925D6">
        <w:trPr>
          <w:trHeight w:val="955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CDI Severity, n (%)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Mild-Moderate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Severe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Severe Complicated</w:t>
            </w:r>
          </w:p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Recurrent (&gt;1 recurrence)</w:t>
            </w:r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46 (69.7)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18 (27.3)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 (1.5)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 (1.5)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49 (75.4)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12 (18.5)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 (1.5)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3 (4.6)</w:t>
            </w:r>
          </w:p>
        </w:tc>
      </w:tr>
      <w:tr w:rsidR="00086D96" w:rsidRPr="00A64D42" w:rsidTr="008925D6">
        <w:trPr>
          <w:trHeight w:val="955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CDI Initial Treatment, n (%)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Metronidazole monotherapy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Vancomycin monotherapy</w:t>
            </w:r>
          </w:p>
          <w:p w:rsidR="00086D96" w:rsidRPr="004E58B0" w:rsidRDefault="00086D96" w:rsidP="008925D6">
            <w:pPr>
              <w:spacing w:after="0" w:line="48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Metronidazole and vancomycin </w:t>
            </w:r>
          </w:p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Fidaxomicin</w:t>
            </w:r>
            <w:proofErr w:type="spellEnd"/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46 (69.7)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(21.2)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5 (7.6)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 (1.5)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49 (75.4)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(10.8)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9 (13.8)</w:t>
            </w:r>
          </w:p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0 (0)</w:t>
            </w:r>
          </w:p>
        </w:tc>
      </w:tr>
      <w:tr w:rsidR="00086D96" w:rsidRPr="00A64D42" w:rsidTr="008925D6">
        <w:trPr>
          <w:trHeight w:val="946"/>
        </w:trPr>
        <w:tc>
          <w:tcPr>
            <w:tcW w:w="2334" w:type="pct"/>
            <w:tcBorders>
              <w:top w:val="single" w:sz="8" w:space="0" w:color="005E63"/>
              <w:left w:val="single" w:sz="8" w:space="0" w:color="005E63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CDI Treatment Duration </w:t>
            </w:r>
          </w:p>
          <w:p w:rsidR="00086D96" w:rsidRPr="004E58B0" w:rsidRDefault="00086D96" w:rsidP="008925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(Median (IQR))</w:t>
            </w:r>
          </w:p>
        </w:tc>
        <w:tc>
          <w:tcPr>
            <w:tcW w:w="1354" w:type="pct"/>
            <w:tcBorders>
              <w:top w:val="single" w:sz="8" w:space="0" w:color="005E63"/>
              <w:left w:val="nil"/>
              <w:bottom w:val="single" w:sz="8" w:space="0" w:color="005E63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11 (6.75-14)</w:t>
            </w:r>
          </w:p>
        </w:tc>
        <w:tc>
          <w:tcPr>
            <w:tcW w:w="1312" w:type="pct"/>
            <w:tcBorders>
              <w:top w:val="single" w:sz="8" w:space="0" w:color="005E63"/>
              <w:left w:val="nil"/>
              <w:bottom w:val="single" w:sz="8" w:space="0" w:color="005E63"/>
              <w:right w:val="single" w:sz="8" w:space="0" w:color="005E63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6D96" w:rsidRPr="004E58B0" w:rsidRDefault="00086D96" w:rsidP="008925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B0">
              <w:rPr>
                <w:rFonts w:ascii="Times New Roman" w:hAnsi="Times New Roman" w:cs="Times New Roman"/>
                <w:b/>
                <w:sz w:val="24"/>
                <w:szCs w:val="24"/>
              </w:rPr>
              <w:t>10 (8 - 14)</w:t>
            </w:r>
          </w:p>
        </w:tc>
      </w:tr>
    </w:tbl>
    <w:p w:rsidR="00086D96" w:rsidRPr="00C21D77" w:rsidRDefault="00086D96" w:rsidP="00086D96">
      <w:pPr>
        <w:spacing w:after="0"/>
        <w:rPr>
          <w:rFonts w:ascii="Times New Roman" w:hAnsi="Times New Roman" w:cs="Times New Roman"/>
          <w:sz w:val="18"/>
          <w:szCs w:val="24"/>
        </w:rPr>
      </w:pPr>
      <w:r w:rsidRPr="00C21D77">
        <w:rPr>
          <w:rFonts w:ascii="Times New Roman" w:hAnsi="Times New Roman" w:cs="Times New Roman"/>
          <w:sz w:val="18"/>
          <w:szCs w:val="24"/>
        </w:rPr>
        <w:t>*Active cancer treatment</w:t>
      </w:r>
    </w:p>
    <w:p w:rsidR="00086D96" w:rsidRDefault="00086D96" w:rsidP="00086D96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BPA= Best Practice Alert</w:t>
      </w:r>
    </w:p>
    <w:p w:rsidR="00086D96" w:rsidRDefault="00086D96" w:rsidP="00086D9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24"/>
        </w:rPr>
        <w:t xml:space="preserve">CDI= </w:t>
      </w:r>
      <w:r w:rsidRPr="006F02DE">
        <w:rPr>
          <w:rFonts w:ascii="Times New Roman" w:hAnsi="Times New Roman" w:cs="Times New Roman"/>
          <w:i/>
          <w:iCs/>
          <w:sz w:val="18"/>
          <w:szCs w:val="18"/>
        </w:rPr>
        <w:t xml:space="preserve">Clostridium difficile </w:t>
      </w:r>
      <w:r w:rsidRPr="006F02DE">
        <w:rPr>
          <w:rFonts w:ascii="Times New Roman" w:hAnsi="Times New Roman" w:cs="Times New Roman"/>
          <w:sz w:val="18"/>
          <w:szCs w:val="18"/>
        </w:rPr>
        <w:t>Infection</w:t>
      </w:r>
    </w:p>
    <w:p w:rsidR="00086D96" w:rsidRDefault="00086D96" w:rsidP="00086D96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HIV= Human Immunodeficiency Virus</w:t>
      </w:r>
    </w:p>
    <w:p w:rsidR="00086D96" w:rsidRDefault="00086D96" w:rsidP="00086D96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PTA= Prior t</w:t>
      </w:r>
      <w:r w:rsidRPr="00C21D77">
        <w:rPr>
          <w:rFonts w:ascii="Times New Roman" w:hAnsi="Times New Roman" w:cs="Times New Roman"/>
          <w:sz w:val="18"/>
          <w:szCs w:val="24"/>
        </w:rPr>
        <w:t>o Admission</w:t>
      </w:r>
    </w:p>
    <w:p w:rsidR="00086D96" w:rsidRPr="00C21D77" w:rsidRDefault="00086D96" w:rsidP="00086D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1D77">
        <w:rPr>
          <w:rFonts w:ascii="Times New Roman" w:hAnsi="Times New Roman" w:cs="Times New Roman"/>
          <w:b/>
          <w:sz w:val="18"/>
          <w:szCs w:val="18"/>
        </w:rPr>
        <w:t>*</w:t>
      </w:r>
      <w:r>
        <w:rPr>
          <w:rFonts w:ascii="Times New Roman" w:hAnsi="Times New Roman" w:cs="Times New Roman"/>
          <w:b/>
          <w:sz w:val="18"/>
          <w:szCs w:val="18"/>
        </w:rPr>
        <w:t>*</w:t>
      </w:r>
      <w:r w:rsidRPr="00C21D77">
        <w:rPr>
          <w:rFonts w:ascii="Times New Roman" w:hAnsi="Times New Roman" w:cs="Times New Roman"/>
          <w:bCs/>
          <w:iCs/>
          <w:sz w:val="18"/>
          <w:szCs w:val="18"/>
          <w:shd w:val="clear" w:color="auto" w:fill="FFFFFF"/>
        </w:rPr>
        <w:t xml:space="preserve"> As determined by </w:t>
      </w:r>
      <w:r w:rsidRPr="00C21D77">
        <w:rPr>
          <w:rStyle w:val="Emphasis"/>
          <w:rFonts w:ascii="Times New Roman" w:hAnsi="Times New Roman" w:cs="Times New Roman"/>
          <w:bCs/>
          <w:sz w:val="18"/>
          <w:szCs w:val="18"/>
          <w:shd w:val="clear" w:color="auto" w:fill="FFFFFF"/>
        </w:rPr>
        <w:t>toxins</w:t>
      </w:r>
      <w:r w:rsidRPr="00C21D77">
        <w:rPr>
          <w:rFonts w:ascii="Times New Roman" w:hAnsi="Times New Roman" w:cs="Times New Roman"/>
          <w:sz w:val="18"/>
          <w:szCs w:val="18"/>
          <w:shd w:val="clear" w:color="auto" w:fill="FFFFFF"/>
        </w:rPr>
        <w:t> A and B enzyme immunoassay </w:t>
      </w:r>
    </w:p>
    <w:p w:rsidR="00845B7F" w:rsidRDefault="00845B7F"/>
    <w:sectPr w:rsidR="00845B7F" w:rsidSect="00086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BF"/>
    <w:rsid w:val="00086D96"/>
    <w:rsid w:val="0045049E"/>
    <w:rsid w:val="00845B7F"/>
    <w:rsid w:val="00B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D046"/>
  <w15:chartTrackingRefBased/>
  <w15:docId w15:val="{EF653BC7-DF28-4AAE-843B-884ECE0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6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Medicine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Holly L</dc:creator>
  <cp:keywords/>
  <dc:description/>
  <cp:lastModifiedBy>Reed, Holly L</cp:lastModifiedBy>
  <cp:revision>3</cp:revision>
  <dcterms:created xsi:type="dcterms:W3CDTF">2018-12-21T16:22:00Z</dcterms:created>
  <dcterms:modified xsi:type="dcterms:W3CDTF">2018-12-21T18:30:00Z</dcterms:modified>
</cp:coreProperties>
</file>