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628B" w:rsidRDefault="0091628B" w:rsidP="0091628B">
      <w:pPr>
        <w:rPr>
          <w:rFonts w:ascii="Times New Roman" w:hAnsi="Times New Roman" w:cs="Times New Roman"/>
          <w:b/>
          <w:color w:val="000000"/>
          <w:sz w:val="24"/>
          <w:szCs w:val="24"/>
          <w:shd w:val="clear" w:color="auto" w:fill="FFFFFF"/>
        </w:rPr>
      </w:pPr>
      <w:bookmarkStart w:id="0" w:name="_GoBack"/>
      <w:bookmarkEnd w:id="0"/>
      <w:r>
        <w:rPr>
          <w:rFonts w:ascii="Times New Roman" w:hAnsi="Times New Roman" w:cs="Times New Roman"/>
          <w:b/>
          <w:color w:val="000000"/>
          <w:sz w:val="24"/>
          <w:szCs w:val="24"/>
          <w:shd w:val="clear" w:color="auto" w:fill="FFFFFF"/>
        </w:rPr>
        <w:t>Supplementary Materials:</w:t>
      </w:r>
    </w:p>
    <w:p w:rsidR="0091628B" w:rsidRDefault="0091628B" w:rsidP="0091628B">
      <w:pPr>
        <w:rPr>
          <w:rFonts w:ascii="Times New Roman" w:hAnsi="Times New Roman" w:cs="Times New Roman"/>
          <w:color w:val="000000"/>
          <w:sz w:val="24"/>
          <w:szCs w:val="24"/>
          <w:shd w:val="clear" w:color="auto" w:fill="FFFFFF"/>
        </w:rPr>
      </w:pPr>
      <w:r w:rsidRPr="000410AE">
        <w:rPr>
          <w:rFonts w:ascii="Times New Roman" w:hAnsi="Times New Roman" w:cs="Times New Roman"/>
          <w:b/>
          <w:color w:val="000000"/>
          <w:sz w:val="24"/>
          <w:szCs w:val="24"/>
          <w:shd w:val="clear" w:color="auto" w:fill="FFFFFF"/>
        </w:rPr>
        <w:t>Supplemental Table 1</w:t>
      </w:r>
      <w:r w:rsidRPr="00415A3C">
        <w:rPr>
          <w:rFonts w:ascii="Times New Roman" w:hAnsi="Times New Roman" w:cs="Times New Roman"/>
          <w:color w:val="000000"/>
          <w:sz w:val="24"/>
          <w:szCs w:val="24"/>
          <w:shd w:val="clear" w:color="auto" w:fill="FFFFFF"/>
        </w:rPr>
        <w:t xml:space="preserve">. Evaluation of quality of included </w:t>
      </w:r>
      <w:r>
        <w:rPr>
          <w:rFonts w:ascii="Times New Roman" w:hAnsi="Times New Roman" w:cs="Times New Roman"/>
          <w:color w:val="000000"/>
          <w:sz w:val="24"/>
          <w:szCs w:val="24"/>
          <w:shd w:val="clear" w:color="auto" w:fill="FFFFFF"/>
        </w:rPr>
        <w:t xml:space="preserve">observational </w:t>
      </w:r>
      <w:r w:rsidRPr="00415A3C">
        <w:rPr>
          <w:rFonts w:ascii="Times New Roman" w:hAnsi="Times New Roman" w:cs="Times New Roman"/>
          <w:color w:val="000000"/>
          <w:sz w:val="24"/>
          <w:szCs w:val="24"/>
          <w:shd w:val="clear" w:color="auto" w:fill="FFFFFF"/>
        </w:rPr>
        <w:t>studies using the Newcastle-Ottawa Scale (NOS) score.</w:t>
      </w:r>
      <w:r>
        <w:rPr>
          <w:rFonts w:ascii="Times New Roman" w:hAnsi="Times New Roman" w:cs="Times New Roman"/>
          <w:color w:val="000000"/>
          <w:sz w:val="24"/>
          <w:szCs w:val="24"/>
          <w:shd w:val="clear" w:color="auto" w:fill="FFFFFF"/>
        </w:rPr>
        <w:t xml:space="preserve"> </w:t>
      </w:r>
    </w:p>
    <w:tbl>
      <w:tblPr>
        <w:tblStyle w:val="TableGrid"/>
        <w:tblW w:w="13428" w:type="dxa"/>
        <w:tblLayout w:type="fixed"/>
        <w:tblLook w:val="04A0" w:firstRow="1" w:lastRow="0" w:firstColumn="1" w:lastColumn="0" w:noHBand="0" w:noVBand="1"/>
      </w:tblPr>
      <w:tblGrid>
        <w:gridCol w:w="1437"/>
        <w:gridCol w:w="869"/>
        <w:gridCol w:w="862"/>
        <w:gridCol w:w="1295"/>
        <w:gridCol w:w="1504"/>
        <w:gridCol w:w="1196"/>
        <w:gridCol w:w="1215"/>
        <w:gridCol w:w="758"/>
        <w:gridCol w:w="888"/>
        <w:gridCol w:w="1010"/>
        <w:gridCol w:w="795"/>
        <w:gridCol w:w="776"/>
        <w:gridCol w:w="823"/>
      </w:tblGrid>
      <w:tr w:rsidR="0091628B" w:rsidRPr="00474565" w:rsidTr="00FB6DD2">
        <w:trPr>
          <w:trHeight w:val="454"/>
        </w:trPr>
        <w:tc>
          <w:tcPr>
            <w:tcW w:w="1437" w:type="dxa"/>
            <w:vMerge w:val="restart"/>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Author</w:t>
            </w:r>
          </w:p>
        </w:tc>
        <w:tc>
          <w:tcPr>
            <w:tcW w:w="869" w:type="dxa"/>
            <w:vMerge w:val="restart"/>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Year published</w:t>
            </w:r>
          </w:p>
        </w:tc>
        <w:tc>
          <w:tcPr>
            <w:tcW w:w="862" w:type="dxa"/>
            <w:vMerge w:val="restart"/>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Study design</w:t>
            </w:r>
          </w:p>
        </w:tc>
        <w:tc>
          <w:tcPr>
            <w:tcW w:w="5210" w:type="dxa"/>
            <w:gridSpan w:val="4"/>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shd w:val="clear" w:color="auto" w:fill="FFFFFF"/>
              </w:rPr>
              <w:t>Selection</w:t>
            </w:r>
          </w:p>
        </w:tc>
        <w:tc>
          <w:tcPr>
            <w:tcW w:w="1646" w:type="dxa"/>
            <w:gridSpan w:val="2"/>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shd w:val="clear" w:color="auto" w:fill="FFFFFF"/>
              </w:rPr>
              <w:t>Comparability</w:t>
            </w:r>
          </w:p>
        </w:tc>
        <w:tc>
          <w:tcPr>
            <w:tcW w:w="2581" w:type="dxa"/>
            <w:gridSpan w:val="3"/>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shd w:val="clear" w:color="auto" w:fill="FFFFFF"/>
              </w:rPr>
              <w:t>Outcome</w:t>
            </w:r>
          </w:p>
        </w:tc>
        <w:tc>
          <w:tcPr>
            <w:tcW w:w="823" w:type="dxa"/>
            <w:vMerge w:val="restart"/>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shd w:val="clear" w:color="auto" w:fill="FFFFFF"/>
              </w:rPr>
              <w:t>NOS score</w:t>
            </w:r>
          </w:p>
          <w:p w:rsidR="0091628B" w:rsidRPr="00474565" w:rsidRDefault="0091628B" w:rsidP="00FB6DD2">
            <w:pPr>
              <w:rPr>
                <w:rFonts w:ascii="Times New Roman" w:hAnsi="Times New Roman" w:cs="Times New Roman"/>
                <w:color w:val="000000"/>
                <w:sz w:val="24"/>
                <w:szCs w:val="24"/>
                <w:shd w:val="clear" w:color="auto" w:fill="FFFFFF"/>
              </w:rPr>
            </w:pPr>
          </w:p>
        </w:tc>
      </w:tr>
      <w:tr w:rsidR="0091628B" w:rsidRPr="00474565" w:rsidTr="00FB6DD2">
        <w:trPr>
          <w:trHeight w:val="488"/>
        </w:trPr>
        <w:tc>
          <w:tcPr>
            <w:tcW w:w="1437" w:type="dxa"/>
            <w:vMerge/>
          </w:tcPr>
          <w:p w:rsidR="0091628B" w:rsidRPr="00474565" w:rsidRDefault="0091628B" w:rsidP="00FB6DD2">
            <w:pPr>
              <w:rPr>
                <w:rFonts w:ascii="Times New Roman" w:hAnsi="Times New Roman" w:cs="Times New Roman"/>
                <w:color w:val="000000"/>
                <w:sz w:val="24"/>
                <w:szCs w:val="24"/>
                <w:shd w:val="clear" w:color="auto" w:fill="FFFFFF"/>
              </w:rPr>
            </w:pPr>
          </w:p>
        </w:tc>
        <w:tc>
          <w:tcPr>
            <w:tcW w:w="869" w:type="dxa"/>
            <w:vMerge/>
          </w:tcPr>
          <w:p w:rsidR="0091628B" w:rsidRPr="00474565" w:rsidRDefault="0091628B" w:rsidP="00FB6DD2">
            <w:pPr>
              <w:rPr>
                <w:rFonts w:ascii="Times New Roman" w:hAnsi="Times New Roman" w:cs="Times New Roman"/>
                <w:color w:val="000000"/>
                <w:sz w:val="24"/>
                <w:szCs w:val="24"/>
                <w:shd w:val="clear" w:color="auto" w:fill="FFFFFF"/>
              </w:rPr>
            </w:pPr>
          </w:p>
        </w:tc>
        <w:tc>
          <w:tcPr>
            <w:tcW w:w="862" w:type="dxa"/>
            <w:vMerge/>
          </w:tcPr>
          <w:p w:rsidR="0091628B" w:rsidRPr="00474565" w:rsidRDefault="0091628B" w:rsidP="00FB6DD2">
            <w:pPr>
              <w:rPr>
                <w:rFonts w:ascii="Times New Roman" w:hAnsi="Times New Roman" w:cs="Times New Roman"/>
                <w:color w:val="000000"/>
                <w:sz w:val="24"/>
                <w:szCs w:val="24"/>
                <w:shd w:val="clear" w:color="auto" w:fill="FFFFFF"/>
              </w:rPr>
            </w:pPr>
          </w:p>
        </w:tc>
        <w:tc>
          <w:tcPr>
            <w:tcW w:w="1295" w:type="dxa"/>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shd w:val="clear" w:color="auto" w:fill="FFFFFF"/>
              </w:rPr>
              <w:t>Representativeness of exposed cohort</w:t>
            </w:r>
          </w:p>
        </w:tc>
        <w:tc>
          <w:tcPr>
            <w:tcW w:w="1504" w:type="dxa"/>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shd w:val="clear" w:color="auto" w:fill="FFFFFF"/>
              </w:rPr>
              <w:t>Representativeness of non-exposed cohort</w:t>
            </w:r>
          </w:p>
        </w:tc>
        <w:tc>
          <w:tcPr>
            <w:tcW w:w="1196" w:type="dxa"/>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shd w:val="clear" w:color="auto" w:fill="FFFFFF"/>
              </w:rPr>
              <w:t>Ascertainment of exposure</w:t>
            </w:r>
          </w:p>
        </w:tc>
        <w:tc>
          <w:tcPr>
            <w:tcW w:w="1215" w:type="dxa"/>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shd w:val="clear" w:color="auto" w:fill="FFFFFF"/>
              </w:rPr>
              <w:t>Demonstration that outcome of interest was not present at start of study</w:t>
            </w:r>
          </w:p>
        </w:tc>
        <w:tc>
          <w:tcPr>
            <w:tcW w:w="758" w:type="dxa"/>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shd w:val="clear" w:color="auto" w:fill="FFFFFF"/>
              </w:rPr>
              <w:t>Study controls for age</w:t>
            </w:r>
          </w:p>
        </w:tc>
        <w:tc>
          <w:tcPr>
            <w:tcW w:w="888" w:type="dxa"/>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shd w:val="clear" w:color="auto" w:fill="FFFFFF"/>
              </w:rPr>
              <w:t>Study controls for any additional factor</w:t>
            </w:r>
          </w:p>
        </w:tc>
        <w:tc>
          <w:tcPr>
            <w:tcW w:w="1010" w:type="dxa"/>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shd w:val="clear" w:color="auto" w:fill="FFFFFF"/>
              </w:rPr>
              <w:t>Assessment of outcome from secure records</w:t>
            </w:r>
          </w:p>
        </w:tc>
        <w:tc>
          <w:tcPr>
            <w:tcW w:w="795" w:type="dxa"/>
          </w:tcPr>
          <w:p w:rsidR="0091628B" w:rsidRPr="00474565" w:rsidRDefault="0091628B" w:rsidP="00FB6DD2">
            <w:pPr>
              <w:rPr>
                <w:rFonts w:ascii="Times New Roman" w:hAnsi="Times New Roman" w:cs="Times New Roman"/>
                <w:color w:val="000000"/>
                <w:sz w:val="24"/>
                <w:szCs w:val="24"/>
              </w:rPr>
            </w:pPr>
            <w:r w:rsidRPr="00474565">
              <w:rPr>
                <w:rFonts w:ascii="Times New Roman" w:hAnsi="Times New Roman" w:cs="Times New Roman"/>
                <w:color w:val="000000"/>
                <w:sz w:val="24"/>
                <w:szCs w:val="24"/>
              </w:rPr>
              <w:t>Delay between episodes ≤ 90 days</w:t>
            </w:r>
          </w:p>
          <w:p w:rsidR="0091628B" w:rsidRPr="00474565" w:rsidRDefault="0091628B" w:rsidP="00FB6DD2">
            <w:pPr>
              <w:rPr>
                <w:rFonts w:ascii="Times New Roman" w:hAnsi="Times New Roman" w:cs="Times New Roman"/>
                <w:color w:val="000000"/>
                <w:sz w:val="24"/>
                <w:szCs w:val="24"/>
                <w:shd w:val="clear" w:color="auto" w:fill="FFFFFF"/>
              </w:rPr>
            </w:pPr>
          </w:p>
        </w:tc>
        <w:tc>
          <w:tcPr>
            <w:tcW w:w="776" w:type="dxa"/>
          </w:tcPr>
          <w:p w:rsidR="0091628B" w:rsidRPr="00474565" w:rsidRDefault="0091628B" w:rsidP="00FB6DD2">
            <w:pPr>
              <w:rPr>
                <w:rFonts w:ascii="Times New Roman" w:hAnsi="Times New Roman" w:cs="Times New Roman"/>
                <w:color w:val="000000"/>
                <w:sz w:val="24"/>
                <w:szCs w:val="24"/>
              </w:rPr>
            </w:pPr>
            <w:r w:rsidRPr="00474565">
              <w:rPr>
                <w:rFonts w:ascii="Times New Roman" w:hAnsi="Times New Roman" w:cs="Times New Roman"/>
                <w:color w:val="000000"/>
                <w:sz w:val="24"/>
                <w:szCs w:val="24"/>
              </w:rPr>
              <w:t>Follow up period clearly reported</w:t>
            </w:r>
          </w:p>
          <w:p w:rsidR="0091628B" w:rsidRPr="00474565" w:rsidRDefault="0091628B" w:rsidP="00FB6DD2">
            <w:pPr>
              <w:rPr>
                <w:rFonts w:ascii="Times New Roman" w:hAnsi="Times New Roman" w:cs="Times New Roman"/>
                <w:color w:val="000000"/>
                <w:sz w:val="24"/>
                <w:szCs w:val="24"/>
                <w:shd w:val="clear" w:color="auto" w:fill="FFFFFF"/>
              </w:rPr>
            </w:pPr>
          </w:p>
        </w:tc>
        <w:tc>
          <w:tcPr>
            <w:tcW w:w="823" w:type="dxa"/>
            <w:vMerge/>
          </w:tcPr>
          <w:p w:rsidR="0091628B" w:rsidRPr="00474565" w:rsidRDefault="0091628B" w:rsidP="00FB6DD2">
            <w:pPr>
              <w:rPr>
                <w:rFonts w:ascii="Times New Roman" w:hAnsi="Times New Roman" w:cs="Times New Roman"/>
                <w:color w:val="000000"/>
                <w:sz w:val="24"/>
                <w:szCs w:val="24"/>
                <w:shd w:val="clear" w:color="auto" w:fill="FFFFFF"/>
              </w:rPr>
            </w:pPr>
          </w:p>
        </w:tc>
      </w:tr>
      <w:tr w:rsidR="0091628B" w:rsidRPr="00474565" w:rsidTr="00FB6DD2">
        <w:trPr>
          <w:trHeight w:val="454"/>
        </w:trPr>
        <w:tc>
          <w:tcPr>
            <w:tcW w:w="1437" w:type="dxa"/>
          </w:tcPr>
          <w:p w:rsidR="0091628B" w:rsidRPr="00474565" w:rsidRDefault="0091628B" w:rsidP="00FB6DD2">
            <w:pPr>
              <w:rPr>
                <w:rFonts w:ascii="Times New Roman" w:hAnsi="Times New Roman" w:cs="Times New Roman"/>
                <w:color w:val="000000"/>
                <w:sz w:val="24"/>
                <w:szCs w:val="24"/>
                <w:shd w:val="clear" w:color="auto" w:fill="FFFFFF"/>
              </w:rPr>
            </w:pPr>
          </w:p>
        </w:tc>
        <w:tc>
          <w:tcPr>
            <w:tcW w:w="869" w:type="dxa"/>
          </w:tcPr>
          <w:p w:rsidR="0091628B" w:rsidRPr="00474565" w:rsidRDefault="0091628B" w:rsidP="00FB6DD2">
            <w:pPr>
              <w:rPr>
                <w:rFonts w:ascii="Times New Roman" w:hAnsi="Times New Roman" w:cs="Times New Roman"/>
                <w:color w:val="000000"/>
                <w:sz w:val="24"/>
                <w:szCs w:val="24"/>
                <w:shd w:val="clear" w:color="auto" w:fill="FFFFFF"/>
              </w:rPr>
            </w:pPr>
          </w:p>
        </w:tc>
        <w:tc>
          <w:tcPr>
            <w:tcW w:w="862" w:type="dxa"/>
          </w:tcPr>
          <w:p w:rsidR="0091628B" w:rsidRPr="00474565" w:rsidRDefault="0091628B" w:rsidP="00FB6DD2">
            <w:pPr>
              <w:rPr>
                <w:rFonts w:ascii="Times New Roman" w:hAnsi="Times New Roman" w:cs="Times New Roman"/>
                <w:color w:val="000000"/>
                <w:sz w:val="24"/>
                <w:szCs w:val="24"/>
                <w:shd w:val="clear" w:color="auto" w:fill="FFFFFF"/>
              </w:rPr>
            </w:pPr>
          </w:p>
        </w:tc>
        <w:tc>
          <w:tcPr>
            <w:tcW w:w="1295" w:type="dxa"/>
          </w:tcPr>
          <w:p w:rsidR="0091628B" w:rsidRPr="00474565" w:rsidRDefault="0091628B" w:rsidP="00FB6DD2">
            <w:pPr>
              <w:rPr>
                <w:rFonts w:ascii="Times New Roman" w:hAnsi="Times New Roman" w:cs="Times New Roman"/>
                <w:color w:val="000000"/>
                <w:sz w:val="24"/>
                <w:szCs w:val="24"/>
                <w:shd w:val="clear" w:color="auto" w:fill="FFFFFF"/>
              </w:rPr>
            </w:pPr>
          </w:p>
        </w:tc>
        <w:tc>
          <w:tcPr>
            <w:tcW w:w="1504" w:type="dxa"/>
          </w:tcPr>
          <w:p w:rsidR="0091628B" w:rsidRPr="00474565" w:rsidRDefault="0091628B" w:rsidP="00FB6DD2">
            <w:pPr>
              <w:rPr>
                <w:rFonts w:ascii="Times New Roman" w:hAnsi="Times New Roman" w:cs="Times New Roman"/>
                <w:color w:val="000000"/>
                <w:sz w:val="24"/>
                <w:szCs w:val="24"/>
                <w:shd w:val="clear" w:color="auto" w:fill="FFFFFF"/>
              </w:rPr>
            </w:pPr>
          </w:p>
        </w:tc>
        <w:tc>
          <w:tcPr>
            <w:tcW w:w="1196" w:type="dxa"/>
          </w:tcPr>
          <w:p w:rsidR="0091628B" w:rsidRPr="00474565" w:rsidRDefault="0091628B" w:rsidP="00FB6DD2">
            <w:pPr>
              <w:rPr>
                <w:rFonts w:ascii="Times New Roman" w:hAnsi="Times New Roman" w:cs="Times New Roman"/>
                <w:color w:val="000000"/>
                <w:sz w:val="24"/>
                <w:szCs w:val="24"/>
                <w:shd w:val="clear" w:color="auto" w:fill="FFFFFF"/>
              </w:rPr>
            </w:pPr>
          </w:p>
        </w:tc>
        <w:tc>
          <w:tcPr>
            <w:tcW w:w="1215" w:type="dxa"/>
          </w:tcPr>
          <w:p w:rsidR="0091628B" w:rsidRPr="00474565" w:rsidRDefault="0091628B" w:rsidP="00FB6DD2">
            <w:pPr>
              <w:rPr>
                <w:rFonts w:ascii="Times New Roman" w:hAnsi="Times New Roman" w:cs="Times New Roman"/>
                <w:color w:val="000000"/>
                <w:sz w:val="24"/>
                <w:szCs w:val="24"/>
                <w:shd w:val="clear" w:color="auto" w:fill="FFFFFF"/>
              </w:rPr>
            </w:pPr>
          </w:p>
        </w:tc>
        <w:tc>
          <w:tcPr>
            <w:tcW w:w="758" w:type="dxa"/>
          </w:tcPr>
          <w:p w:rsidR="0091628B" w:rsidRPr="00474565" w:rsidRDefault="0091628B" w:rsidP="00FB6DD2">
            <w:pPr>
              <w:rPr>
                <w:rFonts w:ascii="Times New Roman" w:hAnsi="Times New Roman" w:cs="Times New Roman"/>
                <w:color w:val="000000"/>
                <w:sz w:val="24"/>
                <w:szCs w:val="24"/>
                <w:shd w:val="clear" w:color="auto" w:fill="FFFFFF"/>
              </w:rPr>
            </w:pPr>
          </w:p>
        </w:tc>
        <w:tc>
          <w:tcPr>
            <w:tcW w:w="888" w:type="dxa"/>
          </w:tcPr>
          <w:p w:rsidR="0091628B" w:rsidRPr="00474565" w:rsidRDefault="0091628B" w:rsidP="00FB6DD2">
            <w:pPr>
              <w:rPr>
                <w:rFonts w:ascii="Times New Roman" w:hAnsi="Times New Roman" w:cs="Times New Roman"/>
                <w:color w:val="000000"/>
                <w:sz w:val="24"/>
                <w:szCs w:val="24"/>
                <w:shd w:val="clear" w:color="auto" w:fill="FFFFFF"/>
              </w:rPr>
            </w:pPr>
          </w:p>
        </w:tc>
        <w:tc>
          <w:tcPr>
            <w:tcW w:w="1010" w:type="dxa"/>
          </w:tcPr>
          <w:p w:rsidR="0091628B" w:rsidRPr="00474565" w:rsidRDefault="0091628B" w:rsidP="00FB6DD2">
            <w:pPr>
              <w:rPr>
                <w:rFonts w:ascii="Times New Roman" w:hAnsi="Times New Roman" w:cs="Times New Roman"/>
                <w:color w:val="000000"/>
                <w:sz w:val="24"/>
                <w:szCs w:val="24"/>
                <w:shd w:val="clear" w:color="auto" w:fill="FFFFFF"/>
              </w:rPr>
            </w:pPr>
          </w:p>
        </w:tc>
        <w:tc>
          <w:tcPr>
            <w:tcW w:w="795" w:type="dxa"/>
          </w:tcPr>
          <w:p w:rsidR="0091628B" w:rsidRPr="00474565" w:rsidRDefault="0091628B" w:rsidP="00FB6DD2">
            <w:pPr>
              <w:rPr>
                <w:rFonts w:ascii="Times New Roman" w:hAnsi="Times New Roman" w:cs="Times New Roman"/>
                <w:color w:val="000000"/>
                <w:sz w:val="24"/>
                <w:szCs w:val="24"/>
                <w:shd w:val="clear" w:color="auto" w:fill="FFFFFF"/>
              </w:rPr>
            </w:pPr>
          </w:p>
        </w:tc>
        <w:tc>
          <w:tcPr>
            <w:tcW w:w="776" w:type="dxa"/>
          </w:tcPr>
          <w:p w:rsidR="0091628B" w:rsidRPr="00474565" w:rsidRDefault="0091628B" w:rsidP="00FB6DD2">
            <w:pPr>
              <w:rPr>
                <w:rFonts w:ascii="Times New Roman" w:hAnsi="Times New Roman" w:cs="Times New Roman"/>
                <w:color w:val="000000"/>
                <w:sz w:val="24"/>
                <w:szCs w:val="24"/>
                <w:shd w:val="clear" w:color="auto" w:fill="FFFFFF"/>
              </w:rPr>
            </w:pPr>
          </w:p>
        </w:tc>
        <w:tc>
          <w:tcPr>
            <w:tcW w:w="823" w:type="dxa"/>
          </w:tcPr>
          <w:p w:rsidR="0091628B" w:rsidRPr="00474565" w:rsidRDefault="0091628B" w:rsidP="00FB6DD2">
            <w:pPr>
              <w:rPr>
                <w:rFonts w:ascii="Times New Roman" w:hAnsi="Times New Roman" w:cs="Times New Roman"/>
                <w:color w:val="000000"/>
                <w:sz w:val="24"/>
                <w:szCs w:val="24"/>
                <w:shd w:val="clear" w:color="auto" w:fill="FFFFFF"/>
              </w:rPr>
            </w:pPr>
          </w:p>
        </w:tc>
      </w:tr>
      <w:tr w:rsidR="0091628B" w:rsidRPr="00474565" w:rsidTr="00FB6DD2">
        <w:trPr>
          <w:trHeight w:val="454"/>
        </w:trPr>
        <w:tc>
          <w:tcPr>
            <w:tcW w:w="1437"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Apisarnthanarak</w:t>
            </w:r>
            <w:r w:rsidRPr="00474565">
              <w:rPr>
                <w:rFonts w:ascii="Times New Roman" w:hAnsi="Times New Roman" w:cs="Times New Roman"/>
                <w:color w:val="000000"/>
                <w:sz w:val="24"/>
                <w:szCs w:val="24"/>
              </w:rPr>
              <w:fldChar w:fldCharType="begin"/>
            </w:r>
            <w:r w:rsidRPr="00474565">
              <w:rPr>
                <w:rFonts w:ascii="Times New Roman" w:hAnsi="Times New Roman" w:cs="Times New Roman"/>
                <w:color w:val="000000"/>
                <w:sz w:val="24"/>
                <w:szCs w:val="24"/>
              </w:rPr>
              <w:instrText xml:space="preserve"> ADDIN ZOTERO_ITEM CSL_CITATION {"citationID":"b7i0arid9","properties":{"formattedCitation":"{\\rtf \\super 26\\nosupersub{}}","plainCitation":"26"},"citationItems":[{"id":350,"uris":["http://zotero.org/users/3287917/items/VQWPTPAK"],"uri":["http://zotero.org/users/3287917/items/VQWPTPAK"],"itemData":{"id":350,"type":"article-journal","title":"Increase in chlorhexidine minimal inhibitory concentration of Acinetobacter baumannii clinical isolates after implementation of advanced source control","container-title":"Infection Control and Hospital Epidemiology","page":"98-99","volume":"35","issue":"1","source":"PubMed","DOI":"10.1086/674404","ISSN":"1559-6834","note":"PMID: 24334810","journalAbbreviation":"Infect Control Hosp Epidemiol","language":"eng","author":[{"family":"Apisarnthanarak","given":"Anucha"},{"family":"Yang Hsu","given":"Li"},{"family":"Lim","given":"Tze-Peng"},{"family":"Mundy","given":"Linda M."}],"issued":{"date-parts":[["2014",1]]},"PMID":"24334810"}}],"schema":"https://github.com/citation-style-language/schema/raw/master/csl-citation.json"} </w:instrText>
            </w:r>
            <w:r w:rsidRPr="00474565">
              <w:rPr>
                <w:rFonts w:ascii="Times New Roman" w:hAnsi="Times New Roman" w:cs="Times New Roman"/>
                <w:color w:val="000000"/>
                <w:sz w:val="24"/>
                <w:szCs w:val="24"/>
              </w:rPr>
              <w:fldChar w:fldCharType="separate"/>
            </w:r>
            <w:r w:rsidRPr="00474565">
              <w:rPr>
                <w:rFonts w:ascii="Times New Roman" w:hAnsi="Times New Roman" w:cs="Times New Roman"/>
                <w:sz w:val="24"/>
                <w:szCs w:val="24"/>
                <w:vertAlign w:val="superscript"/>
              </w:rPr>
              <w:t>26</w:t>
            </w:r>
            <w:r w:rsidRPr="00474565">
              <w:rPr>
                <w:rFonts w:ascii="Times New Roman" w:hAnsi="Times New Roman" w:cs="Times New Roman"/>
                <w:color w:val="000000"/>
                <w:sz w:val="24"/>
                <w:szCs w:val="24"/>
              </w:rPr>
              <w:fldChar w:fldCharType="end"/>
            </w:r>
          </w:p>
        </w:tc>
        <w:tc>
          <w:tcPr>
            <w:tcW w:w="869"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2014</w:t>
            </w:r>
          </w:p>
        </w:tc>
        <w:tc>
          <w:tcPr>
            <w:tcW w:w="862"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PC</w:t>
            </w:r>
          </w:p>
        </w:tc>
        <w:tc>
          <w:tcPr>
            <w:tcW w:w="1295"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1</w:t>
            </w:r>
          </w:p>
        </w:tc>
        <w:tc>
          <w:tcPr>
            <w:tcW w:w="1504"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1</w:t>
            </w:r>
          </w:p>
        </w:tc>
        <w:tc>
          <w:tcPr>
            <w:tcW w:w="1196"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1</w:t>
            </w:r>
          </w:p>
        </w:tc>
        <w:tc>
          <w:tcPr>
            <w:tcW w:w="1215"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0</w:t>
            </w:r>
          </w:p>
        </w:tc>
        <w:tc>
          <w:tcPr>
            <w:tcW w:w="758"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1</w:t>
            </w:r>
          </w:p>
        </w:tc>
        <w:tc>
          <w:tcPr>
            <w:tcW w:w="888"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1</w:t>
            </w:r>
          </w:p>
        </w:tc>
        <w:tc>
          <w:tcPr>
            <w:tcW w:w="1010"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1</w:t>
            </w:r>
          </w:p>
        </w:tc>
        <w:tc>
          <w:tcPr>
            <w:tcW w:w="795"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1</w:t>
            </w:r>
          </w:p>
        </w:tc>
        <w:tc>
          <w:tcPr>
            <w:tcW w:w="776"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1</w:t>
            </w:r>
          </w:p>
        </w:tc>
        <w:tc>
          <w:tcPr>
            <w:tcW w:w="823"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8</w:t>
            </w:r>
          </w:p>
        </w:tc>
      </w:tr>
      <w:tr w:rsidR="0091628B" w:rsidRPr="00474565" w:rsidTr="00FB6DD2">
        <w:trPr>
          <w:trHeight w:val="454"/>
        </w:trPr>
        <w:tc>
          <w:tcPr>
            <w:tcW w:w="1437"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Bleasdale</w:t>
            </w:r>
            <w:r w:rsidRPr="00474565">
              <w:rPr>
                <w:rFonts w:ascii="Times New Roman" w:hAnsi="Times New Roman" w:cs="Times New Roman"/>
                <w:color w:val="000000"/>
                <w:sz w:val="24"/>
                <w:szCs w:val="24"/>
              </w:rPr>
              <w:fldChar w:fldCharType="begin"/>
            </w:r>
            <w:r w:rsidRPr="00474565">
              <w:rPr>
                <w:rFonts w:ascii="Times New Roman" w:hAnsi="Times New Roman" w:cs="Times New Roman"/>
                <w:color w:val="000000"/>
                <w:sz w:val="24"/>
                <w:szCs w:val="24"/>
              </w:rPr>
              <w:instrText xml:space="preserve"> ADDIN ZOTERO_ITEM CSL_CITATION {"citationID":"251t3g9m5m","properties":{"formattedCitation":"{\\rtf \\super 20\\nosupersub{}}","plainCitation":"20"},"citationItems":[{"id":352,"uris":["http://zotero.org/users/3287917/items/K9I3SN37"],"uri":["http://zotero.org/users/3287917/items/K9I3SN37"],"itemData":{"id":352,"type":"article-journal","title":"Effectiveness of chlorhexidine bathing to reduce catheter-associated bloodstream infections in medical intensive care unit patients","container-title":"Archives of Internal Medicine","page":"2073-2079","volume":"167","issue":"19","source":"PubMed","abstract":"OBJECTIVE: To determine whether patients bathed daily with chlorhexidine gluconate (CHG) have a lower incidence of primary bloodstream infections (BSIs) compared with patients bathed with soap and water.\nMETHODS: The study design was a 52-week, 2-arm, crossover (ie, concurrent control group) clinical trial with intention-to-treat analysis. The study setting was the 22-bed medical intensive care unit (MICU), which comprises 2 geographically separate, similar 11-bed units, of the John H. Stroger Jr (Cook County) Hospital, a 464-bed public teaching hospital in Chicago, Illinois. The study population comprised 836 MICU patients. During the first of 2 study periods (28 weeks), 1 hospital unit was randomly selected to serve as the intervention unit in which patients were bathed daily with 2% CHG-impregnated washcloths (Sage 2% CHG cloths; Sage Products Inc, Cary, Illinois); patients in the concurrent control unit were bathed daily with soap and water. After a 2-week wash-out period at the end of the first period, cleansing methods were crossed over for 24 more weeks. Main outcome measures included incidences of primary BSIs and clinical (culture-negative) sepsis (primary outcomes) and incidences of other infections (secondary outcomes).\nRESULTS: Patients in the CHG intervention arm were significantly less likely to acquire a primary BSI (4.1 vs 10.4 infections per 1000 patient days; incidence difference, 6.3 [95% confidence interval, 1.2-11.0). The incidences of other infections, including clinical sepsis, were similar between the units. Protection against primary BSI by CHG cleansing was apparent after 5 or more days in the MICU.\nCONCLUSION: Daily cleansing of MICU patients with CHG-impregnated cloths is a simple, effective strategy to decrease the rate of primary BSIs.","DOI":"10.1001/archinte.167.19.2073","ISSN":"0003-9926","note":"PMID: 17954801","journalAbbreviation":"Arch. Intern. Med.","language":"eng","author":[{"family":"Bleasdale","given":"Susan C."},{"family":"Trick","given":"William E."},{"family":"Gonzalez","given":"Ines M."},{"family":"Lyles","given":"Rosie D."},{"family":"Hayden","given":"Mary K."},{"family":"Weinstein","given":"Robert A."}],"issued":{"date-parts":[["2007",10,22]]},"PMID":"17954801"}}],"schema":"https://github.com/citation-style-language/schema/raw/master/csl-citation.json"} </w:instrText>
            </w:r>
            <w:r w:rsidRPr="00474565">
              <w:rPr>
                <w:rFonts w:ascii="Times New Roman" w:hAnsi="Times New Roman" w:cs="Times New Roman"/>
                <w:color w:val="000000"/>
                <w:sz w:val="24"/>
                <w:szCs w:val="24"/>
              </w:rPr>
              <w:fldChar w:fldCharType="separate"/>
            </w:r>
            <w:r w:rsidRPr="00474565">
              <w:rPr>
                <w:rFonts w:ascii="Times New Roman" w:hAnsi="Times New Roman" w:cs="Times New Roman"/>
                <w:sz w:val="24"/>
                <w:szCs w:val="24"/>
                <w:vertAlign w:val="superscript"/>
              </w:rPr>
              <w:t>20</w:t>
            </w:r>
            <w:r w:rsidRPr="00474565">
              <w:rPr>
                <w:rFonts w:ascii="Times New Roman" w:hAnsi="Times New Roman" w:cs="Times New Roman"/>
                <w:color w:val="000000"/>
                <w:sz w:val="24"/>
                <w:szCs w:val="24"/>
              </w:rPr>
              <w:fldChar w:fldCharType="end"/>
            </w:r>
          </w:p>
        </w:tc>
        <w:tc>
          <w:tcPr>
            <w:tcW w:w="869"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2007</w:t>
            </w:r>
          </w:p>
        </w:tc>
        <w:tc>
          <w:tcPr>
            <w:tcW w:w="862"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PC</w:t>
            </w:r>
          </w:p>
        </w:tc>
        <w:tc>
          <w:tcPr>
            <w:tcW w:w="1295"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1</w:t>
            </w:r>
          </w:p>
        </w:tc>
        <w:tc>
          <w:tcPr>
            <w:tcW w:w="1504"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1</w:t>
            </w:r>
          </w:p>
        </w:tc>
        <w:tc>
          <w:tcPr>
            <w:tcW w:w="1196"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1</w:t>
            </w:r>
          </w:p>
        </w:tc>
        <w:tc>
          <w:tcPr>
            <w:tcW w:w="1215"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0</w:t>
            </w:r>
          </w:p>
        </w:tc>
        <w:tc>
          <w:tcPr>
            <w:tcW w:w="758"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1</w:t>
            </w:r>
          </w:p>
        </w:tc>
        <w:tc>
          <w:tcPr>
            <w:tcW w:w="888"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1</w:t>
            </w:r>
          </w:p>
        </w:tc>
        <w:tc>
          <w:tcPr>
            <w:tcW w:w="1010"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1</w:t>
            </w:r>
          </w:p>
        </w:tc>
        <w:tc>
          <w:tcPr>
            <w:tcW w:w="795"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1</w:t>
            </w:r>
          </w:p>
        </w:tc>
        <w:tc>
          <w:tcPr>
            <w:tcW w:w="776"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1</w:t>
            </w:r>
          </w:p>
        </w:tc>
        <w:tc>
          <w:tcPr>
            <w:tcW w:w="823"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8</w:t>
            </w:r>
          </w:p>
        </w:tc>
      </w:tr>
      <w:tr w:rsidR="0091628B" w:rsidRPr="00474565" w:rsidTr="00FB6DD2">
        <w:trPr>
          <w:trHeight w:val="454"/>
        </w:trPr>
        <w:tc>
          <w:tcPr>
            <w:tcW w:w="1437"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Cassir</w:t>
            </w:r>
            <w:r>
              <w:rPr>
                <w:rFonts w:ascii="Times New Roman" w:hAnsi="Times New Roman" w:cs="Times New Roman"/>
                <w:sz w:val="24"/>
                <w:szCs w:val="24"/>
                <w:vertAlign w:val="superscript"/>
              </w:rPr>
              <w:t>6</w:t>
            </w:r>
          </w:p>
        </w:tc>
        <w:tc>
          <w:tcPr>
            <w:tcW w:w="869"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2015</w:t>
            </w:r>
          </w:p>
        </w:tc>
        <w:tc>
          <w:tcPr>
            <w:tcW w:w="862"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PC</w:t>
            </w:r>
          </w:p>
        </w:tc>
        <w:tc>
          <w:tcPr>
            <w:tcW w:w="1295"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1</w:t>
            </w:r>
          </w:p>
        </w:tc>
        <w:tc>
          <w:tcPr>
            <w:tcW w:w="1504"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1</w:t>
            </w:r>
          </w:p>
        </w:tc>
        <w:tc>
          <w:tcPr>
            <w:tcW w:w="1196"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1</w:t>
            </w:r>
          </w:p>
        </w:tc>
        <w:tc>
          <w:tcPr>
            <w:tcW w:w="1215"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0</w:t>
            </w:r>
          </w:p>
        </w:tc>
        <w:tc>
          <w:tcPr>
            <w:tcW w:w="758"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1</w:t>
            </w:r>
          </w:p>
        </w:tc>
        <w:tc>
          <w:tcPr>
            <w:tcW w:w="888"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1</w:t>
            </w:r>
          </w:p>
        </w:tc>
        <w:tc>
          <w:tcPr>
            <w:tcW w:w="1010"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1</w:t>
            </w:r>
          </w:p>
        </w:tc>
        <w:tc>
          <w:tcPr>
            <w:tcW w:w="795"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1</w:t>
            </w:r>
          </w:p>
        </w:tc>
        <w:tc>
          <w:tcPr>
            <w:tcW w:w="776"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1</w:t>
            </w:r>
          </w:p>
        </w:tc>
        <w:tc>
          <w:tcPr>
            <w:tcW w:w="823"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8</w:t>
            </w:r>
          </w:p>
        </w:tc>
      </w:tr>
      <w:tr w:rsidR="0091628B" w:rsidRPr="00474565" w:rsidTr="00FB6DD2">
        <w:trPr>
          <w:trHeight w:val="454"/>
        </w:trPr>
        <w:tc>
          <w:tcPr>
            <w:tcW w:w="1437"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Chung</w:t>
            </w:r>
            <w:r w:rsidRPr="00474565">
              <w:rPr>
                <w:rFonts w:ascii="Times New Roman" w:hAnsi="Times New Roman" w:cs="Times New Roman"/>
                <w:color w:val="000000"/>
                <w:sz w:val="24"/>
                <w:szCs w:val="24"/>
              </w:rPr>
              <w:fldChar w:fldCharType="begin"/>
            </w:r>
            <w:r w:rsidRPr="00474565">
              <w:rPr>
                <w:rFonts w:ascii="Times New Roman" w:hAnsi="Times New Roman" w:cs="Times New Roman"/>
                <w:color w:val="000000"/>
                <w:sz w:val="24"/>
                <w:szCs w:val="24"/>
              </w:rPr>
              <w:instrText xml:space="preserve"> ADDIN ZOTERO_ITEM CSL_CITATION {"citationID":"2fih67viu5","properties":{"formattedCitation":"{\\rtf \\super 27\\nosupersub{}}","plainCitation":"27"},"citationItems":[{"id":356,"uris":["http://zotero.org/users/3287917/items/2BQJCNSF"],"uri":["http://zotero.org/users/3287917/items/2BQJCNSF"],"itemData":{"id":356,"type":"article-journal","title":"Effect of daily chlorhexidine bathing on acquisition of carbapenem-resistant Acinetobacter baumannii (CRAB) in the medical intensive care unit with CRAB endemicity","container-title":"American Journal of Infection Control","page":"1171-1177","volume":"43","issue":"11","source":"PubMed","abstract":"BACKGROUND: There is insufficient evidence for daily chlorhexidine bathing to reduce nosocomial spread of carbapenem-resistant Acinetobacter baumannii (CRAB) in endemic situations.\nMETHODS: An interrupted time series study was performed to evaluate the effect of daily chlorhexidine bathing on the acquisition of CRAB in a medical intensive care unit (ICU) with CRAB endemicity. There was a 14-month control period and 12-month chlorhexidine bathing period. Segmented Poisson regression analysis was performed to assess the impact of chlorhexidine bathing on the level and trend of the series of prevalence rates and incidence density. Also, chlorhexidine susceptibility testing was performed on CRAB isolates collected during the chlorhexidine bathing period.\nRESULTS: There was a 51.8% reduction of CRAB acquisition rates after an introduction of daily chlorhexidine bathing (44.0 vs 21.2 cases/1,000 at-risk patient days, P &lt; .001). There was a significant reduction in the level (-0.604; 95% CI, -0.904 to -0.305; P &lt; .001) of incidence density of CRAB, whereas there was no significant change in both level and trend of CRAB prevalence rates. Minimum inhibitory concentration of chlorhexidine against a total of 98 CRAB isolates ranged from 8-64 μg/mL.\nCONCLUSION: Daily chlorhexidine bathing significantly reduces the acquisition of CRAB in a medical ICU with CRAB endemicity.","DOI":"10.1016/j.ajic.2015.07.001","ISSN":"1527-3296","note":"PMID: 26297525","journalAbbreviation":"Am J Infect Control","language":"eng","author":[{"family":"Chung","given":"Yun Kyung"},{"family":"Kim","given":"Jae-Seok"},{"family":"Lee","given":"Seung Soon"},{"family":"Lee","given":"Jeong-A."},{"family":"Kim","given":"Han-Sung"},{"family":"Shin","given":"Kyong-Sok"},{"family":"Park","given":"Eun Young"},{"family":"Kang","given":"Bog Soun"},{"family":"Lee","given":"Hee Jung"},{"family":"Kang","given":"Hyun Joo"}],"issued":{"date-parts":[["2015",11]]},"PMID":"26297525"}}],"schema":"https://github.com/citation-style-language/schema/raw/master/csl-citation.json"} </w:instrText>
            </w:r>
            <w:r w:rsidRPr="00474565">
              <w:rPr>
                <w:rFonts w:ascii="Times New Roman" w:hAnsi="Times New Roman" w:cs="Times New Roman"/>
                <w:color w:val="000000"/>
                <w:sz w:val="24"/>
                <w:szCs w:val="24"/>
              </w:rPr>
              <w:fldChar w:fldCharType="separate"/>
            </w:r>
            <w:r w:rsidRPr="00474565">
              <w:rPr>
                <w:rFonts w:ascii="Times New Roman" w:hAnsi="Times New Roman" w:cs="Times New Roman"/>
                <w:sz w:val="24"/>
                <w:szCs w:val="24"/>
                <w:vertAlign w:val="superscript"/>
              </w:rPr>
              <w:t>27</w:t>
            </w:r>
            <w:r w:rsidRPr="00474565">
              <w:rPr>
                <w:rFonts w:ascii="Times New Roman" w:hAnsi="Times New Roman" w:cs="Times New Roman"/>
                <w:color w:val="000000"/>
                <w:sz w:val="24"/>
                <w:szCs w:val="24"/>
              </w:rPr>
              <w:fldChar w:fldCharType="end"/>
            </w:r>
          </w:p>
        </w:tc>
        <w:tc>
          <w:tcPr>
            <w:tcW w:w="869"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2015</w:t>
            </w:r>
          </w:p>
        </w:tc>
        <w:tc>
          <w:tcPr>
            <w:tcW w:w="862"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PC</w:t>
            </w:r>
          </w:p>
        </w:tc>
        <w:tc>
          <w:tcPr>
            <w:tcW w:w="1295"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1</w:t>
            </w:r>
          </w:p>
        </w:tc>
        <w:tc>
          <w:tcPr>
            <w:tcW w:w="1504"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1</w:t>
            </w:r>
          </w:p>
        </w:tc>
        <w:tc>
          <w:tcPr>
            <w:tcW w:w="1196"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1</w:t>
            </w:r>
          </w:p>
        </w:tc>
        <w:tc>
          <w:tcPr>
            <w:tcW w:w="1215"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0</w:t>
            </w:r>
          </w:p>
        </w:tc>
        <w:tc>
          <w:tcPr>
            <w:tcW w:w="758"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0</w:t>
            </w:r>
          </w:p>
        </w:tc>
        <w:tc>
          <w:tcPr>
            <w:tcW w:w="888"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0</w:t>
            </w:r>
          </w:p>
        </w:tc>
        <w:tc>
          <w:tcPr>
            <w:tcW w:w="1010"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1</w:t>
            </w:r>
          </w:p>
        </w:tc>
        <w:tc>
          <w:tcPr>
            <w:tcW w:w="795"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1</w:t>
            </w:r>
          </w:p>
        </w:tc>
        <w:tc>
          <w:tcPr>
            <w:tcW w:w="776"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1</w:t>
            </w:r>
          </w:p>
        </w:tc>
        <w:tc>
          <w:tcPr>
            <w:tcW w:w="823"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6</w:t>
            </w:r>
          </w:p>
        </w:tc>
      </w:tr>
      <w:tr w:rsidR="0091628B" w:rsidRPr="00474565" w:rsidTr="00FB6DD2">
        <w:trPr>
          <w:trHeight w:val="454"/>
        </w:trPr>
        <w:tc>
          <w:tcPr>
            <w:tcW w:w="1437"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Dicks</w:t>
            </w:r>
            <w:r w:rsidRPr="00474565">
              <w:rPr>
                <w:rFonts w:ascii="Times New Roman" w:hAnsi="Times New Roman" w:cs="Times New Roman"/>
                <w:color w:val="000000"/>
                <w:sz w:val="24"/>
                <w:szCs w:val="24"/>
              </w:rPr>
              <w:fldChar w:fldCharType="begin"/>
            </w:r>
            <w:r w:rsidRPr="00474565">
              <w:rPr>
                <w:rFonts w:ascii="Times New Roman" w:hAnsi="Times New Roman" w:cs="Times New Roman"/>
                <w:color w:val="000000"/>
                <w:sz w:val="24"/>
                <w:szCs w:val="24"/>
              </w:rPr>
              <w:instrText xml:space="preserve"> ADDIN ZOTERO_ITEM CSL_CITATION {"citationID":"4imq1uau","properties":{"formattedCitation":"{\\rtf \\super 28\\nosupersub{}}","plainCitation":"28"},"citationItems":[{"id":358,"uris":["http://zotero.org/users/3287917/items/2JXTCM9X"],"uri":["http://zotero.org/users/3287917/items/2JXTCM9X"],"itemData":{"id":358,"type":"article-journal","title":"A Multicenter Pragmatic Interrupted Time Series Analysis of Chlorhexidine Gluconate Bathing in Community Hospital Intensive Care Units","container-title":"Infection Control and Hospital Epidemiology","page":"791-797","volume":"37","issue":"7","source":"PubMed","abstract":"OBJECTIVE To determine whether daily chlorhexidine gluconate (CHG) bathing of intensive care unit (ICU) patients leads to a decrease in hospital-acquired infections (HAIs), particularly infections caused by methicillin-resistant Staphylococcus aureus (MRSA) and vancomycin-resistant Enterococcus (VRE). DESIGN Interrupted time series analysis. SETTING The study included 33 community hospitals participating in the Duke Infection Control Outreach Network from January 2008 through December 2013. PARTICIPANTS All ICU patients at study hospitals during the study period. METHODS Of the 33 hospitals, 17 hospitals implemented CHG bathing during the study period, and 16 hospitals that did not perform CHG bathing served as controls. Primary pre-specified outcomes included ICU central-line-associated bloodstream infections (CLABSIs), primary bloodstream infections (BSI), ventilator-associated pneumonia (VAP), and catheter-associated urinary tract infections (CAUTIs). MRSA and VRE HAIs were also evaluated. RESULTS Chlorhexidine gluconate (CHG) bathing was associated with a significant downward trend in incidence rates of ICU CLABSI (incidence rate ratio [IRR], 0.96; 95% confidence interval [CI], 0.93-0.99), ICU primary BSI (IRR, 0.96; 95% CI, 0.94-0.99), VRE CLABSIs (IRR, 0.97; 95% CI, 0.97-0.98), and all combined VRE infections (IRR, 0.96; 95% CI, 0.93-1.00). No significant trend in MRSA infection incidence rates was identified prior to or following the implementation of CHG bathing. CONCLUSIONS In this multicenter, real-world analysis of the impact of CHG bathing, hospitals that implemented CHG bathing attained a decrease in ICU CLABSIs, ICU primary BSIs, and VRE CLABSIs. CHG bathing did not affect rates of specific or overall infections due to MRSA. Our findings support daily CHG bathing of ICU patients. Infect Control Hosp Epidemiol 2016;37:791-797.","DOI":"10.1017/ice.2016.23","ISSN":"1559-6834","note":"PMID: 26861417\nPMCID: PMC5894096","journalAbbreviation":"Infect Control Hosp Epidemiol","language":"eng","author":[{"family":"Dicks","given":"Kristen V."},{"family":"Lofgren","given":"Eric"},{"family":"Lewis","given":"Sarah S."},{"family":"Moehring","given":"Rebekah W."},{"family":"Sexton","given":"Daniel J."},{"family":"Anderson","given":"Deverick J."}],"issued":{"date-parts":[["2016"]]},"PMID":"26861417","PMCID":"PMC5894096"}}],"schema":"https://github.com/citation-style-language/schema/raw/master/csl-citation.json"} </w:instrText>
            </w:r>
            <w:r w:rsidRPr="00474565">
              <w:rPr>
                <w:rFonts w:ascii="Times New Roman" w:hAnsi="Times New Roman" w:cs="Times New Roman"/>
                <w:color w:val="000000"/>
                <w:sz w:val="24"/>
                <w:szCs w:val="24"/>
              </w:rPr>
              <w:fldChar w:fldCharType="separate"/>
            </w:r>
            <w:r w:rsidRPr="00474565">
              <w:rPr>
                <w:rFonts w:ascii="Times New Roman" w:hAnsi="Times New Roman" w:cs="Times New Roman"/>
                <w:sz w:val="24"/>
                <w:szCs w:val="24"/>
                <w:vertAlign w:val="superscript"/>
              </w:rPr>
              <w:t>28</w:t>
            </w:r>
            <w:r w:rsidRPr="00474565">
              <w:rPr>
                <w:rFonts w:ascii="Times New Roman" w:hAnsi="Times New Roman" w:cs="Times New Roman"/>
                <w:color w:val="000000"/>
                <w:sz w:val="24"/>
                <w:szCs w:val="24"/>
              </w:rPr>
              <w:fldChar w:fldCharType="end"/>
            </w:r>
          </w:p>
        </w:tc>
        <w:tc>
          <w:tcPr>
            <w:tcW w:w="869"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2016</w:t>
            </w:r>
          </w:p>
        </w:tc>
        <w:tc>
          <w:tcPr>
            <w:tcW w:w="862"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RC</w:t>
            </w:r>
          </w:p>
        </w:tc>
        <w:tc>
          <w:tcPr>
            <w:tcW w:w="1295"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1</w:t>
            </w:r>
          </w:p>
        </w:tc>
        <w:tc>
          <w:tcPr>
            <w:tcW w:w="1504"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1</w:t>
            </w:r>
          </w:p>
        </w:tc>
        <w:tc>
          <w:tcPr>
            <w:tcW w:w="1196"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1</w:t>
            </w:r>
          </w:p>
        </w:tc>
        <w:tc>
          <w:tcPr>
            <w:tcW w:w="1215"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0</w:t>
            </w:r>
          </w:p>
        </w:tc>
        <w:tc>
          <w:tcPr>
            <w:tcW w:w="758"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0</w:t>
            </w:r>
          </w:p>
        </w:tc>
        <w:tc>
          <w:tcPr>
            <w:tcW w:w="888"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0</w:t>
            </w:r>
          </w:p>
        </w:tc>
        <w:tc>
          <w:tcPr>
            <w:tcW w:w="1010"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1</w:t>
            </w:r>
          </w:p>
        </w:tc>
        <w:tc>
          <w:tcPr>
            <w:tcW w:w="795"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1</w:t>
            </w:r>
          </w:p>
        </w:tc>
        <w:tc>
          <w:tcPr>
            <w:tcW w:w="776"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1</w:t>
            </w:r>
          </w:p>
        </w:tc>
        <w:tc>
          <w:tcPr>
            <w:tcW w:w="823"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6</w:t>
            </w:r>
          </w:p>
        </w:tc>
      </w:tr>
      <w:tr w:rsidR="0091628B" w:rsidRPr="00474565" w:rsidTr="00FB6DD2">
        <w:trPr>
          <w:trHeight w:val="454"/>
        </w:trPr>
        <w:tc>
          <w:tcPr>
            <w:tcW w:w="1437"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Evans</w:t>
            </w:r>
            <w:r w:rsidRPr="00474565">
              <w:rPr>
                <w:rFonts w:ascii="Times New Roman" w:hAnsi="Times New Roman" w:cs="Times New Roman"/>
                <w:color w:val="000000"/>
                <w:sz w:val="24"/>
                <w:szCs w:val="24"/>
              </w:rPr>
              <w:fldChar w:fldCharType="begin"/>
            </w:r>
            <w:r w:rsidRPr="00474565">
              <w:rPr>
                <w:rFonts w:ascii="Times New Roman" w:hAnsi="Times New Roman" w:cs="Times New Roman"/>
                <w:color w:val="000000"/>
                <w:sz w:val="24"/>
                <w:szCs w:val="24"/>
              </w:rPr>
              <w:instrText xml:space="preserve"> ADDIN ZOTERO_ITEM CSL_CITATION {"citationID":"2pb0uvanrq","properties":{"formattedCitation":"{\\rtf \\super 29\\nosupersub{}}","plainCitation":"29"},"citationItems":[{"id":360,"uris":["http://zotero.org/users/3287917/items/JH5F659S"],"uri":["http://zotero.org/users/3287917/items/JH5F659S"],"itemData":{"id":360,"type":"article-journal","title":"Effect of chlorhexidine whole-body bathing on hospital-acquired infections among trauma patients","container-title":"Archives of Surgery (Chicago, Ill.: 1960)","page":"240-246","volume":"145","issue":"3","source":"PubMed","abstract":"OBJECTIVE: To demonstrate whether daily bathing with cloths impregnated with 2% chlorhexidine gluconate will decrease colonization of resistant bacteria and reduce the rates of health care-associated infections in critically injured patients.\nDESIGN: Retrospective analysis of data collected 6 months before and after institution of a chlorhexidine bathing protocol.\nSETTING: A 12-bed intensive care unit in a level I trauma center.\nPATIENTS: Two hundred eighty-six severely injured patients underwent daily chlorhexidine bathing during the 6-month intervention; 253 patients were bathed without chlorhexidine prior to the intervention.\nINTERVENTIONS: Daily chlorhexidine bathing.\nMAIN OUTCOMES MEASURES: Rates of ventilator-associated pneumonia (VAP), bloodstream infection, and colonization with resistant organisms (methicillin-resistant Staphylococcus aureus [MRSA] or Acinetobacter species).\nRESULTS: Baseline patient and injury characteristics were similar between cohorts. Patients receiving chlorhexidine baths were significantly less likely to acquire a catheter-related bloodstream infection than comparators (2.1 vs 8.4 infections per 1000 catheter-days, P = .01). The incidence of VAP was not affected by chlorhexidine baths (16.9 vs 21.6 infections per 1000 ventilator-days in those with vs those without chlorhexidine baths, respectively, P = .30). However, patients who received chlorhexidine baths were less likely to develop MRSA VAP (1.6 vs 5.7 infections per 1000 ventilator-days, P = .03). The rate of colonization with MRSA (23.3 vs 69.3 per 1000 patient-days, P &lt; .001) and Acinetobacter (1.0 vs 4.6 per 1000 patient-days, P = .36) was significantly lower in the chlorhexidine group than in the comparison group.\nCONCLUSIONS: Daily bathing of trauma patients with cloths impregnated with 2% chlorhexidine gluconate is associated with a decreased rate of colonization by MRSA and Acinetobacter and lower rates of catheter-related bloodstream infection and MRSA VAP.","DOI":"10.1001/archsurg.2010.5","ISSN":"1538-3644","note":"PMID: 20231624","journalAbbreviation":"Arch Surg","language":"eng","author":[{"family":"Evans","given":"Heather L."},{"family":"Dellit","given":"Timothy H."},{"family":"Chan","given":"Jeannie"},{"family":"Nathens","given":"Avery B."},{"family":"Maier","given":"Ronald V."},{"family":"Cuschieri","given":"Joseph"}],"issued":{"date-parts":[["2010",3]]},"PMID":"20231624"}}],"schema":"https://github.com/citation-style-language/schema/raw/master/csl-citation.json"} </w:instrText>
            </w:r>
            <w:r w:rsidRPr="00474565">
              <w:rPr>
                <w:rFonts w:ascii="Times New Roman" w:hAnsi="Times New Roman" w:cs="Times New Roman"/>
                <w:color w:val="000000"/>
                <w:sz w:val="24"/>
                <w:szCs w:val="24"/>
              </w:rPr>
              <w:fldChar w:fldCharType="separate"/>
            </w:r>
            <w:r w:rsidRPr="00474565">
              <w:rPr>
                <w:rFonts w:ascii="Times New Roman" w:hAnsi="Times New Roman" w:cs="Times New Roman"/>
                <w:sz w:val="24"/>
                <w:szCs w:val="24"/>
                <w:vertAlign w:val="superscript"/>
              </w:rPr>
              <w:t>29</w:t>
            </w:r>
            <w:r w:rsidRPr="00474565">
              <w:rPr>
                <w:rFonts w:ascii="Times New Roman" w:hAnsi="Times New Roman" w:cs="Times New Roman"/>
                <w:color w:val="000000"/>
                <w:sz w:val="24"/>
                <w:szCs w:val="24"/>
              </w:rPr>
              <w:fldChar w:fldCharType="end"/>
            </w:r>
          </w:p>
        </w:tc>
        <w:tc>
          <w:tcPr>
            <w:tcW w:w="869"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2010</w:t>
            </w:r>
          </w:p>
        </w:tc>
        <w:tc>
          <w:tcPr>
            <w:tcW w:w="862"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RC</w:t>
            </w:r>
          </w:p>
        </w:tc>
        <w:tc>
          <w:tcPr>
            <w:tcW w:w="1295"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1</w:t>
            </w:r>
          </w:p>
        </w:tc>
        <w:tc>
          <w:tcPr>
            <w:tcW w:w="1504"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1</w:t>
            </w:r>
          </w:p>
        </w:tc>
        <w:tc>
          <w:tcPr>
            <w:tcW w:w="1196"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1</w:t>
            </w:r>
          </w:p>
        </w:tc>
        <w:tc>
          <w:tcPr>
            <w:tcW w:w="1215"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0</w:t>
            </w:r>
          </w:p>
        </w:tc>
        <w:tc>
          <w:tcPr>
            <w:tcW w:w="758"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1</w:t>
            </w:r>
          </w:p>
        </w:tc>
        <w:tc>
          <w:tcPr>
            <w:tcW w:w="888"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1</w:t>
            </w:r>
          </w:p>
        </w:tc>
        <w:tc>
          <w:tcPr>
            <w:tcW w:w="1010"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1</w:t>
            </w:r>
          </w:p>
        </w:tc>
        <w:tc>
          <w:tcPr>
            <w:tcW w:w="795"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1</w:t>
            </w:r>
          </w:p>
        </w:tc>
        <w:tc>
          <w:tcPr>
            <w:tcW w:w="776"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1</w:t>
            </w:r>
          </w:p>
        </w:tc>
        <w:tc>
          <w:tcPr>
            <w:tcW w:w="823"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8</w:t>
            </w:r>
          </w:p>
        </w:tc>
      </w:tr>
      <w:tr w:rsidR="0091628B" w:rsidRPr="00474565" w:rsidTr="00FB6DD2">
        <w:trPr>
          <w:trHeight w:val="397"/>
        </w:trPr>
        <w:tc>
          <w:tcPr>
            <w:tcW w:w="1437"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Gould</w:t>
            </w:r>
            <w:r w:rsidRPr="00474565">
              <w:rPr>
                <w:rFonts w:ascii="Times New Roman" w:hAnsi="Times New Roman" w:cs="Times New Roman"/>
                <w:color w:val="000000"/>
                <w:sz w:val="24"/>
                <w:szCs w:val="24"/>
              </w:rPr>
              <w:fldChar w:fldCharType="begin"/>
            </w:r>
            <w:r w:rsidRPr="00474565">
              <w:rPr>
                <w:rFonts w:ascii="Times New Roman" w:hAnsi="Times New Roman" w:cs="Times New Roman"/>
                <w:color w:val="000000"/>
                <w:sz w:val="24"/>
                <w:szCs w:val="24"/>
              </w:rPr>
              <w:instrText xml:space="preserve"> ADDIN ZOTERO_ITEM CSL_CITATION {"citationID":"1e8r6uj31c","properties":{"formattedCitation":"{\\rtf \\super 4\\nosupersub{}}","plainCitation":"4"},"citationItems":[{"id":286,"uris":["http://zotero.org/users/3287917/items/WSHQG3FC"],"uri":["http://zotero.org/users/3287917/items/WSHQG3FC"],"itemData":{"id":286,"type":"article-journal","title":"Topical antimicrobials in combination with admission screening and barrier precautions to control endemic methicillin-resistant Staphylococcus aureus in an Intensive Care Unit","container-title":"International Journal of Antimicrobial Agents","page":"536-543","volume":"29","issue":"5","source":"PubMed","abstract":"We aimed to establish whether screening for methicillin-resistant Staphylococcus aureus (MRSA) and body decontamination upon admission to an Intensive Care Unit (ICU), in combination with barrier precautions, reduced rates of MRSA infection acquired on the unit. This was an interrupted time series study employing segmented regression analysis of data collected for all patients admitted to a 16-bed adult ICU over 48 months. Before the intervention (24 months; 1232 patients (44% female)), MRSA was sought from clinical cultures only and positive patients were barrier nursed in isolation. During the intervention (24 months; 1421 patients (54% female)), all ICU patients were screened for MRSA on admission and were barrier nursed in single rooms when established as MRSA-positive; all were given topical nasal anti-MRSA preparations and daily bed baths with 4% chlorhexidine throughout their stay. Changes in the proportion of patients colonised or infected with MRSA in the ICU were assessed. Before the intervention, 193 new MRSA cases (16%) were identified from 1232 ICU admissions; during the intervention, this was reduced to 92 cases (6%) of 1421 admissions. By time series regression analysis, the proportion of patients with MRSA decreased by 11.38% from ca. 15% to ca. 5% (ca. three-fold reduction) (95% confidence interval 3.5-19.3%; P=0.005). Thus, treatment of 11 patients prevented 1 clinical case of MRSA. Mean length of stay decreased significantly (P&lt;0.001). Although MRSA and methicillin-susceptible S. aureus bacteraemia rates dropped, the changes detected were not statistically significant. The proportion of patients with coagulase-negative staphylococcal bacteraemia decreased significantly (P&lt;0.001) and the trend changed from increasing to decreasing (P&lt;0.001), as did the trend in glycopeptide use (P=0.014). An inexpensive and easy to implement intervention to control MRSA in the ICU was highly successful without compromising antimicrobial susceptibility.","DOI":"10.1016/j.ijantimicag.2006.12.019","ISSN":"0924-8579","note":"PMID: 17337163","journalAbbreviation":"Int. J. Antimicrob. Agents","language":"eng","author":[{"family":"Gould","given":"Ian M."},{"family":"MacKenzie","given":"Fiona M."},{"family":"MacLennan","given":"Graeme"},{"family":"Pacitti","given":"Diane"},{"family":"Watson","given":"Emma J."},{"family":"Noble","given":"David W."}],"issued":{"date-parts":[["2007",5]]},"PMID":"17337163"}}],"schema":"https://github.com/citation-style-language/schema/raw/master/csl-citation.json"} </w:instrText>
            </w:r>
            <w:r w:rsidRPr="00474565">
              <w:rPr>
                <w:rFonts w:ascii="Times New Roman" w:hAnsi="Times New Roman" w:cs="Times New Roman"/>
                <w:color w:val="000000"/>
                <w:sz w:val="24"/>
                <w:szCs w:val="24"/>
              </w:rPr>
              <w:fldChar w:fldCharType="separate"/>
            </w:r>
            <w:r w:rsidRPr="00474565">
              <w:rPr>
                <w:rFonts w:ascii="Times New Roman" w:hAnsi="Times New Roman" w:cs="Times New Roman"/>
                <w:sz w:val="24"/>
                <w:szCs w:val="24"/>
                <w:vertAlign w:val="superscript"/>
              </w:rPr>
              <w:t>4</w:t>
            </w:r>
            <w:r w:rsidRPr="00474565">
              <w:rPr>
                <w:rFonts w:ascii="Times New Roman" w:hAnsi="Times New Roman" w:cs="Times New Roman"/>
                <w:color w:val="000000"/>
                <w:sz w:val="24"/>
                <w:szCs w:val="24"/>
              </w:rPr>
              <w:fldChar w:fldCharType="end"/>
            </w:r>
          </w:p>
        </w:tc>
        <w:tc>
          <w:tcPr>
            <w:tcW w:w="869"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2007</w:t>
            </w:r>
          </w:p>
        </w:tc>
        <w:tc>
          <w:tcPr>
            <w:tcW w:w="862"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RC</w:t>
            </w:r>
          </w:p>
        </w:tc>
        <w:tc>
          <w:tcPr>
            <w:tcW w:w="1295"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1</w:t>
            </w:r>
          </w:p>
        </w:tc>
        <w:tc>
          <w:tcPr>
            <w:tcW w:w="1504"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1</w:t>
            </w:r>
          </w:p>
        </w:tc>
        <w:tc>
          <w:tcPr>
            <w:tcW w:w="1196"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1</w:t>
            </w:r>
          </w:p>
        </w:tc>
        <w:tc>
          <w:tcPr>
            <w:tcW w:w="1215"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0</w:t>
            </w:r>
          </w:p>
        </w:tc>
        <w:tc>
          <w:tcPr>
            <w:tcW w:w="758"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1</w:t>
            </w:r>
          </w:p>
        </w:tc>
        <w:tc>
          <w:tcPr>
            <w:tcW w:w="888"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1</w:t>
            </w:r>
          </w:p>
        </w:tc>
        <w:tc>
          <w:tcPr>
            <w:tcW w:w="1010"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1</w:t>
            </w:r>
          </w:p>
        </w:tc>
        <w:tc>
          <w:tcPr>
            <w:tcW w:w="795"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1</w:t>
            </w:r>
          </w:p>
        </w:tc>
        <w:tc>
          <w:tcPr>
            <w:tcW w:w="776"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1</w:t>
            </w:r>
          </w:p>
        </w:tc>
        <w:tc>
          <w:tcPr>
            <w:tcW w:w="823"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8</w:t>
            </w:r>
          </w:p>
        </w:tc>
      </w:tr>
      <w:tr w:rsidR="0091628B" w:rsidRPr="00474565" w:rsidTr="00FB6DD2">
        <w:trPr>
          <w:trHeight w:val="966"/>
        </w:trPr>
        <w:tc>
          <w:tcPr>
            <w:tcW w:w="1437" w:type="dxa"/>
            <w:vAlign w:val="bottom"/>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Martínez-Reséndez</w:t>
            </w:r>
            <w:r w:rsidRPr="00474565">
              <w:rPr>
                <w:rFonts w:ascii="Times New Roman" w:hAnsi="Times New Roman" w:cs="Times New Roman"/>
                <w:color w:val="000000"/>
                <w:sz w:val="24"/>
                <w:szCs w:val="24"/>
              </w:rPr>
              <w:fldChar w:fldCharType="begin"/>
            </w:r>
            <w:r w:rsidRPr="00474565">
              <w:rPr>
                <w:rFonts w:ascii="Times New Roman" w:hAnsi="Times New Roman" w:cs="Times New Roman"/>
                <w:color w:val="000000"/>
                <w:sz w:val="24"/>
                <w:szCs w:val="24"/>
              </w:rPr>
              <w:instrText xml:space="preserve"> ADDIN ZOTERO_ITEM CSL_CITATION {"citationID":"n1u6eatcc","properties":{"formattedCitation":"{\\rtf \\super 30\\nosupersub{}}","plainCitation":"30"},"citationItems":[{"id":362,"uris":["http://zotero.org/users/3287917/items/M939PWKA"],"uri":["http://zotero.org/users/3287917/items/M939PWKA"],"itemData":{"id":362,"type":"article-journal","title":"Impact of daily chlorhexidine baths and hand hygiene compliance on nosocomial infection rates in critically ill patients","container-title":"American Journal of Infection Control","page":"713-717","volume":"42","issue":"7","source":"PubMed","abstract":"BACKGROUND: Up to 25% of all nosocomial infections (NIs) develop in critically ill patients. Our objective was to evaluate chlorhexidine (CHX) bathing and hand hygiene (HH) compliance in the reduction of NIs in the intensive care unit.\nMETHODS: The study comprised three 6-month periods: preintervention (PIP; soap/water bathing), intervention (IP; bathing with CHX-impregnated wipes), and postintervention (PoIP; soap/water bathing). An HH program was implemented during the IP and PoIP. Primary outcomes were global and specific NI rates.\nRESULTS: A total of 1007 patients were included. Infection rates per 100 discharges were higher in the PIP compared with the IP and also higher in the PoIP compared with the IP (P = .0004 and .0109, respectively). Global infection rates per 1000 hospital-days were higher in the PIP than in the IP (P = .0268). The rates of ventilator-associated pneumonia (VAP) and catheter-associated urinary tract infection (CAUTI) were higher in the PIP than in the IP (P = .036 and .0001, respectively). Isolation of Acinetobacter baumannii from VAP specimens (P = .0204) and isolation of Candida spp from CAUTI specimens (P = .0005) decreased as well.\nCONCLUSION: The combined intervention reduced global and specific infection rates, including rates of VAP associated with A baumannii and CAUTI associated with Candida spp.","DOI":"10.1016/j.ajic.2014.03.354","ISSN":"1527-3296","note":"PMID: 24836435","journalAbbreviation":"Am J Infect Control","language":"eng","author":[{"family":"Martínez-Reséndez","given":"Michel Fernando"},{"family":"Garza-González","given":"Elvira"},{"family":"Mendoza-Olazaran","given":"Soraya"},{"family":"Herrera-Guerra","given":"Alexis"},{"family":"Rodríguez-López","given":"Juan Manuel"},{"family":"Pérez-Rodriguez","given":"Edelmiro"},{"family":"Mercado-Longoria","given":"Roberto"},{"family":"Camacho-Ortiz","given":"Adrián"}],"issued":{"date-parts":[["2014",7]]},"PMID":"24836435"}}],"schema":"https://github.com/citation-style-language/schema/raw/master/csl-citation.json"} </w:instrText>
            </w:r>
            <w:r w:rsidRPr="00474565">
              <w:rPr>
                <w:rFonts w:ascii="Times New Roman" w:hAnsi="Times New Roman" w:cs="Times New Roman"/>
                <w:color w:val="000000"/>
                <w:sz w:val="24"/>
                <w:szCs w:val="24"/>
              </w:rPr>
              <w:fldChar w:fldCharType="separate"/>
            </w:r>
            <w:r w:rsidRPr="00474565">
              <w:rPr>
                <w:rFonts w:ascii="Times New Roman" w:hAnsi="Times New Roman" w:cs="Times New Roman"/>
                <w:sz w:val="24"/>
                <w:szCs w:val="24"/>
                <w:vertAlign w:val="superscript"/>
              </w:rPr>
              <w:t>30</w:t>
            </w:r>
            <w:r w:rsidRPr="00474565">
              <w:rPr>
                <w:rFonts w:ascii="Times New Roman" w:hAnsi="Times New Roman" w:cs="Times New Roman"/>
                <w:color w:val="000000"/>
                <w:sz w:val="24"/>
                <w:szCs w:val="24"/>
              </w:rPr>
              <w:fldChar w:fldCharType="end"/>
            </w:r>
          </w:p>
        </w:tc>
        <w:tc>
          <w:tcPr>
            <w:tcW w:w="869"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2014</w:t>
            </w:r>
          </w:p>
        </w:tc>
        <w:tc>
          <w:tcPr>
            <w:tcW w:w="862"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PC</w:t>
            </w:r>
          </w:p>
        </w:tc>
        <w:tc>
          <w:tcPr>
            <w:tcW w:w="1295"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1</w:t>
            </w:r>
          </w:p>
        </w:tc>
        <w:tc>
          <w:tcPr>
            <w:tcW w:w="1504"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1</w:t>
            </w:r>
          </w:p>
        </w:tc>
        <w:tc>
          <w:tcPr>
            <w:tcW w:w="1196"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1</w:t>
            </w:r>
          </w:p>
        </w:tc>
        <w:tc>
          <w:tcPr>
            <w:tcW w:w="1215"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0</w:t>
            </w:r>
          </w:p>
        </w:tc>
        <w:tc>
          <w:tcPr>
            <w:tcW w:w="758"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1</w:t>
            </w:r>
          </w:p>
        </w:tc>
        <w:tc>
          <w:tcPr>
            <w:tcW w:w="888"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1</w:t>
            </w:r>
          </w:p>
        </w:tc>
        <w:tc>
          <w:tcPr>
            <w:tcW w:w="1010"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1</w:t>
            </w:r>
          </w:p>
        </w:tc>
        <w:tc>
          <w:tcPr>
            <w:tcW w:w="795"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1</w:t>
            </w:r>
          </w:p>
        </w:tc>
        <w:tc>
          <w:tcPr>
            <w:tcW w:w="776"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1</w:t>
            </w:r>
          </w:p>
        </w:tc>
        <w:tc>
          <w:tcPr>
            <w:tcW w:w="823"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8</w:t>
            </w:r>
          </w:p>
        </w:tc>
      </w:tr>
      <w:tr w:rsidR="0091628B" w:rsidRPr="00474565" w:rsidTr="00FB6DD2">
        <w:trPr>
          <w:trHeight w:val="397"/>
        </w:trPr>
        <w:tc>
          <w:tcPr>
            <w:tcW w:w="1437"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Montecalvo</w:t>
            </w:r>
            <w:r w:rsidRPr="00474565">
              <w:rPr>
                <w:rFonts w:ascii="Times New Roman" w:hAnsi="Times New Roman" w:cs="Times New Roman"/>
                <w:color w:val="000000"/>
                <w:sz w:val="24"/>
                <w:szCs w:val="24"/>
              </w:rPr>
              <w:fldChar w:fldCharType="begin"/>
            </w:r>
            <w:r w:rsidRPr="00474565">
              <w:rPr>
                <w:rFonts w:ascii="Times New Roman" w:hAnsi="Times New Roman" w:cs="Times New Roman"/>
                <w:color w:val="000000"/>
                <w:sz w:val="24"/>
                <w:szCs w:val="24"/>
              </w:rPr>
              <w:instrText xml:space="preserve"> ADDIN ZOTERO_ITEM CSL_CITATION {"citationID":"2am4k22mb3","properties":{"formattedCitation":"{\\rtf \\super 31\\nosupersub{}}","plainCitation":"31"},"citationItems":[{"id":364,"uris":["http://zotero.org/users/3287917/items/WZHDTETG"],"uri":["http://zotero.org/users/3287917/items/WZHDTETG"],"itemData":{"id":364,"type":"article-journal","title":"Chlorhexidine bathing to reduce central venous catheter-associated bloodstream infection: impact and sustainability","container-title":"The American Journal of Medicine","page":"505-511","volume":"125","issue":"5","source":"PubMed","abstract":"BACKGROUND: Chlorhexidine bathing has been associated with reductions in healthcare-associated bloodstream infection. To determine the impact and sustainability of the effect of chlorhexidine bathing on central venous catheter-associated bloodstream infection, we performed a prospective, 3-phase, multiple-hospital study.\nMETHODS: In the medical intensive care unit and the respiratory care unit of a tertiary care hospital and the medical-surgical intensive care units of 4 community hospitals, rates of central venous catheter-associated bloodstream infection were collected prospectively for each period. Pre-intervention (phase 1) patients were bathed with soap and water or nonmedicated bathing cloths; active intervention (phase 2) patients were bathed with 2% chlorhexidine gluconate cloths with the number of baths administered and skin tolerability assessed; post-intervention (phase 3) chlorhexidine bathing was continued but without oversight by research personnel. Central venous catheter-associated bloodstream infection rates were compared over study periods using Poisson regression.\nRESULTS: Compared with pre-intervention, during active intervention there were significantly fewer central venous catheter-associated bloodstream infections (6.4/1000 central venous catheter days vs 2.6/1000 central venous catheter days, relative risk, 0.42; 95% confidence interval, 0.25-0.68; P&lt;.001), and this reduction was sustained during post-intervention (2.9/1000 central venous catheter days; relative risk, 0.46; 95% confidence interval, 0.30-0.70; P&lt;.001). During the active intervention period, compliance with chlorhexidine bathing was 82%. Few adverse events were observed.\nCONCLUSION: In this multiple-hospital study, chlorhexidine bathing was associated with significant reductions in central venous catheter-associated bloodstream infection, and these reductions were sustained post-intervention when chlorhexidine bathing was unmonitored. Chlorhexidine bathing was well tolerated and is a useful adjunct to reduce central venous catheter-associated bloodstream infection.","DOI":"10.1016/j.amjmed.2011.10.032","ISSN":"1555-7162","note":"PMID: 22482848","shortTitle":"Chlorhexidine bathing to reduce central venous catheter-associated bloodstream infection","journalAbbreviation":"Am. J. Med.","language":"eng","author":[{"family":"Montecalvo","given":"Marisa A."},{"family":"McKenna","given":"Donna"},{"family":"Yarrish","given":"Robert"},{"family":"Mack","given":"Lynda"},{"family":"Maguire","given":"George"},{"family":"Haas","given":"Janet"},{"family":"DeLorenzo","given":"Lawrence"},{"family":"Dellarocco","given":"Norine"},{"family":"Savatteri","given":"Barbara"},{"family":"Rosenthal","given":"Addie"},{"family":"Watson","given":"Anita"},{"family":"Spicehandler","given":"Debra"},{"family":"Shi","given":"Qiuhu"},{"family":"Visintainer","given":"Paul"},{"family":"Wormser","given":"Gary P."}],"issued":{"date-parts":[["2012",5]]},"PMID":"22482848"}}],"schema":"https://github.com/citation-style-language/schema/raw/master/csl-citation.json"} </w:instrText>
            </w:r>
            <w:r w:rsidRPr="00474565">
              <w:rPr>
                <w:rFonts w:ascii="Times New Roman" w:hAnsi="Times New Roman" w:cs="Times New Roman"/>
                <w:color w:val="000000"/>
                <w:sz w:val="24"/>
                <w:szCs w:val="24"/>
              </w:rPr>
              <w:fldChar w:fldCharType="separate"/>
            </w:r>
            <w:r w:rsidRPr="00474565">
              <w:rPr>
                <w:rFonts w:ascii="Times New Roman" w:hAnsi="Times New Roman" w:cs="Times New Roman"/>
                <w:sz w:val="24"/>
                <w:szCs w:val="24"/>
                <w:vertAlign w:val="superscript"/>
              </w:rPr>
              <w:t>31</w:t>
            </w:r>
            <w:r w:rsidRPr="00474565">
              <w:rPr>
                <w:rFonts w:ascii="Times New Roman" w:hAnsi="Times New Roman" w:cs="Times New Roman"/>
                <w:color w:val="000000"/>
                <w:sz w:val="24"/>
                <w:szCs w:val="24"/>
              </w:rPr>
              <w:fldChar w:fldCharType="end"/>
            </w:r>
          </w:p>
        </w:tc>
        <w:tc>
          <w:tcPr>
            <w:tcW w:w="869"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2012</w:t>
            </w:r>
          </w:p>
        </w:tc>
        <w:tc>
          <w:tcPr>
            <w:tcW w:w="862"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PC</w:t>
            </w:r>
          </w:p>
        </w:tc>
        <w:tc>
          <w:tcPr>
            <w:tcW w:w="1295"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1</w:t>
            </w:r>
          </w:p>
        </w:tc>
        <w:tc>
          <w:tcPr>
            <w:tcW w:w="1504"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1</w:t>
            </w:r>
          </w:p>
        </w:tc>
        <w:tc>
          <w:tcPr>
            <w:tcW w:w="1196"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1</w:t>
            </w:r>
          </w:p>
        </w:tc>
        <w:tc>
          <w:tcPr>
            <w:tcW w:w="1215"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0</w:t>
            </w:r>
          </w:p>
        </w:tc>
        <w:tc>
          <w:tcPr>
            <w:tcW w:w="758"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0</w:t>
            </w:r>
          </w:p>
        </w:tc>
        <w:tc>
          <w:tcPr>
            <w:tcW w:w="888"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0</w:t>
            </w:r>
          </w:p>
        </w:tc>
        <w:tc>
          <w:tcPr>
            <w:tcW w:w="1010"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1</w:t>
            </w:r>
          </w:p>
        </w:tc>
        <w:tc>
          <w:tcPr>
            <w:tcW w:w="795"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1</w:t>
            </w:r>
          </w:p>
        </w:tc>
        <w:tc>
          <w:tcPr>
            <w:tcW w:w="776"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1</w:t>
            </w:r>
          </w:p>
        </w:tc>
        <w:tc>
          <w:tcPr>
            <w:tcW w:w="823"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6</w:t>
            </w:r>
          </w:p>
        </w:tc>
      </w:tr>
      <w:tr w:rsidR="0091628B" w:rsidRPr="00474565" w:rsidTr="00FB6DD2">
        <w:trPr>
          <w:trHeight w:val="454"/>
        </w:trPr>
        <w:tc>
          <w:tcPr>
            <w:tcW w:w="1437"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lastRenderedPageBreak/>
              <w:t>Hong</w:t>
            </w:r>
            <w:r w:rsidRPr="00474565">
              <w:rPr>
                <w:rFonts w:ascii="Times New Roman" w:hAnsi="Times New Roman" w:cs="Times New Roman"/>
                <w:color w:val="000000"/>
                <w:sz w:val="24"/>
                <w:szCs w:val="24"/>
              </w:rPr>
              <w:fldChar w:fldCharType="begin"/>
            </w:r>
            <w:r w:rsidRPr="00474565">
              <w:rPr>
                <w:rFonts w:ascii="Times New Roman" w:hAnsi="Times New Roman" w:cs="Times New Roman"/>
                <w:color w:val="000000"/>
                <w:sz w:val="24"/>
                <w:szCs w:val="24"/>
              </w:rPr>
              <w:instrText xml:space="preserve"> ADDIN ZOTERO_ITEM CSL_CITATION {"citationID":"2nqoa1oj21","properties":{"formattedCitation":"{\\rtf \\super 32\\nosupersub{}}","plainCitation":"32"},"citationItems":[{"id":331,"uris":["http://zotero.org/users/3287917/items/J2D9AXAK"],"uri":["http://zotero.org/users/3287917/items/J2D9AXAK"],"itemData":{"id":331,"type":"article-journal","title":"Management of carbapenem-resistant Acinetobacter baumannii epidemic in an intensive care unit using multifaceted intervention strategy","container-title":"The Korean Journal of Internal Medicine","source":"PubMed","abstract":"Background/Aims: We evaluated the effects of a multifaceted intervention for controlling a carbapenem-resistant Acinetobacter baumannii (CRAB) epidemic in an intensive care unit (ICU) with no restrictions on carbapenem use.\nMethods: This study was conducted in a medical ICU between April 2012 and June 2016. The baseline infection control programs included surveillance cultures, contact precautions, and environmental cleaning. However, increases in the detection of CRAB isolates beginning in May 2013 led to the implementation of a new protocol, consisting of universal glove and gown use with daily chlorhexidine bathing for all patients in combination with baseline programs. The efficacy of the intervention was subjected to interrupted time series (ITS) analysis.\nResults: The multifaceted intervention led to a decrease in the incidence of CRAB from 17.65 to 0.89 cases per 1,000 patient-days, during the study period (p &lt; 0.001). ITS analysis revealed a significant change in the trend of CRAB incidence (-0.413, p &lt; 0.001). Over this same period, mean monthly use of carbapenems increased from 143.54 ± 95.73 to 204.95 ± 78.43 doses per 1,000 patient-days (p = 0.018).\nConclusions: Our multifaceted intervention reduced the incidence of CRAB acquisition in an ICU where carbapenem use was not restricted.","DOI":"10.3904/kjim.2016.323","ISSN":"2005-6648","note":"PMID: 29172401","journalAbbreviation":"Korean J. Intern. Med.","language":"eng","author":[{"family":"Hong","given":"Jeongmin"},{"family":"Jang","given":"Ok Jeom"},{"family":"Bak","given":"Mi Hui"},{"family":"Baek","given":"Eun Hwa"},{"family":"Park","given":"Ki-Ho"},{"family":"Hong","given":"Sun In"},{"family":"Cho","given":"Oh-Hyun"},{"family":"Bae","given":"In-Gyu"}],"issued":{"date-parts":[["2017",11,27]]},"PMID":"29172401"}}],"schema":"https://github.com/citation-style-language/schema/raw/master/csl-citation.json"} </w:instrText>
            </w:r>
            <w:r w:rsidRPr="00474565">
              <w:rPr>
                <w:rFonts w:ascii="Times New Roman" w:hAnsi="Times New Roman" w:cs="Times New Roman"/>
                <w:color w:val="000000"/>
                <w:sz w:val="24"/>
                <w:szCs w:val="24"/>
              </w:rPr>
              <w:fldChar w:fldCharType="separate"/>
            </w:r>
            <w:r w:rsidRPr="00474565">
              <w:rPr>
                <w:rFonts w:ascii="Times New Roman" w:hAnsi="Times New Roman" w:cs="Times New Roman"/>
                <w:sz w:val="24"/>
                <w:szCs w:val="24"/>
                <w:vertAlign w:val="superscript"/>
              </w:rPr>
              <w:t>32</w:t>
            </w:r>
            <w:r w:rsidRPr="00474565">
              <w:rPr>
                <w:rFonts w:ascii="Times New Roman" w:hAnsi="Times New Roman" w:cs="Times New Roman"/>
                <w:color w:val="000000"/>
                <w:sz w:val="24"/>
                <w:szCs w:val="24"/>
              </w:rPr>
              <w:fldChar w:fldCharType="end"/>
            </w:r>
          </w:p>
        </w:tc>
        <w:tc>
          <w:tcPr>
            <w:tcW w:w="869"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2017</w:t>
            </w:r>
          </w:p>
        </w:tc>
        <w:tc>
          <w:tcPr>
            <w:tcW w:w="862"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RC</w:t>
            </w:r>
          </w:p>
        </w:tc>
        <w:tc>
          <w:tcPr>
            <w:tcW w:w="1295"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1</w:t>
            </w:r>
          </w:p>
        </w:tc>
        <w:tc>
          <w:tcPr>
            <w:tcW w:w="1504"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1</w:t>
            </w:r>
          </w:p>
        </w:tc>
        <w:tc>
          <w:tcPr>
            <w:tcW w:w="1196"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1</w:t>
            </w:r>
          </w:p>
        </w:tc>
        <w:tc>
          <w:tcPr>
            <w:tcW w:w="1215"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1</w:t>
            </w:r>
          </w:p>
        </w:tc>
        <w:tc>
          <w:tcPr>
            <w:tcW w:w="758"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1</w:t>
            </w:r>
          </w:p>
        </w:tc>
        <w:tc>
          <w:tcPr>
            <w:tcW w:w="888"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1</w:t>
            </w:r>
          </w:p>
        </w:tc>
        <w:tc>
          <w:tcPr>
            <w:tcW w:w="1010"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1</w:t>
            </w:r>
          </w:p>
        </w:tc>
        <w:tc>
          <w:tcPr>
            <w:tcW w:w="795"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1</w:t>
            </w:r>
          </w:p>
        </w:tc>
        <w:tc>
          <w:tcPr>
            <w:tcW w:w="776"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1</w:t>
            </w:r>
          </w:p>
        </w:tc>
        <w:tc>
          <w:tcPr>
            <w:tcW w:w="823"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9</w:t>
            </w:r>
          </w:p>
        </w:tc>
      </w:tr>
      <w:tr w:rsidR="0091628B" w:rsidRPr="00474565" w:rsidTr="00FB6DD2">
        <w:trPr>
          <w:trHeight w:val="454"/>
        </w:trPr>
        <w:tc>
          <w:tcPr>
            <w:tcW w:w="1437"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Urbancic</w:t>
            </w:r>
            <w:r w:rsidRPr="00474565">
              <w:rPr>
                <w:rFonts w:ascii="Times New Roman" w:hAnsi="Times New Roman" w:cs="Times New Roman"/>
                <w:color w:val="000000"/>
                <w:sz w:val="24"/>
                <w:szCs w:val="24"/>
              </w:rPr>
              <w:fldChar w:fldCharType="begin"/>
            </w:r>
            <w:r w:rsidRPr="00474565">
              <w:rPr>
                <w:rFonts w:ascii="Times New Roman" w:hAnsi="Times New Roman" w:cs="Times New Roman"/>
                <w:color w:val="000000"/>
                <w:sz w:val="24"/>
                <w:szCs w:val="24"/>
              </w:rPr>
              <w:instrText xml:space="preserve"> ADDIN ZOTERO_ITEM CSL_CITATION {"citationID":"j24iku3r0","properties":{"formattedCitation":"{\\rtf \\super 33\\nosupersub{}}","plainCitation":"33"},"citationItems":[{"id":333,"uris":["http://zotero.org/users/3287917/items/VKFWEKVR"],"uri":["http://zotero.org/users/3287917/items/VKFWEKVR"],"itemData":{"id":333,"type":"article-journal","title":"Impact of unit-wide chlorhexidine bathing in intensive care on bloodstream infection and drug-resistant organism acquisition","container-title":"Critical Care and Resuscitation: Journal of the Australasian Academy of Critical Care Medicine","page":"109-116","volume":"20","issue":"2","source":"PubMed","abstract":"BACKGROUND: Chlorhexidine gluconate (CHG) bathing has been reported to decrease bloodstream infections and colonisation of multidrug-resistant organisms (MROs) in intensive care units (ICUs). However, its effectiveness in an Australian setting has not been assessed.\nOBJECTIVE: To test whether the introduction of ICU-wide CHG bathing in place of triclosan would affect rates of the primary outcome of central line-associated bloodstream infections (CLABSI), or the secondary outcomes of ICU-acquired positive blood cultures or other clinical specimens, and MRO colonisation including methicillin-resistant Staphylococcus aureus (MRSA) and vancomycin-resistant enterococci (VRE).\nMETHODS: We conducted a single-centre, sequential, before-and-after observational study. Patient microbiological and clinical data were compared in the 12 months before and after the introduction of CHG bathing in the ICU.\nRESULTS: A total of 4262 ICU admissions were studied, 2117 before and 2145 during the CHG-bathing period. There were no significant changes in the rates of CLABSI (from 1.69/1000 central venous catheter-days [95% CI, 0.68-3.48] to 1.33 [95% CI, 0.49-2.90]; P = 0.68), or ICU-acquired positive blood cultures (from 5.14/1000 patientdays [95% CI, 3.45-7.39] to 4.45 [95% CI, 3.00-6.36]; P = 0.58). However, we observed a lower incidence of MRSA acquisition during the CHG-bathing period (mean difference, -2.13 [95% CI, -3.65 to -0.60] per 1000 patient-days; P = 0.007). There was no difference in the rate of isolates involving other pathogens including VRE.\nCONCLUSIONS: In a tertiary Australian ICU, routine CHG bathing compared with triclosan did not affect the rates of ICU-acquired CLABSI or positive blood cultures. However, it significantly decreased the incidence of MRSA acquisition.","ISSN":"1441-2772","note":"PMID: 29852849","journalAbbreviation":"Crit Care Resusc","language":"eng","author":[{"family":"Urbancic","given":"Karen F."},{"family":"Mårtensson","given":"Johan"},{"family":"Glassford","given":"Neil"},{"family":"Eyeington","given":"Christopher"},{"family":"Robbins","given":"Raymond"},{"family":"Ward","given":"Peter B."},{"family":"Williams","given":"Darren"},{"family":"Johnson","given":"Paul Dr"},{"family":"Bellomo","given":"Rinaldo"}],"issued":{"date-parts":[["2018",6]]},"PMID":"29852849"}}],"schema":"https://github.com/citation-style-language/schema/raw/master/csl-citation.json"} </w:instrText>
            </w:r>
            <w:r w:rsidRPr="00474565">
              <w:rPr>
                <w:rFonts w:ascii="Times New Roman" w:hAnsi="Times New Roman" w:cs="Times New Roman"/>
                <w:color w:val="000000"/>
                <w:sz w:val="24"/>
                <w:szCs w:val="24"/>
              </w:rPr>
              <w:fldChar w:fldCharType="separate"/>
            </w:r>
            <w:r w:rsidRPr="00474565">
              <w:rPr>
                <w:rFonts w:ascii="Times New Roman" w:hAnsi="Times New Roman" w:cs="Times New Roman"/>
                <w:sz w:val="24"/>
                <w:szCs w:val="24"/>
                <w:vertAlign w:val="superscript"/>
              </w:rPr>
              <w:t>33</w:t>
            </w:r>
            <w:r w:rsidRPr="00474565">
              <w:rPr>
                <w:rFonts w:ascii="Times New Roman" w:hAnsi="Times New Roman" w:cs="Times New Roman"/>
                <w:color w:val="000000"/>
                <w:sz w:val="24"/>
                <w:szCs w:val="24"/>
              </w:rPr>
              <w:fldChar w:fldCharType="end"/>
            </w:r>
          </w:p>
        </w:tc>
        <w:tc>
          <w:tcPr>
            <w:tcW w:w="869"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2018</w:t>
            </w:r>
          </w:p>
        </w:tc>
        <w:tc>
          <w:tcPr>
            <w:tcW w:w="862"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PC</w:t>
            </w:r>
          </w:p>
        </w:tc>
        <w:tc>
          <w:tcPr>
            <w:tcW w:w="1295"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1</w:t>
            </w:r>
          </w:p>
        </w:tc>
        <w:tc>
          <w:tcPr>
            <w:tcW w:w="1504"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1</w:t>
            </w:r>
          </w:p>
        </w:tc>
        <w:tc>
          <w:tcPr>
            <w:tcW w:w="1196"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1</w:t>
            </w:r>
          </w:p>
        </w:tc>
        <w:tc>
          <w:tcPr>
            <w:tcW w:w="1215"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0</w:t>
            </w:r>
          </w:p>
        </w:tc>
        <w:tc>
          <w:tcPr>
            <w:tcW w:w="758"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1</w:t>
            </w:r>
          </w:p>
        </w:tc>
        <w:tc>
          <w:tcPr>
            <w:tcW w:w="888"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1</w:t>
            </w:r>
          </w:p>
        </w:tc>
        <w:tc>
          <w:tcPr>
            <w:tcW w:w="1010"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1</w:t>
            </w:r>
          </w:p>
        </w:tc>
        <w:tc>
          <w:tcPr>
            <w:tcW w:w="795"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1</w:t>
            </w:r>
          </w:p>
        </w:tc>
        <w:tc>
          <w:tcPr>
            <w:tcW w:w="776"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1</w:t>
            </w:r>
          </w:p>
        </w:tc>
        <w:tc>
          <w:tcPr>
            <w:tcW w:w="823" w:type="dxa"/>
            <w:vAlign w:val="center"/>
          </w:tcPr>
          <w:p w:rsidR="0091628B" w:rsidRPr="00474565" w:rsidRDefault="0091628B" w:rsidP="00FB6DD2">
            <w:pPr>
              <w:rPr>
                <w:rFonts w:ascii="Times New Roman" w:hAnsi="Times New Roman" w:cs="Times New Roman"/>
                <w:color w:val="000000"/>
                <w:sz w:val="24"/>
                <w:szCs w:val="24"/>
                <w:shd w:val="clear" w:color="auto" w:fill="FFFFFF"/>
              </w:rPr>
            </w:pPr>
            <w:r w:rsidRPr="00474565">
              <w:rPr>
                <w:rFonts w:ascii="Times New Roman" w:hAnsi="Times New Roman" w:cs="Times New Roman"/>
                <w:color w:val="000000"/>
                <w:sz w:val="24"/>
                <w:szCs w:val="24"/>
              </w:rPr>
              <w:t>8</w:t>
            </w:r>
          </w:p>
        </w:tc>
      </w:tr>
      <w:tr w:rsidR="0091628B" w:rsidRPr="00474565" w:rsidTr="00FB6DD2">
        <w:trPr>
          <w:trHeight w:val="454"/>
        </w:trPr>
        <w:tc>
          <w:tcPr>
            <w:tcW w:w="13428" w:type="dxa"/>
            <w:gridSpan w:val="13"/>
            <w:vAlign w:val="center"/>
          </w:tcPr>
          <w:p w:rsidR="0091628B" w:rsidRPr="00474565" w:rsidRDefault="0091628B" w:rsidP="00FB6DD2">
            <w:pPr>
              <w:rPr>
                <w:rFonts w:ascii="Times New Roman" w:hAnsi="Times New Roman" w:cs="Times New Roman"/>
                <w:color w:val="000000"/>
                <w:sz w:val="24"/>
                <w:szCs w:val="24"/>
              </w:rPr>
            </w:pPr>
            <w:r w:rsidRPr="00474565">
              <w:rPr>
                <w:rFonts w:ascii="Times New Roman" w:hAnsi="Times New Roman" w:cs="Times New Roman"/>
                <w:color w:val="000000"/>
                <w:sz w:val="24"/>
                <w:szCs w:val="24"/>
              </w:rPr>
              <w:t>PC = Prospective cohort; RC = Retrospective Cohort</w:t>
            </w:r>
          </w:p>
        </w:tc>
      </w:tr>
    </w:tbl>
    <w:p w:rsidR="0091628B" w:rsidRDefault="0091628B" w:rsidP="0091628B">
      <w:pPr>
        <w:suppressAutoHyphens/>
        <w:autoSpaceDN w:val="0"/>
        <w:spacing w:after="0" w:line="480" w:lineRule="auto"/>
        <w:textAlignment w:val="baseline"/>
        <w:rPr>
          <w:rFonts w:ascii="Times New Roman" w:eastAsia="Calibri" w:hAnsi="Times New Roman" w:cs="Times New Roman"/>
          <w:b/>
          <w:kern w:val="3"/>
          <w:sz w:val="24"/>
          <w:lang w:eastAsia="zh-CN" w:bidi="hi-IN"/>
        </w:rPr>
      </w:pPr>
    </w:p>
    <w:p w:rsidR="0091628B" w:rsidRDefault="0091628B" w:rsidP="0091628B">
      <w:pPr>
        <w:suppressAutoHyphens/>
        <w:autoSpaceDN w:val="0"/>
        <w:spacing w:after="0" w:line="480" w:lineRule="auto"/>
        <w:textAlignment w:val="baseline"/>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Supplemental Table 2</w:t>
      </w:r>
      <w:r w:rsidRPr="00415A3C">
        <w:rPr>
          <w:rFonts w:ascii="Times New Roman" w:hAnsi="Times New Roman" w:cs="Times New Roman"/>
          <w:color w:val="000000"/>
          <w:sz w:val="24"/>
          <w:szCs w:val="24"/>
          <w:shd w:val="clear" w:color="auto" w:fill="FFFFFF"/>
        </w:rPr>
        <w:t xml:space="preserve">. Evaluation of </w:t>
      </w:r>
      <w:r>
        <w:rPr>
          <w:rFonts w:ascii="Times New Roman" w:hAnsi="Times New Roman" w:cs="Times New Roman"/>
          <w:color w:val="000000"/>
          <w:sz w:val="24"/>
          <w:szCs w:val="24"/>
          <w:shd w:val="clear" w:color="auto" w:fill="FFFFFF"/>
        </w:rPr>
        <w:t>risk of bias</w:t>
      </w:r>
      <w:r w:rsidRPr="00415A3C">
        <w:rPr>
          <w:rFonts w:ascii="Times New Roman" w:hAnsi="Times New Roman" w:cs="Times New Roman"/>
          <w:color w:val="000000"/>
          <w:sz w:val="24"/>
          <w:szCs w:val="24"/>
          <w:shd w:val="clear" w:color="auto" w:fill="FFFFFF"/>
        </w:rPr>
        <w:t xml:space="preserve"> of included </w:t>
      </w:r>
      <w:r>
        <w:rPr>
          <w:rFonts w:ascii="Times New Roman" w:hAnsi="Times New Roman" w:cs="Times New Roman"/>
          <w:color w:val="000000"/>
          <w:sz w:val="24"/>
          <w:szCs w:val="24"/>
          <w:shd w:val="clear" w:color="auto" w:fill="FFFFFF"/>
        </w:rPr>
        <w:t>RCTs</w:t>
      </w:r>
      <w:r w:rsidRPr="00415A3C">
        <w:rPr>
          <w:rFonts w:ascii="Times New Roman" w:hAnsi="Times New Roman" w:cs="Times New Roman"/>
          <w:color w:val="000000"/>
          <w:sz w:val="24"/>
          <w:szCs w:val="24"/>
          <w:shd w:val="clear" w:color="auto" w:fill="FFFFFF"/>
        </w:rPr>
        <w:t xml:space="preserve"> using the</w:t>
      </w:r>
      <w:r>
        <w:rPr>
          <w:rFonts w:ascii="Times New Roman" w:hAnsi="Times New Roman" w:cs="Times New Roman"/>
          <w:color w:val="000000"/>
          <w:sz w:val="24"/>
          <w:szCs w:val="24"/>
          <w:shd w:val="clear" w:color="auto" w:fill="FFFFFF"/>
        </w:rPr>
        <w:t xml:space="preserve"> Cochrane Risk of Bias tool</w:t>
      </w:r>
    </w:p>
    <w:tbl>
      <w:tblPr>
        <w:tblStyle w:val="TableGrid"/>
        <w:tblW w:w="0" w:type="auto"/>
        <w:tblLook w:val="04A0" w:firstRow="1" w:lastRow="0" w:firstColumn="1" w:lastColumn="0" w:noHBand="0" w:noVBand="1"/>
      </w:tblPr>
      <w:tblGrid>
        <w:gridCol w:w="1561"/>
        <w:gridCol w:w="1478"/>
        <w:gridCol w:w="1688"/>
        <w:gridCol w:w="1644"/>
        <w:gridCol w:w="1508"/>
        <w:gridCol w:w="1538"/>
        <w:gridCol w:w="1337"/>
        <w:gridCol w:w="972"/>
      </w:tblGrid>
      <w:tr w:rsidR="0091628B" w:rsidRPr="004E0937" w:rsidTr="00FB6DD2">
        <w:trPr>
          <w:trHeight w:val="2047"/>
        </w:trPr>
        <w:tc>
          <w:tcPr>
            <w:tcW w:w="1561" w:type="dxa"/>
          </w:tcPr>
          <w:p w:rsidR="0091628B" w:rsidRPr="00FB6DD2" w:rsidRDefault="0091628B" w:rsidP="00FB6DD2">
            <w:pPr>
              <w:suppressAutoHyphens/>
              <w:autoSpaceDN w:val="0"/>
              <w:spacing w:line="480" w:lineRule="auto"/>
              <w:textAlignment w:val="baseline"/>
              <w:rPr>
                <w:rFonts w:ascii="Times New Roman" w:eastAsia="Calibri" w:hAnsi="Times New Roman" w:cs="Times New Roman"/>
                <w:kern w:val="3"/>
                <w:sz w:val="24"/>
                <w:lang w:eastAsia="zh-CN" w:bidi="hi-IN"/>
              </w:rPr>
            </w:pPr>
            <w:r w:rsidRPr="00FB6DD2">
              <w:rPr>
                <w:rFonts w:ascii="Times New Roman" w:eastAsia="Calibri" w:hAnsi="Times New Roman" w:cs="Times New Roman"/>
                <w:kern w:val="3"/>
                <w:sz w:val="24"/>
                <w:lang w:eastAsia="zh-CN" w:bidi="hi-IN"/>
              </w:rPr>
              <w:t>First author, year published</w:t>
            </w:r>
          </w:p>
        </w:tc>
        <w:tc>
          <w:tcPr>
            <w:tcW w:w="1478" w:type="dxa"/>
          </w:tcPr>
          <w:p w:rsidR="0091628B" w:rsidRPr="00FB6DD2" w:rsidRDefault="0091628B" w:rsidP="00FB6DD2">
            <w:pPr>
              <w:suppressAutoHyphens/>
              <w:autoSpaceDN w:val="0"/>
              <w:spacing w:line="480" w:lineRule="auto"/>
              <w:textAlignment w:val="baseline"/>
              <w:rPr>
                <w:rFonts w:ascii="Times New Roman" w:eastAsia="Calibri" w:hAnsi="Times New Roman" w:cs="Times New Roman"/>
                <w:kern w:val="3"/>
                <w:sz w:val="24"/>
                <w:lang w:eastAsia="zh-CN" w:bidi="hi-IN"/>
              </w:rPr>
            </w:pPr>
            <w:r w:rsidRPr="00FB6DD2">
              <w:rPr>
                <w:rFonts w:ascii="Times New Roman" w:eastAsia="Calibri" w:hAnsi="Times New Roman" w:cs="Times New Roman"/>
                <w:kern w:val="3"/>
                <w:sz w:val="24"/>
                <w:lang w:eastAsia="zh-CN" w:bidi="hi-IN"/>
              </w:rPr>
              <w:t>Random sequence generation</w:t>
            </w:r>
          </w:p>
        </w:tc>
        <w:tc>
          <w:tcPr>
            <w:tcW w:w="1688" w:type="dxa"/>
          </w:tcPr>
          <w:p w:rsidR="0091628B" w:rsidRPr="00FB6DD2" w:rsidRDefault="0091628B" w:rsidP="00FB6DD2">
            <w:pPr>
              <w:suppressAutoHyphens/>
              <w:autoSpaceDN w:val="0"/>
              <w:spacing w:line="480" w:lineRule="auto"/>
              <w:textAlignment w:val="baseline"/>
              <w:rPr>
                <w:rFonts w:ascii="Times New Roman" w:eastAsia="Calibri" w:hAnsi="Times New Roman" w:cs="Times New Roman"/>
                <w:kern w:val="3"/>
                <w:sz w:val="24"/>
                <w:lang w:eastAsia="zh-CN" w:bidi="hi-IN"/>
              </w:rPr>
            </w:pPr>
            <w:r w:rsidRPr="00FB6DD2">
              <w:rPr>
                <w:rFonts w:ascii="Times New Roman" w:eastAsia="Calibri" w:hAnsi="Times New Roman" w:cs="Times New Roman"/>
                <w:kern w:val="3"/>
                <w:sz w:val="24"/>
                <w:lang w:eastAsia="zh-CN" w:bidi="hi-IN"/>
              </w:rPr>
              <w:t>Allocation concealment</w:t>
            </w:r>
          </w:p>
        </w:tc>
        <w:tc>
          <w:tcPr>
            <w:tcW w:w="1644" w:type="dxa"/>
          </w:tcPr>
          <w:p w:rsidR="0091628B" w:rsidRPr="00FB6DD2" w:rsidRDefault="0091628B" w:rsidP="00FB6DD2">
            <w:pPr>
              <w:suppressAutoHyphens/>
              <w:autoSpaceDN w:val="0"/>
              <w:spacing w:line="480" w:lineRule="auto"/>
              <w:textAlignment w:val="baseline"/>
              <w:rPr>
                <w:rFonts w:ascii="Times New Roman" w:eastAsia="Calibri" w:hAnsi="Times New Roman" w:cs="Times New Roman"/>
                <w:kern w:val="3"/>
                <w:sz w:val="24"/>
                <w:lang w:eastAsia="zh-CN" w:bidi="hi-IN"/>
              </w:rPr>
            </w:pPr>
            <w:r w:rsidRPr="00FB6DD2">
              <w:rPr>
                <w:rFonts w:ascii="Times New Roman" w:eastAsia="Calibri" w:hAnsi="Times New Roman" w:cs="Times New Roman"/>
                <w:kern w:val="3"/>
                <w:sz w:val="24"/>
                <w:lang w:eastAsia="zh-CN" w:bidi="hi-IN"/>
              </w:rPr>
              <w:t>Blinding of participants and personnel</w:t>
            </w:r>
          </w:p>
        </w:tc>
        <w:tc>
          <w:tcPr>
            <w:tcW w:w="1508" w:type="dxa"/>
          </w:tcPr>
          <w:p w:rsidR="0091628B" w:rsidRPr="00FB6DD2" w:rsidRDefault="0091628B" w:rsidP="00FB6DD2">
            <w:pPr>
              <w:suppressAutoHyphens/>
              <w:autoSpaceDN w:val="0"/>
              <w:spacing w:line="480" w:lineRule="auto"/>
              <w:textAlignment w:val="baseline"/>
              <w:rPr>
                <w:rFonts w:ascii="Times New Roman" w:eastAsia="Calibri" w:hAnsi="Times New Roman" w:cs="Times New Roman"/>
                <w:kern w:val="3"/>
                <w:sz w:val="24"/>
                <w:lang w:eastAsia="zh-CN" w:bidi="hi-IN"/>
              </w:rPr>
            </w:pPr>
            <w:r w:rsidRPr="00FB6DD2">
              <w:rPr>
                <w:rFonts w:ascii="Times New Roman" w:eastAsia="Calibri" w:hAnsi="Times New Roman" w:cs="Times New Roman"/>
                <w:kern w:val="3"/>
                <w:sz w:val="24"/>
                <w:lang w:eastAsia="zh-CN" w:bidi="hi-IN"/>
              </w:rPr>
              <w:t>Blinding of outcome assessment</w:t>
            </w:r>
          </w:p>
        </w:tc>
        <w:tc>
          <w:tcPr>
            <w:tcW w:w="1538" w:type="dxa"/>
          </w:tcPr>
          <w:p w:rsidR="0091628B" w:rsidRPr="00FB6DD2" w:rsidRDefault="0091628B" w:rsidP="00FB6DD2">
            <w:pPr>
              <w:suppressAutoHyphens/>
              <w:autoSpaceDN w:val="0"/>
              <w:spacing w:line="480" w:lineRule="auto"/>
              <w:textAlignment w:val="baseline"/>
              <w:rPr>
                <w:rFonts w:ascii="Times New Roman" w:eastAsia="Calibri" w:hAnsi="Times New Roman" w:cs="Times New Roman"/>
                <w:kern w:val="3"/>
                <w:sz w:val="24"/>
                <w:lang w:eastAsia="zh-CN" w:bidi="hi-IN"/>
              </w:rPr>
            </w:pPr>
            <w:r w:rsidRPr="00FB6DD2">
              <w:rPr>
                <w:rFonts w:ascii="Times New Roman" w:eastAsia="Calibri" w:hAnsi="Times New Roman" w:cs="Times New Roman"/>
                <w:kern w:val="3"/>
                <w:sz w:val="24"/>
                <w:lang w:eastAsia="zh-CN" w:bidi="hi-IN"/>
              </w:rPr>
              <w:t>Incomplete outcome data</w:t>
            </w:r>
          </w:p>
        </w:tc>
        <w:tc>
          <w:tcPr>
            <w:tcW w:w="1337" w:type="dxa"/>
          </w:tcPr>
          <w:p w:rsidR="0091628B" w:rsidRPr="00FB6DD2" w:rsidRDefault="0091628B" w:rsidP="00FB6DD2">
            <w:pPr>
              <w:suppressAutoHyphens/>
              <w:autoSpaceDN w:val="0"/>
              <w:spacing w:line="480" w:lineRule="auto"/>
              <w:textAlignment w:val="baseline"/>
              <w:rPr>
                <w:rFonts w:ascii="Times New Roman" w:eastAsia="Calibri" w:hAnsi="Times New Roman" w:cs="Times New Roman"/>
                <w:kern w:val="3"/>
                <w:sz w:val="24"/>
                <w:lang w:eastAsia="zh-CN" w:bidi="hi-IN"/>
              </w:rPr>
            </w:pPr>
            <w:r w:rsidRPr="00FB6DD2">
              <w:rPr>
                <w:rFonts w:ascii="Times New Roman" w:eastAsia="Calibri" w:hAnsi="Times New Roman" w:cs="Times New Roman"/>
                <w:kern w:val="3"/>
                <w:sz w:val="24"/>
                <w:lang w:eastAsia="zh-CN" w:bidi="hi-IN"/>
              </w:rPr>
              <w:t>Selective reporting</w:t>
            </w:r>
          </w:p>
        </w:tc>
        <w:tc>
          <w:tcPr>
            <w:tcW w:w="972" w:type="dxa"/>
          </w:tcPr>
          <w:p w:rsidR="0091628B" w:rsidRPr="00FB6DD2" w:rsidRDefault="0091628B" w:rsidP="00FB6DD2">
            <w:pPr>
              <w:suppressAutoHyphens/>
              <w:autoSpaceDN w:val="0"/>
              <w:spacing w:line="480" w:lineRule="auto"/>
              <w:textAlignment w:val="baseline"/>
              <w:rPr>
                <w:rFonts w:ascii="Times New Roman" w:eastAsia="Calibri" w:hAnsi="Times New Roman" w:cs="Times New Roman"/>
                <w:kern w:val="3"/>
                <w:sz w:val="24"/>
                <w:lang w:eastAsia="zh-CN" w:bidi="hi-IN"/>
              </w:rPr>
            </w:pPr>
            <w:r w:rsidRPr="00FB6DD2">
              <w:rPr>
                <w:rFonts w:ascii="Times New Roman" w:eastAsia="Calibri" w:hAnsi="Times New Roman" w:cs="Times New Roman"/>
                <w:kern w:val="3"/>
                <w:sz w:val="24"/>
                <w:lang w:eastAsia="zh-CN" w:bidi="hi-IN"/>
              </w:rPr>
              <w:t>Other bias</w:t>
            </w:r>
          </w:p>
        </w:tc>
      </w:tr>
      <w:tr w:rsidR="0091628B" w:rsidRPr="004E0937" w:rsidTr="00FB6DD2">
        <w:trPr>
          <w:trHeight w:val="1019"/>
        </w:trPr>
        <w:tc>
          <w:tcPr>
            <w:tcW w:w="1561" w:type="dxa"/>
          </w:tcPr>
          <w:p w:rsidR="0091628B" w:rsidRPr="00FB6DD2" w:rsidRDefault="0091628B" w:rsidP="00FB6DD2">
            <w:pPr>
              <w:suppressAutoHyphens/>
              <w:autoSpaceDN w:val="0"/>
              <w:spacing w:line="480" w:lineRule="auto"/>
              <w:textAlignment w:val="baseline"/>
              <w:rPr>
                <w:rFonts w:ascii="Times New Roman" w:eastAsia="Calibri" w:hAnsi="Times New Roman" w:cs="Times New Roman"/>
                <w:kern w:val="3"/>
                <w:sz w:val="24"/>
                <w:vertAlign w:val="superscript"/>
                <w:lang w:eastAsia="zh-CN" w:bidi="hi-IN"/>
              </w:rPr>
            </w:pPr>
            <w:proofErr w:type="spellStart"/>
            <w:r w:rsidRPr="00FB6DD2">
              <w:rPr>
                <w:rFonts w:ascii="Times New Roman" w:eastAsia="Calibri" w:hAnsi="Times New Roman" w:cs="Times New Roman"/>
                <w:kern w:val="3"/>
                <w:sz w:val="24"/>
                <w:lang w:eastAsia="zh-CN" w:bidi="hi-IN"/>
              </w:rPr>
              <w:t>Boonyasiri</w:t>
            </w:r>
            <w:proofErr w:type="spellEnd"/>
            <w:r w:rsidRPr="00FB6DD2">
              <w:rPr>
                <w:rFonts w:ascii="Times New Roman" w:eastAsia="Calibri" w:hAnsi="Times New Roman" w:cs="Times New Roman"/>
                <w:kern w:val="3"/>
                <w:sz w:val="24"/>
                <w:lang w:eastAsia="zh-CN" w:bidi="hi-IN"/>
              </w:rPr>
              <w:t>, 2015</w:t>
            </w:r>
            <w:r>
              <w:rPr>
                <w:rFonts w:ascii="Times New Roman" w:eastAsia="Calibri" w:hAnsi="Times New Roman" w:cs="Times New Roman"/>
                <w:kern w:val="3"/>
                <w:sz w:val="24"/>
                <w:vertAlign w:val="superscript"/>
                <w:lang w:eastAsia="zh-CN" w:bidi="hi-IN"/>
              </w:rPr>
              <w:t>7</w:t>
            </w:r>
          </w:p>
        </w:tc>
        <w:tc>
          <w:tcPr>
            <w:tcW w:w="1478" w:type="dxa"/>
          </w:tcPr>
          <w:p w:rsidR="0091628B" w:rsidRPr="004E0937" w:rsidRDefault="0091628B" w:rsidP="00FB6DD2">
            <w:pPr>
              <w:suppressAutoHyphens/>
              <w:autoSpaceDN w:val="0"/>
              <w:spacing w:line="480" w:lineRule="auto"/>
              <w:textAlignment w:val="baseline"/>
              <w:rPr>
                <w:rFonts w:ascii="Times New Roman" w:eastAsia="Calibri" w:hAnsi="Times New Roman" w:cs="Times New Roman"/>
                <w:b/>
                <w:kern w:val="3"/>
                <w:sz w:val="24"/>
                <w:lang w:eastAsia="zh-CN" w:bidi="hi-IN"/>
              </w:rPr>
            </w:pPr>
            <w:r w:rsidRPr="004E0937">
              <w:rPr>
                <w:rFonts w:ascii="Times New Roman" w:eastAsia="Calibri" w:hAnsi="Times New Roman" w:cs="Times New Roman"/>
                <w:b/>
                <w:kern w:val="3"/>
                <w:sz w:val="24"/>
                <w:lang w:eastAsia="zh-CN" w:bidi="hi-IN"/>
              </w:rPr>
              <w:t>+</w:t>
            </w:r>
          </w:p>
        </w:tc>
        <w:tc>
          <w:tcPr>
            <w:tcW w:w="1688" w:type="dxa"/>
          </w:tcPr>
          <w:p w:rsidR="0091628B" w:rsidRPr="004E0937" w:rsidRDefault="0091628B" w:rsidP="00FB6DD2">
            <w:pPr>
              <w:suppressAutoHyphens/>
              <w:autoSpaceDN w:val="0"/>
              <w:spacing w:line="480" w:lineRule="auto"/>
              <w:textAlignment w:val="baseline"/>
              <w:rPr>
                <w:rFonts w:ascii="Times New Roman" w:eastAsia="Calibri" w:hAnsi="Times New Roman" w:cs="Times New Roman"/>
                <w:b/>
                <w:kern w:val="3"/>
                <w:sz w:val="24"/>
                <w:lang w:eastAsia="zh-CN" w:bidi="hi-IN"/>
              </w:rPr>
            </w:pPr>
            <w:r w:rsidRPr="004E0937">
              <w:rPr>
                <w:rFonts w:ascii="Times New Roman" w:eastAsia="Calibri" w:hAnsi="Times New Roman" w:cs="Times New Roman"/>
                <w:b/>
                <w:kern w:val="3"/>
                <w:sz w:val="24"/>
                <w:lang w:eastAsia="zh-CN" w:bidi="hi-IN"/>
              </w:rPr>
              <w:t>+</w:t>
            </w:r>
          </w:p>
        </w:tc>
        <w:tc>
          <w:tcPr>
            <w:tcW w:w="1644" w:type="dxa"/>
          </w:tcPr>
          <w:p w:rsidR="0091628B" w:rsidRPr="004E0937" w:rsidRDefault="0091628B" w:rsidP="00FB6DD2">
            <w:pPr>
              <w:suppressAutoHyphens/>
              <w:autoSpaceDN w:val="0"/>
              <w:spacing w:line="480" w:lineRule="auto"/>
              <w:textAlignment w:val="baseline"/>
              <w:rPr>
                <w:rFonts w:ascii="Times New Roman" w:eastAsia="Calibri" w:hAnsi="Times New Roman" w:cs="Times New Roman"/>
                <w:b/>
                <w:kern w:val="3"/>
                <w:sz w:val="24"/>
                <w:lang w:eastAsia="zh-CN" w:bidi="hi-IN"/>
              </w:rPr>
            </w:pPr>
            <w:r>
              <w:rPr>
                <w:rFonts w:ascii="Times New Roman" w:eastAsia="Calibri" w:hAnsi="Times New Roman" w:cs="Times New Roman"/>
                <w:b/>
                <w:kern w:val="3"/>
                <w:sz w:val="24"/>
                <w:lang w:eastAsia="zh-CN" w:bidi="hi-IN"/>
              </w:rPr>
              <w:t>+</w:t>
            </w:r>
          </w:p>
        </w:tc>
        <w:tc>
          <w:tcPr>
            <w:tcW w:w="1508" w:type="dxa"/>
          </w:tcPr>
          <w:p w:rsidR="0091628B" w:rsidRPr="004E0937" w:rsidRDefault="0091628B" w:rsidP="00FB6DD2">
            <w:pPr>
              <w:suppressAutoHyphens/>
              <w:autoSpaceDN w:val="0"/>
              <w:spacing w:line="480" w:lineRule="auto"/>
              <w:textAlignment w:val="baseline"/>
              <w:rPr>
                <w:rFonts w:ascii="Times New Roman" w:eastAsia="Calibri" w:hAnsi="Times New Roman" w:cs="Times New Roman"/>
                <w:b/>
                <w:kern w:val="3"/>
                <w:sz w:val="24"/>
                <w:lang w:eastAsia="zh-CN" w:bidi="hi-IN"/>
              </w:rPr>
            </w:pPr>
            <w:r w:rsidRPr="004E0937">
              <w:rPr>
                <w:rFonts w:ascii="Times New Roman" w:eastAsia="Calibri" w:hAnsi="Times New Roman" w:cs="Times New Roman"/>
                <w:b/>
                <w:kern w:val="3"/>
                <w:sz w:val="24"/>
                <w:lang w:eastAsia="zh-CN" w:bidi="hi-IN"/>
              </w:rPr>
              <w:t>+</w:t>
            </w:r>
          </w:p>
        </w:tc>
        <w:tc>
          <w:tcPr>
            <w:tcW w:w="1538" w:type="dxa"/>
          </w:tcPr>
          <w:p w:rsidR="0091628B" w:rsidRPr="004E0937" w:rsidRDefault="0091628B" w:rsidP="00FB6DD2">
            <w:pPr>
              <w:suppressAutoHyphens/>
              <w:autoSpaceDN w:val="0"/>
              <w:spacing w:line="480" w:lineRule="auto"/>
              <w:textAlignment w:val="baseline"/>
              <w:rPr>
                <w:rFonts w:ascii="Times New Roman" w:eastAsia="Calibri" w:hAnsi="Times New Roman" w:cs="Times New Roman"/>
                <w:b/>
                <w:kern w:val="3"/>
                <w:sz w:val="24"/>
                <w:lang w:eastAsia="zh-CN" w:bidi="hi-IN"/>
              </w:rPr>
            </w:pPr>
            <w:r w:rsidRPr="004E0937">
              <w:rPr>
                <w:rFonts w:ascii="Times New Roman" w:eastAsia="Calibri" w:hAnsi="Times New Roman" w:cs="Times New Roman"/>
                <w:b/>
                <w:kern w:val="3"/>
                <w:sz w:val="24"/>
                <w:lang w:eastAsia="zh-CN" w:bidi="hi-IN"/>
              </w:rPr>
              <w:t>+</w:t>
            </w:r>
          </w:p>
        </w:tc>
        <w:tc>
          <w:tcPr>
            <w:tcW w:w="1337" w:type="dxa"/>
          </w:tcPr>
          <w:p w:rsidR="0091628B" w:rsidRPr="004E0937" w:rsidRDefault="0091628B" w:rsidP="00FB6DD2">
            <w:pPr>
              <w:suppressAutoHyphens/>
              <w:autoSpaceDN w:val="0"/>
              <w:spacing w:line="480" w:lineRule="auto"/>
              <w:textAlignment w:val="baseline"/>
              <w:rPr>
                <w:rFonts w:ascii="Times New Roman" w:eastAsia="Calibri" w:hAnsi="Times New Roman" w:cs="Times New Roman"/>
                <w:b/>
                <w:kern w:val="3"/>
                <w:sz w:val="24"/>
                <w:lang w:eastAsia="zh-CN" w:bidi="hi-IN"/>
              </w:rPr>
            </w:pPr>
            <w:r>
              <w:rPr>
                <w:rFonts w:ascii="Times New Roman" w:eastAsia="Calibri" w:hAnsi="Times New Roman" w:cs="Times New Roman"/>
                <w:b/>
                <w:kern w:val="3"/>
                <w:sz w:val="24"/>
                <w:lang w:eastAsia="zh-CN" w:bidi="hi-IN"/>
              </w:rPr>
              <w:t>+</w:t>
            </w:r>
          </w:p>
        </w:tc>
        <w:tc>
          <w:tcPr>
            <w:tcW w:w="972" w:type="dxa"/>
          </w:tcPr>
          <w:p w:rsidR="0091628B" w:rsidRPr="004E0937" w:rsidRDefault="0091628B" w:rsidP="00FB6DD2">
            <w:pPr>
              <w:suppressAutoHyphens/>
              <w:autoSpaceDN w:val="0"/>
              <w:spacing w:line="480" w:lineRule="auto"/>
              <w:textAlignment w:val="baseline"/>
              <w:rPr>
                <w:rFonts w:ascii="Times New Roman" w:eastAsia="Calibri" w:hAnsi="Times New Roman" w:cs="Times New Roman"/>
                <w:b/>
                <w:kern w:val="3"/>
                <w:sz w:val="24"/>
                <w:lang w:eastAsia="zh-CN" w:bidi="hi-IN"/>
              </w:rPr>
            </w:pPr>
            <w:r w:rsidRPr="004E0937">
              <w:rPr>
                <w:rFonts w:ascii="Times New Roman" w:eastAsia="Calibri" w:hAnsi="Times New Roman" w:cs="Times New Roman"/>
                <w:b/>
                <w:kern w:val="3"/>
                <w:sz w:val="24"/>
                <w:lang w:eastAsia="zh-CN" w:bidi="hi-IN"/>
              </w:rPr>
              <w:t>?</w:t>
            </w:r>
          </w:p>
        </w:tc>
      </w:tr>
      <w:tr w:rsidR="0091628B" w:rsidRPr="004E0937" w:rsidTr="00FB6DD2">
        <w:trPr>
          <w:trHeight w:val="1019"/>
        </w:trPr>
        <w:tc>
          <w:tcPr>
            <w:tcW w:w="1561" w:type="dxa"/>
          </w:tcPr>
          <w:p w:rsidR="0091628B" w:rsidRPr="00FB6DD2" w:rsidRDefault="0091628B" w:rsidP="00FB6DD2">
            <w:pPr>
              <w:suppressAutoHyphens/>
              <w:autoSpaceDN w:val="0"/>
              <w:spacing w:line="480" w:lineRule="auto"/>
              <w:textAlignment w:val="baseline"/>
              <w:rPr>
                <w:rFonts w:ascii="Times New Roman" w:eastAsia="Calibri" w:hAnsi="Times New Roman" w:cs="Times New Roman"/>
                <w:kern w:val="3"/>
                <w:sz w:val="24"/>
                <w:vertAlign w:val="superscript"/>
                <w:lang w:eastAsia="zh-CN" w:bidi="hi-IN"/>
              </w:rPr>
            </w:pPr>
            <w:r w:rsidRPr="00FB6DD2">
              <w:rPr>
                <w:rFonts w:ascii="Times New Roman" w:eastAsia="Calibri" w:hAnsi="Times New Roman" w:cs="Times New Roman"/>
                <w:kern w:val="3"/>
                <w:sz w:val="24"/>
                <w:lang w:eastAsia="zh-CN" w:bidi="hi-IN"/>
              </w:rPr>
              <w:t>Camus, 2005</w:t>
            </w:r>
            <w:r>
              <w:rPr>
                <w:rFonts w:ascii="Times New Roman" w:eastAsia="Calibri" w:hAnsi="Times New Roman" w:cs="Times New Roman"/>
                <w:kern w:val="3"/>
                <w:sz w:val="24"/>
                <w:vertAlign w:val="superscript"/>
                <w:lang w:eastAsia="zh-CN" w:bidi="hi-IN"/>
              </w:rPr>
              <w:t>8</w:t>
            </w:r>
          </w:p>
        </w:tc>
        <w:tc>
          <w:tcPr>
            <w:tcW w:w="1478" w:type="dxa"/>
          </w:tcPr>
          <w:p w:rsidR="0091628B" w:rsidRPr="004E0937" w:rsidRDefault="0091628B" w:rsidP="00FB6DD2">
            <w:pPr>
              <w:suppressAutoHyphens/>
              <w:autoSpaceDN w:val="0"/>
              <w:spacing w:line="480" w:lineRule="auto"/>
              <w:textAlignment w:val="baseline"/>
              <w:rPr>
                <w:rFonts w:ascii="Times New Roman" w:eastAsia="Calibri" w:hAnsi="Times New Roman" w:cs="Times New Roman"/>
                <w:b/>
                <w:kern w:val="3"/>
                <w:sz w:val="24"/>
                <w:lang w:eastAsia="zh-CN" w:bidi="hi-IN"/>
              </w:rPr>
            </w:pPr>
            <w:r w:rsidRPr="004E0937">
              <w:rPr>
                <w:rFonts w:ascii="Times New Roman" w:eastAsia="Calibri" w:hAnsi="Times New Roman" w:cs="Times New Roman"/>
                <w:b/>
                <w:kern w:val="3"/>
                <w:sz w:val="24"/>
                <w:lang w:eastAsia="zh-CN" w:bidi="hi-IN"/>
              </w:rPr>
              <w:t>+</w:t>
            </w:r>
          </w:p>
        </w:tc>
        <w:tc>
          <w:tcPr>
            <w:tcW w:w="1688" w:type="dxa"/>
          </w:tcPr>
          <w:p w:rsidR="0091628B" w:rsidRPr="004E0937" w:rsidRDefault="0091628B" w:rsidP="00FB6DD2">
            <w:pPr>
              <w:suppressAutoHyphens/>
              <w:autoSpaceDN w:val="0"/>
              <w:spacing w:line="480" w:lineRule="auto"/>
              <w:textAlignment w:val="baseline"/>
              <w:rPr>
                <w:rFonts w:ascii="Times New Roman" w:eastAsia="Calibri" w:hAnsi="Times New Roman" w:cs="Times New Roman"/>
                <w:b/>
                <w:kern w:val="3"/>
                <w:sz w:val="24"/>
                <w:lang w:eastAsia="zh-CN" w:bidi="hi-IN"/>
              </w:rPr>
            </w:pPr>
            <w:r w:rsidRPr="004E0937">
              <w:rPr>
                <w:rFonts w:ascii="Times New Roman" w:eastAsia="Calibri" w:hAnsi="Times New Roman" w:cs="Times New Roman"/>
                <w:b/>
                <w:kern w:val="3"/>
                <w:sz w:val="24"/>
                <w:lang w:eastAsia="zh-CN" w:bidi="hi-IN"/>
              </w:rPr>
              <w:t>+</w:t>
            </w:r>
          </w:p>
        </w:tc>
        <w:tc>
          <w:tcPr>
            <w:tcW w:w="1644" w:type="dxa"/>
          </w:tcPr>
          <w:p w:rsidR="0091628B" w:rsidRPr="004E0937" w:rsidRDefault="0091628B" w:rsidP="00FB6DD2">
            <w:pPr>
              <w:suppressAutoHyphens/>
              <w:autoSpaceDN w:val="0"/>
              <w:spacing w:line="480" w:lineRule="auto"/>
              <w:textAlignment w:val="baseline"/>
              <w:rPr>
                <w:rFonts w:ascii="Times New Roman" w:eastAsia="Calibri" w:hAnsi="Times New Roman" w:cs="Times New Roman"/>
                <w:b/>
                <w:kern w:val="3"/>
                <w:sz w:val="24"/>
                <w:lang w:eastAsia="zh-CN" w:bidi="hi-IN"/>
              </w:rPr>
            </w:pPr>
            <w:r w:rsidRPr="004E0937">
              <w:rPr>
                <w:rFonts w:ascii="Times New Roman" w:eastAsia="Calibri" w:hAnsi="Times New Roman" w:cs="Times New Roman"/>
                <w:b/>
                <w:kern w:val="3"/>
                <w:sz w:val="24"/>
                <w:lang w:eastAsia="zh-CN" w:bidi="hi-IN"/>
              </w:rPr>
              <w:t>+</w:t>
            </w:r>
          </w:p>
        </w:tc>
        <w:tc>
          <w:tcPr>
            <w:tcW w:w="1508" w:type="dxa"/>
          </w:tcPr>
          <w:p w:rsidR="0091628B" w:rsidRPr="004E0937" w:rsidRDefault="0091628B" w:rsidP="00FB6DD2">
            <w:pPr>
              <w:suppressAutoHyphens/>
              <w:autoSpaceDN w:val="0"/>
              <w:spacing w:line="480" w:lineRule="auto"/>
              <w:textAlignment w:val="baseline"/>
              <w:rPr>
                <w:rFonts w:ascii="Times New Roman" w:eastAsia="Calibri" w:hAnsi="Times New Roman" w:cs="Times New Roman"/>
                <w:b/>
                <w:kern w:val="3"/>
                <w:sz w:val="24"/>
                <w:lang w:eastAsia="zh-CN" w:bidi="hi-IN"/>
              </w:rPr>
            </w:pPr>
            <w:r w:rsidRPr="004E0937">
              <w:rPr>
                <w:rFonts w:ascii="Times New Roman" w:eastAsia="Calibri" w:hAnsi="Times New Roman" w:cs="Times New Roman"/>
                <w:b/>
                <w:kern w:val="3"/>
                <w:sz w:val="24"/>
                <w:lang w:eastAsia="zh-CN" w:bidi="hi-IN"/>
              </w:rPr>
              <w:t>+</w:t>
            </w:r>
          </w:p>
        </w:tc>
        <w:tc>
          <w:tcPr>
            <w:tcW w:w="1538" w:type="dxa"/>
          </w:tcPr>
          <w:p w:rsidR="0091628B" w:rsidRPr="004E0937" w:rsidRDefault="0091628B" w:rsidP="00FB6DD2">
            <w:pPr>
              <w:suppressAutoHyphens/>
              <w:autoSpaceDN w:val="0"/>
              <w:spacing w:line="480" w:lineRule="auto"/>
              <w:textAlignment w:val="baseline"/>
              <w:rPr>
                <w:rFonts w:ascii="Times New Roman" w:eastAsia="Calibri" w:hAnsi="Times New Roman" w:cs="Times New Roman"/>
                <w:b/>
                <w:kern w:val="3"/>
                <w:sz w:val="24"/>
                <w:lang w:eastAsia="zh-CN" w:bidi="hi-IN"/>
              </w:rPr>
            </w:pPr>
            <w:r w:rsidRPr="004E0937">
              <w:rPr>
                <w:rFonts w:ascii="Times New Roman" w:eastAsia="Calibri" w:hAnsi="Times New Roman" w:cs="Times New Roman"/>
                <w:b/>
                <w:kern w:val="3"/>
                <w:sz w:val="24"/>
                <w:lang w:eastAsia="zh-CN" w:bidi="hi-IN"/>
              </w:rPr>
              <w:t>+</w:t>
            </w:r>
          </w:p>
        </w:tc>
        <w:tc>
          <w:tcPr>
            <w:tcW w:w="1337" w:type="dxa"/>
          </w:tcPr>
          <w:p w:rsidR="0091628B" w:rsidRPr="004E0937" w:rsidRDefault="0091628B" w:rsidP="00FB6DD2">
            <w:pPr>
              <w:suppressAutoHyphens/>
              <w:autoSpaceDN w:val="0"/>
              <w:spacing w:line="480" w:lineRule="auto"/>
              <w:textAlignment w:val="baseline"/>
              <w:rPr>
                <w:rFonts w:ascii="Times New Roman" w:eastAsia="Calibri" w:hAnsi="Times New Roman" w:cs="Times New Roman"/>
                <w:b/>
                <w:kern w:val="3"/>
                <w:sz w:val="24"/>
                <w:lang w:eastAsia="zh-CN" w:bidi="hi-IN"/>
              </w:rPr>
            </w:pPr>
            <w:r>
              <w:rPr>
                <w:rFonts w:ascii="Times New Roman" w:eastAsia="Calibri" w:hAnsi="Times New Roman" w:cs="Times New Roman"/>
                <w:b/>
                <w:kern w:val="3"/>
                <w:sz w:val="24"/>
                <w:lang w:eastAsia="zh-CN" w:bidi="hi-IN"/>
              </w:rPr>
              <w:t>+</w:t>
            </w:r>
          </w:p>
        </w:tc>
        <w:tc>
          <w:tcPr>
            <w:tcW w:w="972" w:type="dxa"/>
          </w:tcPr>
          <w:p w:rsidR="0091628B" w:rsidRPr="004E0937" w:rsidRDefault="0091628B" w:rsidP="00FB6DD2">
            <w:pPr>
              <w:suppressAutoHyphens/>
              <w:autoSpaceDN w:val="0"/>
              <w:spacing w:line="480" w:lineRule="auto"/>
              <w:textAlignment w:val="baseline"/>
              <w:rPr>
                <w:rFonts w:ascii="Times New Roman" w:eastAsia="Calibri" w:hAnsi="Times New Roman" w:cs="Times New Roman"/>
                <w:b/>
                <w:kern w:val="3"/>
                <w:sz w:val="24"/>
                <w:lang w:eastAsia="zh-CN" w:bidi="hi-IN"/>
              </w:rPr>
            </w:pPr>
            <w:r w:rsidRPr="004E0937">
              <w:rPr>
                <w:rFonts w:ascii="Times New Roman" w:eastAsia="Calibri" w:hAnsi="Times New Roman" w:cs="Times New Roman"/>
                <w:b/>
                <w:kern w:val="3"/>
                <w:sz w:val="24"/>
                <w:lang w:eastAsia="zh-CN" w:bidi="hi-IN"/>
              </w:rPr>
              <w:t>?</w:t>
            </w:r>
          </w:p>
        </w:tc>
      </w:tr>
      <w:tr w:rsidR="0091628B" w:rsidRPr="004E0937" w:rsidTr="00FB6DD2">
        <w:trPr>
          <w:trHeight w:val="1028"/>
        </w:trPr>
        <w:tc>
          <w:tcPr>
            <w:tcW w:w="1561" w:type="dxa"/>
          </w:tcPr>
          <w:p w:rsidR="0091628B" w:rsidRPr="00FB6DD2" w:rsidRDefault="0091628B" w:rsidP="00FB6DD2">
            <w:pPr>
              <w:suppressAutoHyphens/>
              <w:autoSpaceDN w:val="0"/>
              <w:spacing w:line="480" w:lineRule="auto"/>
              <w:textAlignment w:val="baseline"/>
              <w:rPr>
                <w:rFonts w:ascii="Times New Roman" w:eastAsia="Calibri" w:hAnsi="Times New Roman" w:cs="Times New Roman"/>
                <w:kern w:val="3"/>
                <w:sz w:val="24"/>
                <w:vertAlign w:val="superscript"/>
                <w:lang w:eastAsia="zh-CN" w:bidi="hi-IN"/>
              </w:rPr>
            </w:pPr>
            <w:proofErr w:type="spellStart"/>
            <w:r w:rsidRPr="00FB6DD2">
              <w:rPr>
                <w:rFonts w:ascii="Times New Roman" w:eastAsia="Calibri" w:hAnsi="Times New Roman" w:cs="Times New Roman"/>
                <w:kern w:val="3"/>
                <w:sz w:val="24"/>
                <w:lang w:eastAsia="zh-CN" w:bidi="hi-IN"/>
              </w:rPr>
              <w:t>Climo</w:t>
            </w:r>
            <w:proofErr w:type="spellEnd"/>
            <w:r w:rsidRPr="00FB6DD2">
              <w:rPr>
                <w:rFonts w:ascii="Times New Roman" w:eastAsia="Calibri" w:hAnsi="Times New Roman" w:cs="Times New Roman"/>
                <w:kern w:val="3"/>
                <w:sz w:val="24"/>
                <w:lang w:eastAsia="zh-CN" w:bidi="hi-IN"/>
              </w:rPr>
              <w:t>, 2013</w:t>
            </w:r>
            <w:r>
              <w:rPr>
                <w:rFonts w:ascii="Times New Roman" w:eastAsia="Calibri" w:hAnsi="Times New Roman" w:cs="Times New Roman"/>
                <w:kern w:val="3"/>
                <w:sz w:val="24"/>
                <w:vertAlign w:val="superscript"/>
                <w:lang w:eastAsia="zh-CN" w:bidi="hi-IN"/>
              </w:rPr>
              <w:t>3</w:t>
            </w:r>
          </w:p>
        </w:tc>
        <w:tc>
          <w:tcPr>
            <w:tcW w:w="1478" w:type="dxa"/>
          </w:tcPr>
          <w:p w:rsidR="0091628B" w:rsidRPr="004E0937" w:rsidRDefault="0091628B" w:rsidP="00FB6DD2">
            <w:pPr>
              <w:suppressAutoHyphens/>
              <w:autoSpaceDN w:val="0"/>
              <w:spacing w:line="480" w:lineRule="auto"/>
              <w:textAlignment w:val="baseline"/>
              <w:rPr>
                <w:rFonts w:ascii="Times New Roman" w:eastAsia="Calibri" w:hAnsi="Times New Roman" w:cs="Times New Roman"/>
                <w:b/>
                <w:kern w:val="3"/>
                <w:sz w:val="24"/>
                <w:lang w:eastAsia="zh-CN" w:bidi="hi-IN"/>
              </w:rPr>
            </w:pPr>
            <w:r w:rsidRPr="004E0937">
              <w:rPr>
                <w:rFonts w:ascii="Times New Roman" w:eastAsia="Calibri" w:hAnsi="Times New Roman" w:cs="Times New Roman"/>
                <w:b/>
                <w:kern w:val="3"/>
                <w:sz w:val="24"/>
                <w:lang w:eastAsia="zh-CN" w:bidi="hi-IN"/>
              </w:rPr>
              <w:t>+</w:t>
            </w:r>
          </w:p>
        </w:tc>
        <w:tc>
          <w:tcPr>
            <w:tcW w:w="1688" w:type="dxa"/>
          </w:tcPr>
          <w:p w:rsidR="0091628B" w:rsidRPr="004E0937" w:rsidRDefault="0091628B" w:rsidP="00FB6DD2">
            <w:pPr>
              <w:suppressAutoHyphens/>
              <w:autoSpaceDN w:val="0"/>
              <w:spacing w:line="480" w:lineRule="auto"/>
              <w:textAlignment w:val="baseline"/>
              <w:rPr>
                <w:rFonts w:ascii="Times New Roman" w:eastAsia="Calibri" w:hAnsi="Times New Roman" w:cs="Times New Roman"/>
                <w:b/>
                <w:kern w:val="3"/>
                <w:sz w:val="24"/>
                <w:lang w:eastAsia="zh-CN" w:bidi="hi-IN"/>
              </w:rPr>
            </w:pPr>
            <w:r w:rsidRPr="004E0937">
              <w:rPr>
                <w:rFonts w:ascii="Times New Roman" w:eastAsia="Calibri" w:hAnsi="Times New Roman" w:cs="Times New Roman"/>
                <w:b/>
                <w:kern w:val="3"/>
                <w:sz w:val="24"/>
                <w:lang w:eastAsia="zh-CN" w:bidi="hi-IN"/>
              </w:rPr>
              <w:t>+</w:t>
            </w:r>
          </w:p>
        </w:tc>
        <w:tc>
          <w:tcPr>
            <w:tcW w:w="1644" w:type="dxa"/>
          </w:tcPr>
          <w:p w:rsidR="0091628B" w:rsidRPr="004E0937" w:rsidRDefault="0091628B" w:rsidP="00FB6DD2">
            <w:pPr>
              <w:suppressAutoHyphens/>
              <w:autoSpaceDN w:val="0"/>
              <w:spacing w:line="480" w:lineRule="auto"/>
              <w:textAlignment w:val="baseline"/>
              <w:rPr>
                <w:rFonts w:ascii="Times New Roman" w:eastAsia="Calibri" w:hAnsi="Times New Roman" w:cs="Times New Roman"/>
                <w:b/>
                <w:kern w:val="3"/>
                <w:sz w:val="24"/>
                <w:lang w:eastAsia="zh-CN" w:bidi="hi-IN"/>
              </w:rPr>
            </w:pPr>
            <w:r>
              <w:rPr>
                <w:rFonts w:ascii="Times New Roman" w:eastAsia="Calibri" w:hAnsi="Times New Roman" w:cs="Times New Roman"/>
                <w:b/>
                <w:kern w:val="3"/>
                <w:sz w:val="24"/>
                <w:lang w:eastAsia="zh-CN" w:bidi="hi-IN"/>
              </w:rPr>
              <w:t>+</w:t>
            </w:r>
          </w:p>
        </w:tc>
        <w:tc>
          <w:tcPr>
            <w:tcW w:w="1508" w:type="dxa"/>
          </w:tcPr>
          <w:p w:rsidR="0091628B" w:rsidRPr="004E0937" w:rsidRDefault="0091628B" w:rsidP="00FB6DD2">
            <w:pPr>
              <w:suppressAutoHyphens/>
              <w:autoSpaceDN w:val="0"/>
              <w:spacing w:line="480" w:lineRule="auto"/>
              <w:textAlignment w:val="baseline"/>
              <w:rPr>
                <w:rFonts w:ascii="Times New Roman" w:eastAsia="Calibri" w:hAnsi="Times New Roman" w:cs="Times New Roman"/>
                <w:b/>
                <w:kern w:val="3"/>
                <w:sz w:val="24"/>
                <w:lang w:eastAsia="zh-CN" w:bidi="hi-IN"/>
              </w:rPr>
            </w:pPr>
            <w:r w:rsidRPr="004E0937">
              <w:rPr>
                <w:rFonts w:ascii="Times New Roman" w:eastAsia="Calibri" w:hAnsi="Times New Roman" w:cs="Times New Roman"/>
                <w:b/>
                <w:kern w:val="3"/>
                <w:sz w:val="24"/>
                <w:lang w:eastAsia="zh-CN" w:bidi="hi-IN"/>
              </w:rPr>
              <w:t>+</w:t>
            </w:r>
          </w:p>
        </w:tc>
        <w:tc>
          <w:tcPr>
            <w:tcW w:w="1538" w:type="dxa"/>
          </w:tcPr>
          <w:p w:rsidR="0091628B" w:rsidRPr="004E0937" w:rsidRDefault="0091628B" w:rsidP="00FB6DD2">
            <w:pPr>
              <w:suppressAutoHyphens/>
              <w:autoSpaceDN w:val="0"/>
              <w:spacing w:line="480" w:lineRule="auto"/>
              <w:textAlignment w:val="baseline"/>
              <w:rPr>
                <w:rFonts w:ascii="Times New Roman" w:eastAsia="Calibri" w:hAnsi="Times New Roman" w:cs="Times New Roman"/>
                <w:b/>
                <w:kern w:val="3"/>
                <w:sz w:val="24"/>
                <w:lang w:eastAsia="zh-CN" w:bidi="hi-IN"/>
              </w:rPr>
            </w:pPr>
            <w:r w:rsidRPr="004E0937">
              <w:rPr>
                <w:rFonts w:ascii="Times New Roman" w:eastAsia="Calibri" w:hAnsi="Times New Roman" w:cs="Times New Roman"/>
                <w:b/>
                <w:kern w:val="3"/>
                <w:sz w:val="24"/>
                <w:lang w:eastAsia="zh-CN" w:bidi="hi-IN"/>
              </w:rPr>
              <w:t>+</w:t>
            </w:r>
          </w:p>
        </w:tc>
        <w:tc>
          <w:tcPr>
            <w:tcW w:w="1337" w:type="dxa"/>
          </w:tcPr>
          <w:p w:rsidR="0091628B" w:rsidRPr="004E0937" w:rsidRDefault="0091628B" w:rsidP="00FB6DD2">
            <w:pPr>
              <w:suppressAutoHyphens/>
              <w:autoSpaceDN w:val="0"/>
              <w:spacing w:line="480" w:lineRule="auto"/>
              <w:textAlignment w:val="baseline"/>
              <w:rPr>
                <w:rFonts w:ascii="Times New Roman" w:eastAsia="Calibri" w:hAnsi="Times New Roman" w:cs="Times New Roman"/>
                <w:b/>
                <w:kern w:val="3"/>
                <w:sz w:val="24"/>
                <w:lang w:eastAsia="zh-CN" w:bidi="hi-IN"/>
              </w:rPr>
            </w:pPr>
            <w:r>
              <w:rPr>
                <w:rFonts w:ascii="Times New Roman" w:eastAsia="Calibri" w:hAnsi="Times New Roman" w:cs="Times New Roman"/>
                <w:b/>
                <w:kern w:val="3"/>
                <w:sz w:val="24"/>
                <w:lang w:eastAsia="zh-CN" w:bidi="hi-IN"/>
              </w:rPr>
              <w:t>+</w:t>
            </w:r>
          </w:p>
        </w:tc>
        <w:tc>
          <w:tcPr>
            <w:tcW w:w="972" w:type="dxa"/>
          </w:tcPr>
          <w:p w:rsidR="0091628B" w:rsidRPr="004E0937" w:rsidRDefault="0091628B" w:rsidP="00FB6DD2">
            <w:pPr>
              <w:suppressAutoHyphens/>
              <w:autoSpaceDN w:val="0"/>
              <w:spacing w:line="480" w:lineRule="auto"/>
              <w:textAlignment w:val="baseline"/>
              <w:rPr>
                <w:rFonts w:ascii="Times New Roman" w:eastAsia="Calibri" w:hAnsi="Times New Roman" w:cs="Times New Roman"/>
                <w:b/>
                <w:kern w:val="3"/>
                <w:sz w:val="24"/>
                <w:lang w:eastAsia="zh-CN" w:bidi="hi-IN"/>
              </w:rPr>
            </w:pPr>
            <w:r w:rsidRPr="004E0937">
              <w:rPr>
                <w:rFonts w:ascii="Times New Roman" w:eastAsia="Calibri" w:hAnsi="Times New Roman" w:cs="Times New Roman"/>
                <w:b/>
                <w:kern w:val="3"/>
                <w:sz w:val="24"/>
                <w:lang w:eastAsia="zh-CN" w:bidi="hi-IN"/>
              </w:rPr>
              <w:t>-</w:t>
            </w:r>
          </w:p>
        </w:tc>
      </w:tr>
      <w:tr w:rsidR="0091628B" w:rsidRPr="004E0937" w:rsidTr="00FB6DD2">
        <w:trPr>
          <w:trHeight w:val="509"/>
        </w:trPr>
        <w:tc>
          <w:tcPr>
            <w:tcW w:w="1561" w:type="dxa"/>
          </w:tcPr>
          <w:p w:rsidR="0091628B" w:rsidRPr="00FB6DD2" w:rsidRDefault="0091628B" w:rsidP="00FB6DD2">
            <w:pPr>
              <w:suppressAutoHyphens/>
              <w:autoSpaceDN w:val="0"/>
              <w:spacing w:line="480" w:lineRule="auto"/>
              <w:textAlignment w:val="baseline"/>
              <w:rPr>
                <w:rFonts w:ascii="Times New Roman" w:eastAsia="Calibri" w:hAnsi="Times New Roman" w:cs="Times New Roman"/>
                <w:kern w:val="3"/>
                <w:sz w:val="24"/>
                <w:vertAlign w:val="superscript"/>
                <w:lang w:eastAsia="zh-CN" w:bidi="hi-IN"/>
              </w:rPr>
            </w:pPr>
            <w:r w:rsidRPr="00FB6DD2">
              <w:rPr>
                <w:rFonts w:ascii="Times New Roman" w:eastAsia="Calibri" w:hAnsi="Times New Roman" w:cs="Times New Roman"/>
                <w:kern w:val="3"/>
                <w:sz w:val="24"/>
                <w:lang w:eastAsia="zh-CN" w:bidi="hi-IN"/>
              </w:rPr>
              <w:t>Noto, 2015</w:t>
            </w:r>
            <w:r w:rsidRPr="00FB6DD2">
              <w:rPr>
                <w:rFonts w:ascii="Times New Roman" w:eastAsia="Calibri" w:hAnsi="Times New Roman" w:cs="Times New Roman"/>
                <w:kern w:val="3"/>
                <w:sz w:val="24"/>
                <w:vertAlign w:val="superscript"/>
                <w:lang w:eastAsia="zh-CN" w:bidi="hi-IN"/>
              </w:rPr>
              <w:t>5</w:t>
            </w:r>
          </w:p>
        </w:tc>
        <w:tc>
          <w:tcPr>
            <w:tcW w:w="1478" w:type="dxa"/>
          </w:tcPr>
          <w:p w:rsidR="0091628B" w:rsidRPr="004E0937" w:rsidRDefault="0091628B" w:rsidP="00FB6DD2">
            <w:pPr>
              <w:suppressAutoHyphens/>
              <w:autoSpaceDN w:val="0"/>
              <w:spacing w:line="480" w:lineRule="auto"/>
              <w:textAlignment w:val="baseline"/>
              <w:rPr>
                <w:rFonts w:ascii="Times New Roman" w:eastAsia="Calibri" w:hAnsi="Times New Roman" w:cs="Times New Roman"/>
                <w:b/>
                <w:kern w:val="3"/>
                <w:sz w:val="24"/>
                <w:lang w:eastAsia="zh-CN" w:bidi="hi-IN"/>
              </w:rPr>
            </w:pPr>
            <w:r w:rsidRPr="004E0937">
              <w:rPr>
                <w:rFonts w:ascii="Times New Roman" w:eastAsia="Calibri" w:hAnsi="Times New Roman" w:cs="Times New Roman"/>
                <w:b/>
                <w:kern w:val="3"/>
                <w:sz w:val="24"/>
                <w:lang w:eastAsia="zh-CN" w:bidi="hi-IN"/>
              </w:rPr>
              <w:t>+</w:t>
            </w:r>
          </w:p>
        </w:tc>
        <w:tc>
          <w:tcPr>
            <w:tcW w:w="1688" w:type="dxa"/>
          </w:tcPr>
          <w:p w:rsidR="0091628B" w:rsidRPr="004E0937" w:rsidRDefault="0091628B" w:rsidP="00FB6DD2">
            <w:pPr>
              <w:suppressAutoHyphens/>
              <w:autoSpaceDN w:val="0"/>
              <w:spacing w:line="480" w:lineRule="auto"/>
              <w:textAlignment w:val="baseline"/>
              <w:rPr>
                <w:rFonts w:ascii="Times New Roman" w:eastAsia="Calibri" w:hAnsi="Times New Roman" w:cs="Times New Roman"/>
                <w:b/>
                <w:kern w:val="3"/>
                <w:sz w:val="24"/>
                <w:lang w:eastAsia="zh-CN" w:bidi="hi-IN"/>
              </w:rPr>
            </w:pPr>
            <w:r w:rsidRPr="004E0937">
              <w:rPr>
                <w:rFonts w:ascii="Times New Roman" w:eastAsia="Calibri" w:hAnsi="Times New Roman" w:cs="Times New Roman"/>
                <w:b/>
                <w:kern w:val="3"/>
                <w:sz w:val="24"/>
                <w:lang w:eastAsia="zh-CN" w:bidi="hi-IN"/>
              </w:rPr>
              <w:t>+</w:t>
            </w:r>
          </w:p>
        </w:tc>
        <w:tc>
          <w:tcPr>
            <w:tcW w:w="1644" w:type="dxa"/>
          </w:tcPr>
          <w:p w:rsidR="0091628B" w:rsidRPr="004E0937" w:rsidRDefault="0091628B" w:rsidP="00FB6DD2">
            <w:pPr>
              <w:suppressAutoHyphens/>
              <w:autoSpaceDN w:val="0"/>
              <w:spacing w:line="480" w:lineRule="auto"/>
              <w:textAlignment w:val="baseline"/>
              <w:rPr>
                <w:rFonts w:ascii="Times New Roman" w:eastAsia="Calibri" w:hAnsi="Times New Roman" w:cs="Times New Roman"/>
                <w:b/>
                <w:kern w:val="3"/>
                <w:sz w:val="24"/>
                <w:lang w:eastAsia="zh-CN" w:bidi="hi-IN"/>
              </w:rPr>
            </w:pPr>
            <w:r>
              <w:rPr>
                <w:rFonts w:ascii="Times New Roman" w:eastAsia="Calibri" w:hAnsi="Times New Roman" w:cs="Times New Roman"/>
                <w:b/>
                <w:kern w:val="3"/>
                <w:sz w:val="24"/>
                <w:lang w:eastAsia="zh-CN" w:bidi="hi-IN"/>
              </w:rPr>
              <w:t>+</w:t>
            </w:r>
          </w:p>
        </w:tc>
        <w:tc>
          <w:tcPr>
            <w:tcW w:w="1508" w:type="dxa"/>
          </w:tcPr>
          <w:p w:rsidR="0091628B" w:rsidRPr="004E0937" w:rsidRDefault="0091628B" w:rsidP="00FB6DD2">
            <w:pPr>
              <w:suppressAutoHyphens/>
              <w:autoSpaceDN w:val="0"/>
              <w:spacing w:line="480" w:lineRule="auto"/>
              <w:textAlignment w:val="baseline"/>
              <w:rPr>
                <w:rFonts w:ascii="Times New Roman" w:eastAsia="Calibri" w:hAnsi="Times New Roman" w:cs="Times New Roman"/>
                <w:b/>
                <w:kern w:val="3"/>
                <w:sz w:val="24"/>
                <w:lang w:eastAsia="zh-CN" w:bidi="hi-IN"/>
              </w:rPr>
            </w:pPr>
            <w:r w:rsidRPr="004E0937">
              <w:rPr>
                <w:rFonts w:ascii="Times New Roman" w:eastAsia="Calibri" w:hAnsi="Times New Roman" w:cs="Times New Roman"/>
                <w:b/>
                <w:kern w:val="3"/>
                <w:sz w:val="24"/>
                <w:lang w:eastAsia="zh-CN" w:bidi="hi-IN"/>
              </w:rPr>
              <w:t>+</w:t>
            </w:r>
          </w:p>
        </w:tc>
        <w:tc>
          <w:tcPr>
            <w:tcW w:w="1538" w:type="dxa"/>
          </w:tcPr>
          <w:p w:rsidR="0091628B" w:rsidRPr="004E0937" w:rsidRDefault="0091628B" w:rsidP="00FB6DD2">
            <w:pPr>
              <w:suppressAutoHyphens/>
              <w:autoSpaceDN w:val="0"/>
              <w:spacing w:line="480" w:lineRule="auto"/>
              <w:textAlignment w:val="baseline"/>
              <w:rPr>
                <w:rFonts w:ascii="Times New Roman" w:eastAsia="Calibri" w:hAnsi="Times New Roman" w:cs="Times New Roman"/>
                <w:b/>
                <w:kern w:val="3"/>
                <w:sz w:val="24"/>
                <w:lang w:eastAsia="zh-CN" w:bidi="hi-IN"/>
              </w:rPr>
            </w:pPr>
            <w:r w:rsidRPr="004E0937">
              <w:rPr>
                <w:rFonts w:ascii="Times New Roman" w:eastAsia="Calibri" w:hAnsi="Times New Roman" w:cs="Times New Roman"/>
                <w:b/>
                <w:kern w:val="3"/>
                <w:sz w:val="24"/>
                <w:lang w:eastAsia="zh-CN" w:bidi="hi-IN"/>
              </w:rPr>
              <w:t>+</w:t>
            </w:r>
          </w:p>
        </w:tc>
        <w:tc>
          <w:tcPr>
            <w:tcW w:w="1337" w:type="dxa"/>
          </w:tcPr>
          <w:p w:rsidR="0091628B" w:rsidRPr="004E0937" w:rsidRDefault="0091628B" w:rsidP="00FB6DD2">
            <w:pPr>
              <w:suppressAutoHyphens/>
              <w:autoSpaceDN w:val="0"/>
              <w:spacing w:line="480" w:lineRule="auto"/>
              <w:textAlignment w:val="baseline"/>
              <w:rPr>
                <w:rFonts w:ascii="Times New Roman" w:eastAsia="Calibri" w:hAnsi="Times New Roman" w:cs="Times New Roman"/>
                <w:b/>
                <w:kern w:val="3"/>
                <w:sz w:val="24"/>
                <w:lang w:eastAsia="zh-CN" w:bidi="hi-IN"/>
              </w:rPr>
            </w:pPr>
            <w:r w:rsidRPr="004E0937">
              <w:rPr>
                <w:rFonts w:ascii="Times New Roman" w:eastAsia="Calibri" w:hAnsi="Times New Roman" w:cs="Times New Roman"/>
                <w:b/>
                <w:kern w:val="3"/>
                <w:sz w:val="24"/>
                <w:lang w:eastAsia="zh-CN" w:bidi="hi-IN"/>
              </w:rPr>
              <w:t>+</w:t>
            </w:r>
          </w:p>
        </w:tc>
        <w:tc>
          <w:tcPr>
            <w:tcW w:w="972" w:type="dxa"/>
          </w:tcPr>
          <w:p w:rsidR="0091628B" w:rsidRPr="004E0937" w:rsidRDefault="0091628B" w:rsidP="00FB6DD2">
            <w:pPr>
              <w:suppressAutoHyphens/>
              <w:autoSpaceDN w:val="0"/>
              <w:spacing w:line="480" w:lineRule="auto"/>
              <w:textAlignment w:val="baseline"/>
              <w:rPr>
                <w:rFonts w:ascii="Times New Roman" w:eastAsia="Calibri" w:hAnsi="Times New Roman" w:cs="Times New Roman"/>
                <w:b/>
                <w:kern w:val="3"/>
                <w:sz w:val="24"/>
                <w:lang w:eastAsia="zh-CN" w:bidi="hi-IN"/>
              </w:rPr>
            </w:pPr>
            <w:r>
              <w:rPr>
                <w:rFonts w:ascii="Times New Roman" w:eastAsia="Calibri" w:hAnsi="Times New Roman" w:cs="Times New Roman"/>
                <w:b/>
                <w:kern w:val="3"/>
                <w:sz w:val="24"/>
                <w:lang w:eastAsia="zh-CN" w:bidi="hi-IN"/>
              </w:rPr>
              <w:t>+</w:t>
            </w:r>
          </w:p>
        </w:tc>
      </w:tr>
    </w:tbl>
    <w:p w:rsidR="0091628B" w:rsidRPr="00FB6DD2" w:rsidRDefault="0091628B" w:rsidP="0091628B">
      <w:pPr>
        <w:suppressAutoHyphens/>
        <w:autoSpaceDN w:val="0"/>
        <w:spacing w:after="0" w:line="480" w:lineRule="auto"/>
        <w:textAlignment w:val="baseline"/>
        <w:rPr>
          <w:rFonts w:ascii="Times New Roman" w:eastAsia="Calibri" w:hAnsi="Times New Roman" w:cs="Times New Roman"/>
          <w:kern w:val="3"/>
          <w:sz w:val="24"/>
          <w:lang w:eastAsia="zh-CN" w:bidi="hi-IN"/>
        </w:rPr>
      </w:pPr>
      <w:r w:rsidRPr="00FB6DD2">
        <w:rPr>
          <w:rFonts w:ascii="Times New Roman" w:eastAsia="Calibri" w:hAnsi="Times New Roman" w:cs="Times New Roman"/>
          <w:kern w:val="3"/>
          <w:sz w:val="24"/>
          <w:lang w:eastAsia="zh-CN" w:bidi="hi-IN"/>
        </w:rPr>
        <w:t>+ = low risk, - = high risk, ? = unknown risk</w:t>
      </w:r>
    </w:p>
    <w:p w:rsidR="0091628B" w:rsidRDefault="0091628B" w:rsidP="0091628B">
      <w:pPr>
        <w:suppressAutoHyphens/>
        <w:autoSpaceDN w:val="0"/>
        <w:spacing w:after="0" w:line="480" w:lineRule="auto"/>
        <w:textAlignment w:val="baseline"/>
        <w:rPr>
          <w:rFonts w:ascii="Times New Roman" w:eastAsia="Calibri" w:hAnsi="Times New Roman" w:cs="Times New Roman"/>
          <w:b/>
          <w:kern w:val="3"/>
          <w:sz w:val="24"/>
          <w:lang w:eastAsia="zh-CN" w:bidi="hi-IN"/>
        </w:rPr>
        <w:sectPr w:rsidR="0091628B" w:rsidSect="00474565">
          <w:pgSz w:w="15840" w:h="12240" w:orient="landscape"/>
          <w:pgMar w:top="1440" w:right="1440" w:bottom="1440" w:left="1440" w:header="720" w:footer="720" w:gutter="0"/>
          <w:cols w:space="720"/>
          <w:docGrid w:linePitch="360"/>
        </w:sectPr>
      </w:pPr>
    </w:p>
    <w:p w:rsidR="0091628B" w:rsidRPr="000410AE" w:rsidRDefault="0091628B" w:rsidP="0091628B">
      <w:pPr>
        <w:suppressAutoHyphens/>
        <w:autoSpaceDN w:val="0"/>
        <w:spacing w:after="0" w:line="480" w:lineRule="auto"/>
        <w:textAlignment w:val="baseline"/>
        <w:rPr>
          <w:rFonts w:ascii="Times New Roman" w:eastAsia="Calibri" w:hAnsi="Times New Roman" w:cs="Times New Roman"/>
          <w:b/>
          <w:kern w:val="3"/>
          <w:sz w:val="24"/>
          <w:lang w:eastAsia="zh-CN" w:bidi="hi-IN"/>
        </w:rPr>
      </w:pPr>
      <w:r w:rsidRPr="000410AE">
        <w:rPr>
          <w:rFonts w:ascii="Times New Roman" w:eastAsia="Calibri" w:hAnsi="Times New Roman" w:cs="Times New Roman"/>
          <w:b/>
          <w:kern w:val="3"/>
          <w:sz w:val="24"/>
          <w:lang w:eastAsia="zh-CN" w:bidi="hi-IN"/>
        </w:rPr>
        <w:lastRenderedPageBreak/>
        <w:t>Supplemental Figure 1:</w:t>
      </w:r>
    </w:p>
    <w:p w:rsidR="0091628B" w:rsidRPr="000410AE" w:rsidRDefault="0091628B" w:rsidP="0091628B">
      <w:pPr>
        <w:suppressAutoHyphens/>
        <w:autoSpaceDN w:val="0"/>
        <w:spacing w:after="0" w:line="480" w:lineRule="auto"/>
        <w:textAlignment w:val="baseline"/>
        <w:rPr>
          <w:rFonts w:ascii="Times New Roman" w:eastAsia="Calibri" w:hAnsi="Times New Roman" w:cs="Times New Roman"/>
          <w:kern w:val="3"/>
          <w:sz w:val="24"/>
          <w:lang w:eastAsia="zh-CN" w:bidi="hi-IN"/>
        </w:rPr>
      </w:pPr>
      <w:r w:rsidRPr="000410AE">
        <w:rPr>
          <w:rFonts w:ascii="Times New Roman" w:eastAsia="Calibri" w:hAnsi="Times New Roman" w:cs="Times New Roman"/>
          <w:b/>
          <w:kern w:val="3"/>
          <w:sz w:val="24"/>
          <w:lang w:eastAsia="zh-CN" w:bidi="hi-IN"/>
        </w:rPr>
        <w:t xml:space="preserve">1A: </w:t>
      </w:r>
      <w:r w:rsidRPr="000410AE">
        <w:rPr>
          <w:rFonts w:ascii="Times New Roman" w:eastAsia="Calibri" w:hAnsi="Times New Roman" w:cs="Times New Roman"/>
          <w:sz w:val="24"/>
        </w:rPr>
        <w:t>Funnel Plot illustrating the risk of Acinetobacter infection with chlorhexidine bathing versus comparator</w:t>
      </w:r>
      <w:r w:rsidRPr="000410AE">
        <w:rPr>
          <w:rFonts w:ascii="Times New Roman" w:eastAsia="Calibri" w:hAnsi="Times New Roman" w:cs="Times New Roman"/>
          <w:kern w:val="3"/>
          <w:sz w:val="24"/>
          <w:lang w:eastAsia="zh-CN" w:bidi="hi-IN"/>
        </w:rPr>
        <w:t>. Dashed line indicates pooled relative risk of 0.67.</w:t>
      </w:r>
    </w:p>
    <w:p w:rsidR="0091628B" w:rsidRPr="000410AE" w:rsidRDefault="0091628B" w:rsidP="0091628B">
      <w:pPr>
        <w:suppressAutoHyphens/>
        <w:autoSpaceDN w:val="0"/>
        <w:spacing w:after="0" w:line="480" w:lineRule="auto"/>
        <w:textAlignment w:val="baseline"/>
        <w:rPr>
          <w:rFonts w:ascii="Times New Roman" w:eastAsia="Calibri" w:hAnsi="Times New Roman" w:cs="Times New Roman"/>
          <w:kern w:val="3"/>
          <w:sz w:val="24"/>
          <w:lang w:eastAsia="zh-CN" w:bidi="hi-IN"/>
        </w:rPr>
      </w:pPr>
      <w:r w:rsidRPr="000410AE">
        <w:rPr>
          <w:rFonts w:ascii="Times New Roman" w:eastAsia="Calibri" w:hAnsi="Times New Roman" w:cs="Times New Roman"/>
          <w:noProof/>
          <w:kern w:val="3"/>
          <w:sz w:val="24"/>
        </w:rPr>
        <w:drawing>
          <wp:inline distT="0" distB="0" distL="0" distR="0" wp14:anchorId="29532195" wp14:editId="753C0906">
            <wp:extent cx="4114800" cy="2743200"/>
            <wp:effectExtent l="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4114800" cy="2743200"/>
                    </a:xfrm>
                    <a:prstGeom prst="rect">
                      <a:avLst/>
                    </a:prstGeom>
                  </pic:spPr>
                </pic:pic>
              </a:graphicData>
            </a:graphic>
          </wp:inline>
        </w:drawing>
      </w:r>
    </w:p>
    <w:p w:rsidR="0091628B" w:rsidRPr="000410AE" w:rsidRDefault="0091628B" w:rsidP="0091628B">
      <w:pPr>
        <w:suppressAutoHyphens/>
        <w:autoSpaceDN w:val="0"/>
        <w:spacing w:after="0" w:line="480" w:lineRule="auto"/>
        <w:textAlignment w:val="baseline"/>
        <w:rPr>
          <w:rFonts w:ascii="Times New Roman" w:eastAsia="Calibri" w:hAnsi="Times New Roman" w:cs="Times New Roman"/>
          <w:b/>
          <w:kern w:val="3"/>
          <w:sz w:val="24"/>
          <w:lang w:eastAsia="zh-CN" w:bidi="hi-IN"/>
        </w:rPr>
      </w:pPr>
    </w:p>
    <w:p w:rsidR="0091628B" w:rsidRPr="000410AE" w:rsidRDefault="0091628B" w:rsidP="0091628B">
      <w:pPr>
        <w:suppressAutoHyphens/>
        <w:autoSpaceDN w:val="0"/>
        <w:spacing w:after="0" w:line="480" w:lineRule="auto"/>
        <w:textAlignment w:val="baseline"/>
        <w:rPr>
          <w:rFonts w:ascii="Times New Roman" w:eastAsia="Calibri" w:hAnsi="Times New Roman" w:cs="Times New Roman"/>
          <w:kern w:val="3"/>
          <w:sz w:val="24"/>
          <w:lang w:eastAsia="zh-CN" w:bidi="hi-IN"/>
        </w:rPr>
      </w:pPr>
      <w:r w:rsidRPr="000410AE">
        <w:rPr>
          <w:rFonts w:ascii="Times New Roman" w:eastAsia="Calibri" w:hAnsi="Times New Roman" w:cs="Times New Roman"/>
          <w:b/>
          <w:kern w:val="3"/>
          <w:sz w:val="24"/>
          <w:lang w:eastAsia="zh-CN" w:bidi="hi-IN"/>
        </w:rPr>
        <w:t xml:space="preserve">1B: </w:t>
      </w:r>
      <w:r w:rsidRPr="000410AE">
        <w:rPr>
          <w:rFonts w:ascii="Times New Roman" w:eastAsia="Calibri" w:hAnsi="Times New Roman" w:cs="Times New Roman"/>
          <w:sz w:val="24"/>
        </w:rPr>
        <w:t>Funnel Plot illustrating the risk of Klebsiella species infections with chlorhexidine bathing versus comparator</w:t>
      </w:r>
      <w:r w:rsidRPr="000410AE">
        <w:rPr>
          <w:rFonts w:ascii="Times New Roman" w:eastAsia="Calibri" w:hAnsi="Times New Roman" w:cs="Times New Roman"/>
          <w:kern w:val="3"/>
          <w:sz w:val="24"/>
          <w:lang w:eastAsia="zh-CN" w:bidi="hi-IN"/>
        </w:rPr>
        <w:t>. Dashed line indicates pooled relative risk of 0.57.</w:t>
      </w:r>
    </w:p>
    <w:p w:rsidR="0091628B" w:rsidRPr="000410AE" w:rsidRDefault="0091628B" w:rsidP="0091628B">
      <w:pPr>
        <w:suppressAutoHyphens/>
        <w:autoSpaceDN w:val="0"/>
        <w:spacing w:after="0" w:line="480" w:lineRule="auto"/>
        <w:textAlignment w:val="baseline"/>
        <w:rPr>
          <w:rFonts w:ascii="Times New Roman" w:eastAsia="Calibri" w:hAnsi="Times New Roman" w:cs="Times New Roman"/>
          <w:kern w:val="3"/>
          <w:sz w:val="24"/>
          <w:lang w:eastAsia="zh-CN" w:bidi="hi-IN"/>
        </w:rPr>
      </w:pPr>
      <w:r w:rsidRPr="000410AE">
        <w:rPr>
          <w:rFonts w:ascii="Times New Roman" w:eastAsia="Calibri" w:hAnsi="Times New Roman" w:cs="Times New Roman"/>
          <w:noProof/>
          <w:kern w:val="3"/>
          <w:sz w:val="24"/>
        </w:rPr>
        <w:drawing>
          <wp:inline distT="0" distB="0" distL="0" distR="0" wp14:anchorId="1B33185A" wp14:editId="123A0133">
            <wp:extent cx="4114800" cy="2743200"/>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4114800" cy="2743200"/>
                    </a:xfrm>
                    <a:prstGeom prst="rect">
                      <a:avLst/>
                    </a:prstGeom>
                  </pic:spPr>
                </pic:pic>
              </a:graphicData>
            </a:graphic>
          </wp:inline>
        </w:drawing>
      </w:r>
    </w:p>
    <w:p w:rsidR="0091628B" w:rsidRPr="000410AE" w:rsidRDefault="0091628B" w:rsidP="0091628B">
      <w:pPr>
        <w:pStyle w:val="Standarduseruser"/>
        <w:spacing w:line="480" w:lineRule="auto"/>
        <w:rPr>
          <w:rFonts w:eastAsia="Calibri"/>
          <w:b/>
          <w:szCs w:val="22"/>
        </w:rPr>
      </w:pPr>
    </w:p>
    <w:p w:rsidR="0091628B" w:rsidRPr="000410AE" w:rsidRDefault="0091628B" w:rsidP="0091628B">
      <w:pPr>
        <w:pStyle w:val="Standarduseruser"/>
        <w:spacing w:line="480" w:lineRule="auto"/>
        <w:rPr>
          <w:rFonts w:eastAsia="Calibri"/>
          <w:szCs w:val="22"/>
        </w:rPr>
      </w:pPr>
      <w:r w:rsidRPr="000410AE">
        <w:rPr>
          <w:rFonts w:eastAsia="Calibri"/>
          <w:b/>
          <w:szCs w:val="22"/>
        </w:rPr>
        <w:lastRenderedPageBreak/>
        <w:t xml:space="preserve">1C: </w:t>
      </w:r>
      <w:r w:rsidRPr="000410AE">
        <w:rPr>
          <w:rFonts w:eastAsia="Calibri"/>
          <w:szCs w:val="22"/>
        </w:rPr>
        <w:t xml:space="preserve">Funnel Plot illustrating the risk of </w:t>
      </w:r>
      <w:r w:rsidRPr="000410AE">
        <w:rPr>
          <w:rFonts w:eastAsia="Calibri"/>
          <w:i/>
          <w:szCs w:val="22"/>
        </w:rPr>
        <w:t>E.coli</w:t>
      </w:r>
      <w:r w:rsidRPr="000410AE">
        <w:rPr>
          <w:rFonts w:eastAsia="Calibri"/>
          <w:szCs w:val="22"/>
        </w:rPr>
        <w:t xml:space="preserve"> infection with chlorhexidine bathing versus comparator. Dashed line indicates pooled relative risk of 1.74.</w:t>
      </w:r>
    </w:p>
    <w:p w:rsidR="0091628B" w:rsidRPr="000410AE" w:rsidRDefault="0091628B" w:rsidP="0091628B">
      <w:pPr>
        <w:pStyle w:val="Standarduseruser"/>
        <w:spacing w:line="480" w:lineRule="auto"/>
        <w:rPr>
          <w:rFonts w:eastAsia="Calibri"/>
          <w:szCs w:val="22"/>
        </w:rPr>
      </w:pPr>
      <w:r w:rsidRPr="000410AE">
        <w:rPr>
          <w:rFonts w:eastAsia="Calibri"/>
          <w:noProof/>
          <w:szCs w:val="22"/>
          <w:lang w:eastAsia="en-US" w:bidi="ar-SA"/>
        </w:rPr>
        <w:drawing>
          <wp:inline distT="0" distB="0" distL="0" distR="0" wp14:anchorId="564CC676" wp14:editId="5A667AE7">
            <wp:extent cx="4114800" cy="2743200"/>
            <wp:effectExtent l="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4114800" cy="2743200"/>
                    </a:xfrm>
                    <a:prstGeom prst="rect">
                      <a:avLst/>
                    </a:prstGeom>
                  </pic:spPr>
                </pic:pic>
              </a:graphicData>
            </a:graphic>
          </wp:inline>
        </w:drawing>
      </w:r>
    </w:p>
    <w:p w:rsidR="0091628B" w:rsidRPr="000410AE" w:rsidRDefault="0091628B" w:rsidP="0091628B">
      <w:pPr>
        <w:pStyle w:val="Standarduseruser"/>
        <w:spacing w:line="480" w:lineRule="auto"/>
        <w:rPr>
          <w:rFonts w:eastAsia="Calibri"/>
          <w:b/>
          <w:szCs w:val="22"/>
        </w:rPr>
      </w:pPr>
    </w:p>
    <w:p w:rsidR="0091628B" w:rsidRPr="000410AE" w:rsidRDefault="0091628B" w:rsidP="0091628B">
      <w:pPr>
        <w:pStyle w:val="Standarduseruser"/>
        <w:spacing w:line="480" w:lineRule="auto"/>
        <w:rPr>
          <w:rFonts w:eastAsia="Calibri"/>
          <w:szCs w:val="22"/>
        </w:rPr>
      </w:pPr>
      <w:r w:rsidRPr="000410AE">
        <w:rPr>
          <w:rFonts w:eastAsia="Calibri"/>
          <w:b/>
          <w:szCs w:val="22"/>
        </w:rPr>
        <w:t xml:space="preserve">1D: </w:t>
      </w:r>
      <w:r w:rsidRPr="000410AE">
        <w:rPr>
          <w:rFonts w:eastAsia="Calibri"/>
          <w:szCs w:val="22"/>
        </w:rPr>
        <w:t>Funnel Plot illustrating the risk of Enterobacter infection with chlorhexidine bathing versus comparator. Dashed line indicates pooled relative risk of 0.75.</w:t>
      </w:r>
    </w:p>
    <w:p w:rsidR="0091628B" w:rsidRPr="000410AE" w:rsidRDefault="0091628B" w:rsidP="0091628B">
      <w:pPr>
        <w:pStyle w:val="Standarduseruser"/>
        <w:spacing w:line="480" w:lineRule="auto"/>
        <w:rPr>
          <w:rFonts w:eastAsia="Calibri"/>
          <w:szCs w:val="22"/>
        </w:rPr>
      </w:pPr>
      <w:r w:rsidRPr="000410AE">
        <w:rPr>
          <w:rFonts w:eastAsia="Calibri"/>
          <w:noProof/>
          <w:szCs w:val="22"/>
          <w:lang w:eastAsia="en-US" w:bidi="ar-SA"/>
        </w:rPr>
        <w:drawing>
          <wp:inline distT="0" distB="0" distL="0" distR="0" wp14:anchorId="2885C82F" wp14:editId="2F5D8BDE">
            <wp:extent cx="4114800" cy="2743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4114800" cy="2743200"/>
                    </a:xfrm>
                    <a:prstGeom prst="rect">
                      <a:avLst/>
                    </a:prstGeom>
                  </pic:spPr>
                </pic:pic>
              </a:graphicData>
            </a:graphic>
          </wp:inline>
        </w:drawing>
      </w:r>
    </w:p>
    <w:p w:rsidR="0091628B" w:rsidRPr="000410AE" w:rsidRDefault="0091628B" w:rsidP="0091628B">
      <w:pPr>
        <w:pStyle w:val="Standarduseruser"/>
        <w:spacing w:line="480" w:lineRule="auto"/>
        <w:rPr>
          <w:rFonts w:eastAsia="Calibri"/>
          <w:szCs w:val="22"/>
        </w:rPr>
      </w:pPr>
    </w:p>
    <w:p w:rsidR="0091628B" w:rsidRPr="000410AE" w:rsidRDefault="0091628B" w:rsidP="0091628B">
      <w:pPr>
        <w:pStyle w:val="Standarduseruser"/>
        <w:spacing w:line="480" w:lineRule="auto"/>
        <w:rPr>
          <w:rFonts w:eastAsia="Calibri"/>
          <w:b/>
          <w:szCs w:val="22"/>
        </w:rPr>
      </w:pPr>
    </w:p>
    <w:p w:rsidR="0091628B" w:rsidRPr="000410AE" w:rsidRDefault="0091628B" w:rsidP="0091628B">
      <w:pPr>
        <w:pStyle w:val="Standarduseruser"/>
        <w:spacing w:line="480" w:lineRule="auto"/>
        <w:rPr>
          <w:rFonts w:eastAsia="Calibri"/>
          <w:szCs w:val="22"/>
        </w:rPr>
      </w:pPr>
      <w:r w:rsidRPr="000410AE">
        <w:rPr>
          <w:rFonts w:eastAsia="Calibri"/>
          <w:b/>
          <w:szCs w:val="22"/>
        </w:rPr>
        <w:lastRenderedPageBreak/>
        <w:t xml:space="preserve">1E: </w:t>
      </w:r>
      <w:r w:rsidRPr="000410AE">
        <w:rPr>
          <w:rFonts w:eastAsia="Calibri"/>
          <w:szCs w:val="22"/>
        </w:rPr>
        <w:t>Funnel Plot illustrating the risk of Pseudomonas infection with chlorhexidine bathing versus comparator. Dashed line indicates pooled relative risk of 0.92.</w:t>
      </w:r>
    </w:p>
    <w:p w:rsidR="0091628B" w:rsidRPr="000410AE" w:rsidRDefault="0091628B" w:rsidP="0091628B">
      <w:pPr>
        <w:pStyle w:val="Standarduseruser"/>
        <w:spacing w:line="480" w:lineRule="auto"/>
        <w:rPr>
          <w:rFonts w:eastAsia="Calibri"/>
          <w:szCs w:val="22"/>
        </w:rPr>
      </w:pPr>
      <w:r w:rsidRPr="000410AE">
        <w:rPr>
          <w:rFonts w:eastAsia="Calibri"/>
          <w:noProof/>
          <w:szCs w:val="22"/>
          <w:lang w:eastAsia="en-US" w:bidi="ar-SA"/>
        </w:rPr>
        <w:drawing>
          <wp:inline distT="0" distB="0" distL="0" distR="0" wp14:anchorId="32CB807E" wp14:editId="440D2822">
            <wp:extent cx="4114800" cy="2743200"/>
            <wp:effectExtent l="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114800" cy="2743200"/>
                    </a:xfrm>
                    <a:prstGeom prst="rect">
                      <a:avLst/>
                    </a:prstGeom>
                  </pic:spPr>
                </pic:pic>
              </a:graphicData>
            </a:graphic>
          </wp:inline>
        </w:drawing>
      </w:r>
    </w:p>
    <w:p w:rsidR="0091628B" w:rsidRPr="000410AE" w:rsidRDefault="0091628B" w:rsidP="0091628B">
      <w:pPr>
        <w:pStyle w:val="Standarduseruser"/>
        <w:spacing w:line="480" w:lineRule="auto"/>
        <w:rPr>
          <w:rFonts w:eastAsia="Calibri"/>
          <w:szCs w:val="22"/>
        </w:rPr>
      </w:pPr>
    </w:p>
    <w:p w:rsidR="00544435" w:rsidRPr="0091628B" w:rsidRDefault="0091628B" w:rsidP="0091628B"/>
    <w:sectPr w:rsidR="00544435" w:rsidRPr="0091628B" w:rsidSect="007A05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835"/>
    <w:rsid w:val="000B4C55"/>
    <w:rsid w:val="00161ACC"/>
    <w:rsid w:val="004C5E1D"/>
    <w:rsid w:val="00507E20"/>
    <w:rsid w:val="005F0835"/>
    <w:rsid w:val="006A23B9"/>
    <w:rsid w:val="008D2A65"/>
    <w:rsid w:val="0091628B"/>
    <w:rsid w:val="00C85C03"/>
    <w:rsid w:val="00FC2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98B92D-FCF8-4B99-8AFA-E86B6021D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62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6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useruser">
    <w:name w:val="Standard (user) (user)"/>
    <w:rsid w:val="0091628B"/>
    <w:pPr>
      <w:suppressAutoHyphens/>
      <w:autoSpaceDN w:val="0"/>
      <w:spacing w:after="0" w:line="240" w:lineRule="auto"/>
      <w:textAlignment w:val="baseline"/>
    </w:pPr>
    <w:rPr>
      <w:rFonts w:ascii="Times New Roman" w:eastAsia="Arial" w:hAnsi="Times New Roman" w:cs="Times New Roman"/>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4536</Words>
  <Characters>25857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nm-edits</dc:creator>
  <cp:keywords/>
  <dc:description/>
  <cp:lastModifiedBy>nm-edits</cp:lastModifiedBy>
  <cp:revision>2</cp:revision>
  <dcterms:created xsi:type="dcterms:W3CDTF">2019-01-29T00:00:00Z</dcterms:created>
  <dcterms:modified xsi:type="dcterms:W3CDTF">2019-01-29T00:02:00Z</dcterms:modified>
</cp:coreProperties>
</file>