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1BEEE" w14:textId="5B2949F0" w:rsidR="00BB27E3" w:rsidRDefault="00BB27E3" w:rsidP="00BB27E3">
      <w:pPr>
        <w:spacing w:line="240" w:lineRule="auto"/>
        <w:rPr>
          <w:rFonts w:cstheme="minorHAnsi"/>
          <w:b/>
          <w:sz w:val="24"/>
          <w:szCs w:val="24"/>
        </w:rPr>
      </w:pPr>
      <w:r>
        <w:rPr>
          <w:rFonts w:cstheme="minorHAnsi"/>
          <w:b/>
          <w:sz w:val="24"/>
          <w:szCs w:val="24"/>
        </w:rPr>
        <w:t>SUPPLEMENT</w:t>
      </w:r>
      <w:r w:rsidR="00D06FA1">
        <w:rPr>
          <w:rFonts w:cstheme="minorHAnsi"/>
          <w:b/>
          <w:sz w:val="24"/>
          <w:szCs w:val="24"/>
        </w:rPr>
        <w:t>AL MATERIAL</w:t>
      </w:r>
    </w:p>
    <w:p w14:paraId="27E7DDCE" w14:textId="551F5885" w:rsidR="0086402D" w:rsidRPr="0086402D" w:rsidRDefault="0086402D" w:rsidP="0086402D">
      <w:pPr>
        <w:spacing w:line="240" w:lineRule="auto"/>
        <w:rPr>
          <w:rFonts w:cstheme="minorHAnsi"/>
          <w:b/>
          <w:sz w:val="24"/>
          <w:szCs w:val="24"/>
        </w:rPr>
      </w:pPr>
      <w:r>
        <w:rPr>
          <w:rFonts w:cstheme="minorHAnsi"/>
          <w:b/>
          <w:sz w:val="24"/>
          <w:szCs w:val="24"/>
        </w:rPr>
        <w:t>Table S.1</w:t>
      </w:r>
      <w:r w:rsidRPr="0086402D">
        <w:rPr>
          <w:rFonts w:cstheme="minorHAnsi"/>
          <w:b/>
          <w:sz w:val="24"/>
          <w:szCs w:val="24"/>
        </w:rPr>
        <w:t xml:space="preserve">. </w:t>
      </w:r>
      <w:r w:rsidRPr="0086402D">
        <w:rPr>
          <w:rFonts w:cstheme="minorHAnsi"/>
          <w:sz w:val="24"/>
          <w:szCs w:val="24"/>
        </w:rPr>
        <w:t>Carbapenemase Genes in Carbapenemase-Producing Admission Isolates</w:t>
      </w:r>
    </w:p>
    <w:tbl>
      <w:tblPr>
        <w:tblStyle w:val="PlainTable1"/>
        <w:tblW w:w="8095" w:type="dxa"/>
        <w:tblLayout w:type="fixed"/>
        <w:tblLook w:val="04A0" w:firstRow="1" w:lastRow="0" w:firstColumn="1" w:lastColumn="0" w:noHBand="0" w:noVBand="1"/>
      </w:tblPr>
      <w:tblGrid>
        <w:gridCol w:w="4315"/>
        <w:gridCol w:w="1890"/>
        <w:gridCol w:w="1890"/>
      </w:tblGrid>
      <w:tr w:rsidR="0086402D" w:rsidRPr="0086402D" w14:paraId="2CFD377D" w14:textId="77777777" w:rsidTr="00823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0534FDEF" w14:textId="77777777" w:rsidR="0086402D" w:rsidRPr="0086402D" w:rsidRDefault="0086402D" w:rsidP="0086402D">
            <w:pPr>
              <w:rPr>
                <w:rFonts w:cstheme="minorHAnsi"/>
                <w:sz w:val="20"/>
                <w:szCs w:val="20"/>
              </w:rPr>
            </w:pPr>
            <w:r w:rsidRPr="0086402D">
              <w:rPr>
                <w:rFonts w:cstheme="minorHAnsi"/>
                <w:sz w:val="20"/>
                <w:szCs w:val="20"/>
              </w:rPr>
              <w:t>Ambler Class Carbapenemase and Overall Percentage (%)</w:t>
            </w:r>
          </w:p>
        </w:tc>
        <w:tc>
          <w:tcPr>
            <w:tcW w:w="1890" w:type="dxa"/>
            <w:tcBorders>
              <w:left w:val="nil"/>
              <w:right w:val="nil"/>
            </w:tcBorders>
          </w:tcPr>
          <w:p w14:paraId="5CFE61FC" w14:textId="77777777" w:rsidR="0086402D" w:rsidRPr="0086402D" w:rsidRDefault="0086402D" w:rsidP="0086402D">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Species</w:t>
            </w:r>
          </w:p>
        </w:tc>
        <w:tc>
          <w:tcPr>
            <w:tcW w:w="1890" w:type="dxa"/>
            <w:tcBorders>
              <w:left w:val="nil"/>
              <w:right w:val="single" w:sz="4" w:space="0" w:color="BFBFBF" w:themeColor="background1" w:themeShade="BF"/>
            </w:tcBorders>
          </w:tcPr>
          <w:p w14:paraId="2601E82D" w14:textId="77777777" w:rsidR="0086402D" w:rsidRPr="0086402D" w:rsidRDefault="0086402D" w:rsidP="0086402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Number of Isolates with Molecularly-Confirmed Carbapenemases*</w:t>
            </w:r>
          </w:p>
          <w:p w14:paraId="3234C1D8" w14:textId="77777777" w:rsidR="0086402D" w:rsidRPr="0086402D" w:rsidRDefault="0086402D" w:rsidP="0086402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(n=23)</w:t>
            </w:r>
          </w:p>
        </w:tc>
      </w:tr>
      <w:tr w:rsidR="0086402D" w:rsidRPr="0086402D" w14:paraId="33CAE87C"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09467CD9" w14:textId="77777777" w:rsidR="0086402D" w:rsidRPr="0086402D" w:rsidRDefault="0086402D" w:rsidP="0086402D">
            <w:pPr>
              <w:rPr>
                <w:rFonts w:cstheme="minorHAnsi"/>
                <w:sz w:val="20"/>
                <w:szCs w:val="20"/>
              </w:rPr>
            </w:pPr>
            <w:r w:rsidRPr="0086402D">
              <w:rPr>
                <w:rFonts w:cstheme="minorHAnsi"/>
                <w:sz w:val="20"/>
                <w:szCs w:val="20"/>
              </w:rPr>
              <w:t xml:space="preserve">Class A – </w:t>
            </w:r>
            <w:r w:rsidRPr="0086402D">
              <w:rPr>
                <w:rFonts w:cstheme="minorHAnsi"/>
                <w:sz w:val="24"/>
                <w:szCs w:val="24"/>
              </w:rPr>
              <w:t>KPC (52%)</w:t>
            </w:r>
          </w:p>
        </w:tc>
        <w:tc>
          <w:tcPr>
            <w:tcW w:w="1890" w:type="dxa"/>
            <w:tcBorders>
              <w:left w:val="nil"/>
              <w:right w:val="nil"/>
            </w:tcBorders>
          </w:tcPr>
          <w:p w14:paraId="70303A6A" w14:textId="77777777" w:rsidR="0086402D" w:rsidRPr="0086402D" w:rsidRDefault="0086402D" w:rsidP="0086402D">
            <w:pPr>
              <w:spacing w:after="120"/>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Klebsiella pneumoniae</w:t>
            </w:r>
          </w:p>
        </w:tc>
        <w:tc>
          <w:tcPr>
            <w:tcW w:w="1890" w:type="dxa"/>
            <w:tcBorders>
              <w:left w:val="nil"/>
              <w:right w:val="single" w:sz="4" w:space="0" w:color="BFBFBF" w:themeColor="background1" w:themeShade="BF"/>
            </w:tcBorders>
          </w:tcPr>
          <w:p w14:paraId="053DED72"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8</w:t>
            </w:r>
          </w:p>
        </w:tc>
      </w:tr>
      <w:tr w:rsidR="0086402D" w:rsidRPr="0086402D" w14:paraId="5FA37E4F"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0A45AE1F" w14:textId="77777777" w:rsidR="0086402D" w:rsidRPr="0086402D" w:rsidRDefault="0086402D" w:rsidP="0086402D">
            <w:pPr>
              <w:rPr>
                <w:rFonts w:cstheme="minorHAnsi"/>
                <w:sz w:val="20"/>
                <w:szCs w:val="20"/>
              </w:rPr>
            </w:pPr>
          </w:p>
        </w:tc>
        <w:tc>
          <w:tcPr>
            <w:tcW w:w="1890" w:type="dxa"/>
            <w:tcBorders>
              <w:left w:val="nil"/>
              <w:right w:val="nil"/>
            </w:tcBorders>
          </w:tcPr>
          <w:p w14:paraId="2E35A345"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Enterobacter cloacae</w:t>
            </w:r>
          </w:p>
        </w:tc>
        <w:tc>
          <w:tcPr>
            <w:tcW w:w="1890" w:type="dxa"/>
            <w:tcBorders>
              <w:left w:val="nil"/>
              <w:right w:val="single" w:sz="4" w:space="0" w:color="BFBFBF" w:themeColor="background1" w:themeShade="BF"/>
            </w:tcBorders>
          </w:tcPr>
          <w:p w14:paraId="5AC556E5"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2</w:t>
            </w:r>
          </w:p>
        </w:tc>
      </w:tr>
      <w:tr w:rsidR="0086402D" w:rsidRPr="0086402D" w14:paraId="336E3306"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1E3184DA" w14:textId="77777777" w:rsidR="0086402D" w:rsidRPr="0086402D" w:rsidRDefault="0086402D" w:rsidP="0086402D">
            <w:pPr>
              <w:rPr>
                <w:rFonts w:cstheme="minorHAnsi"/>
                <w:sz w:val="20"/>
                <w:szCs w:val="20"/>
              </w:rPr>
            </w:pPr>
          </w:p>
        </w:tc>
        <w:tc>
          <w:tcPr>
            <w:tcW w:w="1890" w:type="dxa"/>
            <w:tcBorders>
              <w:left w:val="nil"/>
              <w:right w:val="nil"/>
            </w:tcBorders>
          </w:tcPr>
          <w:p w14:paraId="6CC2651A"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Escherichia coli</w:t>
            </w:r>
          </w:p>
        </w:tc>
        <w:tc>
          <w:tcPr>
            <w:tcW w:w="1890" w:type="dxa"/>
            <w:tcBorders>
              <w:left w:val="nil"/>
              <w:right w:val="single" w:sz="4" w:space="0" w:color="BFBFBF" w:themeColor="background1" w:themeShade="BF"/>
            </w:tcBorders>
          </w:tcPr>
          <w:p w14:paraId="78AD8257"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7A91D13D"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25A84AEB" w14:textId="77777777" w:rsidR="0086402D" w:rsidRPr="0086402D" w:rsidRDefault="0086402D" w:rsidP="0086402D">
            <w:pPr>
              <w:rPr>
                <w:rFonts w:cstheme="minorHAnsi"/>
                <w:sz w:val="20"/>
                <w:szCs w:val="20"/>
              </w:rPr>
            </w:pPr>
          </w:p>
        </w:tc>
        <w:tc>
          <w:tcPr>
            <w:tcW w:w="1890" w:type="dxa"/>
            <w:tcBorders>
              <w:left w:val="nil"/>
              <w:right w:val="nil"/>
            </w:tcBorders>
          </w:tcPr>
          <w:p w14:paraId="444ED5C3"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Citrobacter amalonaticus</w:t>
            </w:r>
          </w:p>
        </w:tc>
        <w:tc>
          <w:tcPr>
            <w:tcW w:w="1890" w:type="dxa"/>
            <w:tcBorders>
              <w:left w:val="nil"/>
              <w:right w:val="single" w:sz="4" w:space="0" w:color="BFBFBF" w:themeColor="background1" w:themeShade="BF"/>
            </w:tcBorders>
          </w:tcPr>
          <w:p w14:paraId="1F6B831E"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5AB3A455"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47150BF8" w14:textId="77777777" w:rsidR="0086402D" w:rsidRPr="0086402D" w:rsidRDefault="0086402D" w:rsidP="0086402D">
            <w:pPr>
              <w:rPr>
                <w:rFonts w:cstheme="minorHAnsi"/>
                <w:sz w:val="20"/>
                <w:szCs w:val="20"/>
              </w:rPr>
            </w:pPr>
            <w:r w:rsidRPr="0086402D">
              <w:rPr>
                <w:rFonts w:cstheme="minorHAnsi"/>
                <w:sz w:val="20"/>
                <w:szCs w:val="20"/>
              </w:rPr>
              <w:t xml:space="preserve">Class B – </w:t>
            </w:r>
            <w:r w:rsidRPr="0086402D">
              <w:rPr>
                <w:rFonts w:cstheme="minorHAnsi"/>
                <w:sz w:val="24"/>
                <w:szCs w:val="24"/>
              </w:rPr>
              <w:t>NDM (9%)</w:t>
            </w:r>
          </w:p>
          <w:p w14:paraId="0D78F7D9" w14:textId="77777777" w:rsidR="0086402D" w:rsidRPr="0086402D" w:rsidRDefault="0086402D" w:rsidP="0086402D">
            <w:pPr>
              <w:rPr>
                <w:rFonts w:cstheme="minorHAnsi"/>
                <w:sz w:val="20"/>
                <w:szCs w:val="20"/>
              </w:rPr>
            </w:pPr>
          </w:p>
        </w:tc>
        <w:tc>
          <w:tcPr>
            <w:tcW w:w="1890" w:type="dxa"/>
            <w:tcBorders>
              <w:left w:val="nil"/>
              <w:right w:val="nil"/>
            </w:tcBorders>
          </w:tcPr>
          <w:p w14:paraId="74C8EFA2"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Klebsiella pneumoniae</w:t>
            </w:r>
          </w:p>
        </w:tc>
        <w:tc>
          <w:tcPr>
            <w:tcW w:w="1890" w:type="dxa"/>
            <w:tcBorders>
              <w:left w:val="nil"/>
              <w:right w:val="single" w:sz="4" w:space="0" w:color="BFBFBF" w:themeColor="background1" w:themeShade="BF"/>
            </w:tcBorders>
          </w:tcPr>
          <w:p w14:paraId="5B9E15B5"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2CD60AEA"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38B43A14" w14:textId="77777777" w:rsidR="0086402D" w:rsidRPr="0086402D" w:rsidRDefault="0086402D" w:rsidP="0086402D">
            <w:pPr>
              <w:rPr>
                <w:rFonts w:cstheme="minorHAnsi"/>
                <w:sz w:val="20"/>
                <w:szCs w:val="20"/>
              </w:rPr>
            </w:pPr>
          </w:p>
        </w:tc>
        <w:tc>
          <w:tcPr>
            <w:tcW w:w="1890" w:type="dxa"/>
            <w:tcBorders>
              <w:left w:val="nil"/>
              <w:right w:val="nil"/>
            </w:tcBorders>
          </w:tcPr>
          <w:p w14:paraId="7524EC00"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Citrobacter amalonaticus</w:t>
            </w:r>
          </w:p>
        </w:tc>
        <w:tc>
          <w:tcPr>
            <w:tcW w:w="1890" w:type="dxa"/>
            <w:tcBorders>
              <w:left w:val="nil"/>
              <w:right w:val="single" w:sz="4" w:space="0" w:color="BFBFBF" w:themeColor="background1" w:themeShade="BF"/>
            </w:tcBorders>
          </w:tcPr>
          <w:p w14:paraId="247EBAEE"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5C8B8E28"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2A6D6D4E" w14:textId="77777777" w:rsidR="0086402D" w:rsidRPr="0086402D" w:rsidRDefault="0086402D" w:rsidP="0086402D">
            <w:pPr>
              <w:rPr>
                <w:rFonts w:cstheme="minorHAnsi"/>
                <w:sz w:val="20"/>
                <w:szCs w:val="20"/>
              </w:rPr>
            </w:pPr>
            <w:r w:rsidRPr="0086402D">
              <w:rPr>
                <w:rFonts w:cstheme="minorHAnsi"/>
                <w:sz w:val="20"/>
                <w:szCs w:val="20"/>
              </w:rPr>
              <w:t xml:space="preserve">              – </w:t>
            </w:r>
            <w:r w:rsidRPr="0086402D">
              <w:rPr>
                <w:rFonts w:cstheme="minorHAnsi"/>
                <w:sz w:val="24"/>
                <w:szCs w:val="24"/>
              </w:rPr>
              <w:t>VIM (4%)</w:t>
            </w:r>
          </w:p>
          <w:p w14:paraId="430708F3" w14:textId="77777777" w:rsidR="0086402D" w:rsidRPr="0086402D" w:rsidRDefault="0086402D" w:rsidP="0086402D">
            <w:pPr>
              <w:rPr>
                <w:rFonts w:cstheme="minorHAnsi"/>
                <w:sz w:val="20"/>
                <w:szCs w:val="20"/>
              </w:rPr>
            </w:pPr>
          </w:p>
        </w:tc>
        <w:tc>
          <w:tcPr>
            <w:tcW w:w="1890" w:type="dxa"/>
            <w:tcBorders>
              <w:left w:val="nil"/>
              <w:right w:val="nil"/>
            </w:tcBorders>
          </w:tcPr>
          <w:p w14:paraId="7FEF3448"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Pseudomonas</w:t>
            </w:r>
          </w:p>
          <w:p w14:paraId="16B59E7A"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aeruginosa</w:t>
            </w:r>
          </w:p>
        </w:tc>
        <w:tc>
          <w:tcPr>
            <w:tcW w:w="1890" w:type="dxa"/>
            <w:tcBorders>
              <w:left w:val="nil"/>
              <w:right w:val="single" w:sz="4" w:space="0" w:color="BFBFBF" w:themeColor="background1" w:themeShade="BF"/>
            </w:tcBorders>
          </w:tcPr>
          <w:p w14:paraId="508D6C96"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423EF164"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70D9824C" w14:textId="77777777" w:rsidR="0086402D" w:rsidRPr="0086402D" w:rsidRDefault="0086402D" w:rsidP="0086402D">
            <w:pPr>
              <w:rPr>
                <w:rFonts w:cstheme="minorHAnsi"/>
                <w:sz w:val="20"/>
                <w:szCs w:val="20"/>
              </w:rPr>
            </w:pPr>
            <w:r w:rsidRPr="0086402D">
              <w:rPr>
                <w:rFonts w:cstheme="minorHAnsi"/>
                <w:sz w:val="20"/>
                <w:szCs w:val="20"/>
              </w:rPr>
              <w:t xml:space="preserve">Class D – </w:t>
            </w:r>
            <w:r w:rsidRPr="0086402D">
              <w:rPr>
                <w:rFonts w:cstheme="minorHAnsi"/>
                <w:sz w:val="24"/>
                <w:szCs w:val="24"/>
              </w:rPr>
              <w:t>OXA-23 (9%)</w:t>
            </w:r>
          </w:p>
        </w:tc>
        <w:tc>
          <w:tcPr>
            <w:tcW w:w="1890" w:type="dxa"/>
            <w:tcBorders>
              <w:left w:val="nil"/>
              <w:right w:val="nil"/>
            </w:tcBorders>
          </w:tcPr>
          <w:p w14:paraId="6368A1C8"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Acinetobacter baumannii</w:t>
            </w:r>
          </w:p>
        </w:tc>
        <w:tc>
          <w:tcPr>
            <w:tcW w:w="1890" w:type="dxa"/>
            <w:tcBorders>
              <w:left w:val="nil"/>
              <w:right w:val="single" w:sz="4" w:space="0" w:color="BFBFBF" w:themeColor="background1" w:themeShade="BF"/>
            </w:tcBorders>
          </w:tcPr>
          <w:p w14:paraId="40135F61"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199F39BF"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03BF6B6A" w14:textId="77777777" w:rsidR="0086402D" w:rsidRPr="0086402D" w:rsidRDefault="0086402D" w:rsidP="0086402D">
            <w:pPr>
              <w:rPr>
                <w:rFonts w:cstheme="minorHAnsi"/>
                <w:sz w:val="20"/>
                <w:szCs w:val="20"/>
              </w:rPr>
            </w:pPr>
          </w:p>
        </w:tc>
        <w:tc>
          <w:tcPr>
            <w:tcW w:w="1890" w:type="dxa"/>
            <w:tcBorders>
              <w:left w:val="nil"/>
              <w:right w:val="nil"/>
            </w:tcBorders>
          </w:tcPr>
          <w:p w14:paraId="61886C11"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Acinetobacter radioresistans</w:t>
            </w:r>
          </w:p>
        </w:tc>
        <w:tc>
          <w:tcPr>
            <w:tcW w:w="1890" w:type="dxa"/>
            <w:tcBorders>
              <w:left w:val="nil"/>
              <w:right w:val="single" w:sz="4" w:space="0" w:color="BFBFBF" w:themeColor="background1" w:themeShade="BF"/>
            </w:tcBorders>
          </w:tcPr>
          <w:p w14:paraId="49A6A89C"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7179E279"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0C771C65" w14:textId="77777777" w:rsidR="0086402D" w:rsidRPr="0086402D" w:rsidRDefault="0086402D" w:rsidP="0086402D">
            <w:pPr>
              <w:rPr>
                <w:rFonts w:cstheme="minorHAnsi"/>
                <w:sz w:val="20"/>
                <w:szCs w:val="20"/>
              </w:rPr>
            </w:pPr>
            <w:r w:rsidRPr="0086402D">
              <w:rPr>
                <w:rFonts w:cstheme="minorHAnsi"/>
                <w:sz w:val="20"/>
                <w:szCs w:val="20"/>
              </w:rPr>
              <w:t xml:space="preserve">               – </w:t>
            </w:r>
            <w:r w:rsidRPr="0086402D">
              <w:rPr>
                <w:rFonts w:cstheme="minorHAnsi"/>
                <w:sz w:val="24"/>
                <w:szCs w:val="24"/>
              </w:rPr>
              <w:t>OXA-24 (9%)</w:t>
            </w:r>
          </w:p>
        </w:tc>
        <w:tc>
          <w:tcPr>
            <w:tcW w:w="1890" w:type="dxa"/>
            <w:tcBorders>
              <w:left w:val="nil"/>
              <w:right w:val="nil"/>
            </w:tcBorders>
          </w:tcPr>
          <w:p w14:paraId="50891785"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Acinetobacter baumannii</w:t>
            </w:r>
          </w:p>
        </w:tc>
        <w:tc>
          <w:tcPr>
            <w:tcW w:w="1890" w:type="dxa"/>
            <w:tcBorders>
              <w:left w:val="nil"/>
              <w:right w:val="single" w:sz="4" w:space="0" w:color="BFBFBF" w:themeColor="background1" w:themeShade="BF"/>
            </w:tcBorders>
          </w:tcPr>
          <w:p w14:paraId="36583870"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2</w:t>
            </w:r>
          </w:p>
        </w:tc>
      </w:tr>
      <w:tr w:rsidR="0086402D" w:rsidRPr="0086402D" w14:paraId="33B1643A" w14:textId="77777777" w:rsidTr="00823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6BF2283A" w14:textId="77777777" w:rsidR="0086402D" w:rsidRPr="0086402D" w:rsidRDefault="0086402D" w:rsidP="0086402D">
            <w:pPr>
              <w:rPr>
                <w:rFonts w:cstheme="minorHAnsi"/>
                <w:sz w:val="20"/>
                <w:szCs w:val="20"/>
              </w:rPr>
            </w:pPr>
            <w:r w:rsidRPr="0086402D">
              <w:rPr>
                <w:rFonts w:cstheme="minorHAnsi"/>
                <w:sz w:val="20"/>
                <w:szCs w:val="20"/>
              </w:rPr>
              <w:t xml:space="preserve">               – </w:t>
            </w:r>
            <w:r w:rsidRPr="0086402D">
              <w:rPr>
                <w:rFonts w:cstheme="minorHAnsi"/>
                <w:sz w:val="24"/>
                <w:szCs w:val="24"/>
              </w:rPr>
              <w:t>OXA-48-like (4%)</w:t>
            </w:r>
          </w:p>
        </w:tc>
        <w:tc>
          <w:tcPr>
            <w:tcW w:w="1890" w:type="dxa"/>
            <w:tcBorders>
              <w:left w:val="nil"/>
              <w:right w:val="nil"/>
            </w:tcBorders>
          </w:tcPr>
          <w:p w14:paraId="43FE250B" w14:textId="77777777" w:rsidR="0086402D" w:rsidRPr="0086402D" w:rsidRDefault="0086402D" w:rsidP="0086402D">
            <w:pPr>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6402D">
              <w:rPr>
                <w:rFonts w:cstheme="minorHAnsi"/>
                <w:i/>
                <w:sz w:val="20"/>
                <w:szCs w:val="20"/>
              </w:rPr>
              <w:t>Klebsiella pneumoniae</w:t>
            </w:r>
          </w:p>
        </w:tc>
        <w:tc>
          <w:tcPr>
            <w:tcW w:w="1890" w:type="dxa"/>
            <w:tcBorders>
              <w:left w:val="nil"/>
              <w:right w:val="single" w:sz="4" w:space="0" w:color="BFBFBF" w:themeColor="background1" w:themeShade="BF"/>
            </w:tcBorders>
          </w:tcPr>
          <w:p w14:paraId="07DFE719" w14:textId="77777777" w:rsidR="0086402D" w:rsidRPr="0086402D" w:rsidRDefault="0086402D" w:rsidP="0086402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402D">
              <w:rPr>
                <w:rFonts w:cstheme="minorHAnsi"/>
                <w:sz w:val="20"/>
                <w:szCs w:val="20"/>
              </w:rPr>
              <w:t>1</w:t>
            </w:r>
          </w:p>
        </w:tc>
      </w:tr>
      <w:tr w:rsidR="0086402D" w:rsidRPr="0086402D" w14:paraId="60111948" w14:textId="77777777" w:rsidTr="00823A68">
        <w:tc>
          <w:tcPr>
            <w:cnfStyle w:val="001000000000" w:firstRow="0" w:lastRow="0" w:firstColumn="1" w:lastColumn="0" w:oddVBand="0" w:evenVBand="0" w:oddHBand="0" w:evenHBand="0" w:firstRowFirstColumn="0" w:firstRowLastColumn="0" w:lastRowFirstColumn="0" w:lastRowLastColumn="0"/>
            <w:tcW w:w="4315" w:type="dxa"/>
            <w:tcBorders>
              <w:right w:val="nil"/>
            </w:tcBorders>
          </w:tcPr>
          <w:p w14:paraId="375EDD1D" w14:textId="77777777" w:rsidR="0086402D" w:rsidRPr="0086402D" w:rsidRDefault="0086402D" w:rsidP="0086402D">
            <w:pPr>
              <w:rPr>
                <w:rFonts w:cstheme="minorHAnsi"/>
                <w:sz w:val="20"/>
                <w:szCs w:val="20"/>
              </w:rPr>
            </w:pPr>
            <w:r w:rsidRPr="0086402D">
              <w:rPr>
                <w:rFonts w:cstheme="minorHAnsi"/>
                <w:sz w:val="20"/>
                <w:szCs w:val="20"/>
              </w:rPr>
              <w:t xml:space="preserve">Classes B and D – </w:t>
            </w:r>
            <w:r w:rsidRPr="0086402D">
              <w:rPr>
                <w:rFonts w:cstheme="minorHAnsi"/>
                <w:sz w:val="24"/>
                <w:szCs w:val="24"/>
              </w:rPr>
              <w:t>NDM + OXA-48-like (13%)</w:t>
            </w:r>
          </w:p>
        </w:tc>
        <w:tc>
          <w:tcPr>
            <w:tcW w:w="1890" w:type="dxa"/>
            <w:tcBorders>
              <w:left w:val="nil"/>
              <w:right w:val="nil"/>
            </w:tcBorders>
          </w:tcPr>
          <w:p w14:paraId="4D55656B" w14:textId="77777777" w:rsidR="0086402D" w:rsidRPr="0086402D" w:rsidRDefault="0086402D" w:rsidP="0086402D">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6402D">
              <w:rPr>
                <w:rFonts w:cstheme="minorHAnsi"/>
                <w:i/>
                <w:sz w:val="20"/>
                <w:szCs w:val="20"/>
              </w:rPr>
              <w:t>Klebsiella pneumoniae</w:t>
            </w:r>
          </w:p>
        </w:tc>
        <w:tc>
          <w:tcPr>
            <w:tcW w:w="1890" w:type="dxa"/>
            <w:tcBorders>
              <w:left w:val="nil"/>
              <w:right w:val="single" w:sz="4" w:space="0" w:color="BFBFBF" w:themeColor="background1" w:themeShade="BF"/>
            </w:tcBorders>
          </w:tcPr>
          <w:p w14:paraId="6020A970" w14:textId="77777777" w:rsidR="0086402D" w:rsidRPr="0086402D" w:rsidRDefault="0086402D" w:rsidP="0086402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402D">
              <w:rPr>
                <w:rFonts w:cstheme="minorHAnsi"/>
                <w:sz w:val="20"/>
                <w:szCs w:val="20"/>
              </w:rPr>
              <w:t>3</w:t>
            </w:r>
          </w:p>
        </w:tc>
      </w:tr>
    </w:tbl>
    <w:p w14:paraId="0B03D911" w14:textId="77777777" w:rsidR="0086402D" w:rsidRPr="0086402D" w:rsidRDefault="0086402D" w:rsidP="0086402D">
      <w:pPr>
        <w:spacing w:line="480" w:lineRule="auto"/>
        <w:rPr>
          <w:rFonts w:cstheme="minorHAnsi"/>
          <w:sz w:val="24"/>
          <w:szCs w:val="24"/>
        </w:rPr>
        <w:sectPr w:rsidR="0086402D" w:rsidRPr="0086402D" w:rsidSect="00115E92">
          <w:pgSz w:w="12240" w:h="15840" w:code="1"/>
          <w:pgMar w:top="1440" w:right="1440" w:bottom="1440" w:left="1440" w:header="720" w:footer="720" w:gutter="0"/>
          <w:lnNumType w:countBy="1" w:restart="continuous"/>
          <w:cols w:space="720"/>
          <w:docGrid w:linePitch="360"/>
        </w:sectPr>
      </w:pPr>
      <w:r w:rsidRPr="0086402D">
        <w:rPr>
          <w:rFonts w:cstheme="minorHAnsi"/>
          <w:b/>
          <w:sz w:val="24"/>
          <w:szCs w:val="24"/>
        </w:rPr>
        <w:t xml:space="preserve">* </w:t>
      </w:r>
      <w:r w:rsidRPr="0086402D">
        <w:rPr>
          <w:rFonts w:cstheme="minorHAnsi"/>
          <w:sz w:val="24"/>
          <w:szCs w:val="24"/>
        </w:rPr>
        <w:t xml:space="preserve">37 isolates were positive for carbapenemase production by the modified carbapenem inactivation method (mCIM) test and identified as carbapenemase-producing organisms (CPOs), of which 23 were positive for one or more carbapenemase genes on the CheckPoints assay.   The disposition of the 14 CPO isolates without confirmed carbapenemases based upon </w:t>
      </w:r>
      <w:r w:rsidRPr="0086402D">
        <w:rPr>
          <w:rFonts w:eastAsiaTheme="minorEastAsia" w:cstheme="minorHAnsi"/>
          <w:sz w:val="24"/>
          <w:szCs w:val="24"/>
        </w:rPr>
        <w:t xml:space="preserve">Check-MDR CT103XL assay results </w:t>
      </w:r>
      <w:r w:rsidRPr="0086402D">
        <w:rPr>
          <w:rFonts w:cstheme="minorHAnsi"/>
          <w:sz w:val="24"/>
          <w:szCs w:val="24"/>
        </w:rPr>
        <w:t xml:space="preserve">included: </w:t>
      </w:r>
      <w:r w:rsidRPr="0086402D">
        <w:rPr>
          <w:rFonts w:cstheme="minorHAnsi"/>
          <w:i/>
          <w:sz w:val="24"/>
          <w:szCs w:val="24"/>
        </w:rPr>
        <w:t>Enterobacter cloacae</w:t>
      </w:r>
      <w:r w:rsidRPr="0086402D">
        <w:rPr>
          <w:rFonts w:cstheme="minorHAnsi"/>
          <w:sz w:val="24"/>
          <w:szCs w:val="24"/>
        </w:rPr>
        <w:t xml:space="preserve"> (4; all AmpC-positive); </w:t>
      </w:r>
      <w:r w:rsidRPr="0086402D">
        <w:rPr>
          <w:rFonts w:cstheme="minorHAnsi"/>
          <w:i/>
          <w:sz w:val="24"/>
          <w:szCs w:val="24"/>
        </w:rPr>
        <w:t>Acinetobacter baumannii</w:t>
      </w:r>
      <w:r w:rsidRPr="0086402D">
        <w:rPr>
          <w:rFonts w:cstheme="minorHAnsi"/>
          <w:sz w:val="24"/>
          <w:szCs w:val="24"/>
        </w:rPr>
        <w:t xml:space="preserve"> (4); </w:t>
      </w:r>
      <w:r w:rsidRPr="0086402D">
        <w:rPr>
          <w:rFonts w:cstheme="minorHAnsi"/>
          <w:i/>
          <w:sz w:val="24"/>
          <w:szCs w:val="24"/>
        </w:rPr>
        <w:t>Citrobacter amalonaticus</w:t>
      </w:r>
      <w:r w:rsidRPr="0086402D">
        <w:rPr>
          <w:rFonts w:cstheme="minorHAnsi"/>
          <w:sz w:val="24"/>
          <w:szCs w:val="24"/>
        </w:rPr>
        <w:t xml:space="preserve"> (1); </w:t>
      </w:r>
      <w:r w:rsidRPr="0086402D">
        <w:rPr>
          <w:rFonts w:cstheme="minorHAnsi"/>
          <w:i/>
          <w:sz w:val="24"/>
          <w:szCs w:val="24"/>
        </w:rPr>
        <w:t>Achromobacter xylosoxidans</w:t>
      </w:r>
      <w:r w:rsidRPr="0086402D">
        <w:rPr>
          <w:rFonts w:cstheme="minorHAnsi"/>
          <w:sz w:val="24"/>
          <w:szCs w:val="24"/>
        </w:rPr>
        <w:t xml:space="preserve"> (1; ESBL-positive); and four unevaluated isolates (</w:t>
      </w:r>
      <w:r w:rsidRPr="0086402D">
        <w:rPr>
          <w:rFonts w:cstheme="minorHAnsi"/>
          <w:i/>
          <w:sz w:val="24"/>
          <w:szCs w:val="24"/>
        </w:rPr>
        <w:t>Aeromonas</w:t>
      </w:r>
      <w:r w:rsidRPr="0086402D">
        <w:rPr>
          <w:rFonts w:cstheme="minorHAnsi"/>
          <w:sz w:val="24"/>
          <w:szCs w:val="24"/>
        </w:rPr>
        <w:t xml:space="preserve"> spp. (2), </w:t>
      </w:r>
      <w:r w:rsidRPr="0086402D">
        <w:rPr>
          <w:rFonts w:cstheme="minorHAnsi"/>
          <w:i/>
          <w:sz w:val="24"/>
          <w:szCs w:val="24"/>
        </w:rPr>
        <w:t>Enterobacter cloacae</w:t>
      </w:r>
      <w:r w:rsidRPr="0086402D">
        <w:rPr>
          <w:rFonts w:cstheme="minorHAnsi"/>
          <w:sz w:val="24"/>
          <w:szCs w:val="24"/>
        </w:rPr>
        <w:t xml:space="preserve"> (1); </w:t>
      </w:r>
      <w:r w:rsidRPr="0086402D">
        <w:rPr>
          <w:rFonts w:cstheme="minorHAnsi"/>
          <w:i/>
          <w:sz w:val="24"/>
          <w:szCs w:val="24"/>
        </w:rPr>
        <w:t>Escherichia coli</w:t>
      </w:r>
      <w:r w:rsidRPr="0086402D">
        <w:rPr>
          <w:rFonts w:cstheme="minorHAnsi"/>
          <w:sz w:val="24"/>
          <w:szCs w:val="24"/>
        </w:rPr>
        <w:t xml:space="preserve"> (1)).</w:t>
      </w:r>
    </w:p>
    <w:p w14:paraId="2B32A81A" w14:textId="02CEE7E8" w:rsidR="00FF7F65" w:rsidRPr="00FF7F65" w:rsidRDefault="00FF7F65" w:rsidP="00FF7F65">
      <w:pPr>
        <w:spacing w:line="240" w:lineRule="auto"/>
        <w:rPr>
          <w:rFonts w:cstheme="minorHAnsi"/>
          <w:b/>
          <w:sz w:val="24"/>
          <w:szCs w:val="24"/>
          <w:u w:val="single"/>
        </w:rPr>
      </w:pPr>
      <w:r>
        <w:rPr>
          <w:rFonts w:cstheme="minorHAnsi"/>
          <w:b/>
          <w:sz w:val="24"/>
          <w:szCs w:val="24"/>
          <w:u w:val="single"/>
        </w:rPr>
        <w:lastRenderedPageBreak/>
        <w:t>CART D</w:t>
      </w:r>
      <w:r w:rsidR="00DA58A7">
        <w:rPr>
          <w:rFonts w:cstheme="minorHAnsi"/>
          <w:b/>
          <w:sz w:val="24"/>
          <w:szCs w:val="24"/>
          <w:u w:val="single"/>
        </w:rPr>
        <w:t>ecision Trees for Predicting CRE</w:t>
      </w:r>
      <w:r>
        <w:rPr>
          <w:rFonts w:cstheme="minorHAnsi"/>
          <w:b/>
          <w:sz w:val="24"/>
          <w:szCs w:val="24"/>
          <w:u w:val="single"/>
        </w:rPr>
        <w:t xml:space="preserve"> Colonization at Hospital Unit Admission</w:t>
      </w:r>
      <w:r w:rsidR="00DA58A7">
        <w:rPr>
          <w:rFonts w:cstheme="minorHAnsi"/>
          <w:b/>
          <w:sz w:val="24"/>
          <w:szCs w:val="24"/>
          <w:u w:val="single"/>
        </w:rPr>
        <w:t>:</w:t>
      </w:r>
    </w:p>
    <w:p w14:paraId="0B4D6EF5" w14:textId="77777777" w:rsidR="00E17DC3" w:rsidRDefault="00DA58A7" w:rsidP="00FF7F65">
      <w:pPr>
        <w:spacing w:line="480" w:lineRule="auto"/>
        <w:rPr>
          <w:rFonts w:cstheme="minorHAnsi"/>
          <w:sz w:val="24"/>
          <w:szCs w:val="24"/>
        </w:rPr>
      </w:pPr>
      <w:r>
        <w:rPr>
          <w:rFonts w:cstheme="minorHAnsi"/>
          <w:sz w:val="24"/>
          <w:szCs w:val="24"/>
        </w:rPr>
        <w:t xml:space="preserve">We fit separate CART decision trees to predict CRE colonization </w:t>
      </w:r>
      <w:r w:rsidR="00507019">
        <w:rPr>
          <w:rFonts w:cstheme="minorHAnsi"/>
          <w:sz w:val="24"/>
          <w:szCs w:val="24"/>
        </w:rPr>
        <w:t xml:space="preserve">because due to differences in underlying organism distribution and/or resources, institutions may wish to target CRE, rather than all CRO, colonization. Moreover, because perirectal swabs may be less sensitive for detecting NFCRO colonization, restricting to the outcome of CRE colonization could reduce outcome misclassification and improve model performance. </w:t>
      </w:r>
    </w:p>
    <w:p w14:paraId="6055324E" w14:textId="77777777" w:rsidR="00E17DC3" w:rsidRDefault="00E17DC3" w:rsidP="00FF7F65">
      <w:pPr>
        <w:spacing w:line="480" w:lineRule="auto"/>
        <w:rPr>
          <w:rFonts w:cstheme="minorHAnsi"/>
          <w:sz w:val="24"/>
          <w:szCs w:val="24"/>
        </w:rPr>
      </w:pPr>
    </w:p>
    <w:p w14:paraId="55388212" w14:textId="13740DCC" w:rsidR="00FF7F65" w:rsidRDefault="00E17DC3" w:rsidP="00FF7F65">
      <w:pPr>
        <w:spacing w:line="480" w:lineRule="auto"/>
        <w:rPr>
          <w:rFonts w:cstheme="minorHAnsi"/>
          <w:sz w:val="24"/>
          <w:szCs w:val="24"/>
        </w:rPr>
      </w:pPr>
      <w:r>
        <w:rPr>
          <w:rFonts w:cstheme="minorHAnsi"/>
          <w:sz w:val="24"/>
          <w:szCs w:val="24"/>
        </w:rPr>
        <w:t>T</w:t>
      </w:r>
      <w:r w:rsidR="00507019">
        <w:rPr>
          <w:rFonts w:cstheme="minorHAnsi"/>
          <w:sz w:val="24"/>
          <w:szCs w:val="24"/>
        </w:rPr>
        <w:t>he decision tree to predict CRE colonization performed similarly, albeit slightly inferior to, the tree for predicting CRO colonization. It included a single variable, prior history of a CRE-positive culture in the six months preceding unit admission. Model performance improved significantly when the tree was tuned to increase sensitivity, but with a large increase in model complexity (12 included variables) and evidence of overfitting (e.g., a 16 percentage-point reduction in discrimination in random forest</w:t>
      </w:r>
      <w:r w:rsidR="00A94A2C">
        <w:rPr>
          <w:rFonts w:cstheme="minorHAnsi"/>
          <w:sz w:val="24"/>
          <w:szCs w:val="24"/>
        </w:rPr>
        <w:t>s</w:t>
      </w:r>
      <w:r w:rsidR="00507019">
        <w:rPr>
          <w:rFonts w:cstheme="minorHAnsi"/>
          <w:sz w:val="24"/>
          <w:szCs w:val="24"/>
        </w:rPr>
        <w:t xml:space="preserve"> analysis compared to the single CART decision tree), suggesting that the tree would not generalize well to external data (Table S.</w:t>
      </w:r>
      <w:r w:rsidR="002517BF">
        <w:rPr>
          <w:rFonts w:cstheme="minorHAnsi"/>
          <w:sz w:val="24"/>
          <w:szCs w:val="24"/>
        </w:rPr>
        <w:t>2</w:t>
      </w:r>
      <w:r w:rsidR="00507019">
        <w:rPr>
          <w:rFonts w:cstheme="minorHAnsi"/>
          <w:sz w:val="24"/>
          <w:szCs w:val="24"/>
        </w:rPr>
        <w:t>).</w:t>
      </w:r>
      <w:r>
        <w:rPr>
          <w:rFonts w:cstheme="minorHAnsi"/>
          <w:sz w:val="24"/>
          <w:szCs w:val="24"/>
        </w:rPr>
        <w:t xml:space="preserve"> R</w:t>
      </w:r>
      <w:r w:rsidR="00507019">
        <w:rPr>
          <w:rFonts w:cstheme="minorHAnsi"/>
          <w:sz w:val="24"/>
          <w:szCs w:val="24"/>
        </w:rPr>
        <w:t>estricting to the ou</w:t>
      </w:r>
      <w:r w:rsidR="00A94A2C">
        <w:rPr>
          <w:rFonts w:cstheme="minorHAnsi"/>
          <w:sz w:val="24"/>
          <w:szCs w:val="24"/>
        </w:rPr>
        <w:t xml:space="preserve">tcome of CRE colonization did </w:t>
      </w:r>
      <w:r w:rsidR="00507019">
        <w:rPr>
          <w:rFonts w:cstheme="minorHAnsi"/>
          <w:sz w:val="24"/>
          <w:szCs w:val="24"/>
        </w:rPr>
        <w:t>not improve model performance relative to prediction models for CRO and CPO colonization.</w:t>
      </w:r>
    </w:p>
    <w:p w14:paraId="3D70DCE8" w14:textId="77777777" w:rsidR="00FF7F65" w:rsidRPr="00FF7F65" w:rsidRDefault="00FF7F65" w:rsidP="00FF7F65">
      <w:pPr>
        <w:spacing w:line="240" w:lineRule="auto"/>
        <w:rPr>
          <w:rFonts w:cstheme="minorHAnsi"/>
          <w:sz w:val="24"/>
          <w:szCs w:val="24"/>
        </w:rPr>
      </w:pPr>
    </w:p>
    <w:p w14:paraId="16B7F9EE" w14:textId="77777777" w:rsidR="00A94A2C" w:rsidRDefault="00A94A2C" w:rsidP="00FF7F65">
      <w:pPr>
        <w:spacing w:line="240" w:lineRule="auto"/>
        <w:rPr>
          <w:rFonts w:cstheme="minorHAnsi"/>
          <w:b/>
          <w:sz w:val="24"/>
          <w:szCs w:val="24"/>
        </w:rPr>
      </w:pPr>
    </w:p>
    <w:p w14:paraId="4F321F55" w14:textId="77777777" w:rsidR="00A94A2C" w:rsidRDefault="00A94A2C" w:rsidP="00FF7F65">
      <w:pPr>
        <w:spacing w:line="240" w:lineRule="auto"/>
        <w:rPr>
          <w:rFonts w:cstheme="minorHAnsi"/>
          <w:b/>
          <w:sz w:val="24"/>
          <w:szCs w:val="24"/>
        </w:rPr>
      </w:pPr>
    </w:p>
    <w:p w14:paraId="4D2D68EB" w14:textId="77777777" w:rsidR="00A94A2C" w:rsidRDefault="00A94A2C" w:rsidP="00FF7F65">
      <w:pPr>
        <w:spacing w:line="240" w:lineRule="auto"/>
        <w:rPr>
          <w:rFonts w:cstheme="minorHAnsi"/>
          <w:b/>
          <w:sz w:val="24"/>
          <w:szCs w:val="24"/>
        </w:rPr>
      </w:pPr>
    </w:p>
    <w:p w14:paraId="164FC098" w14:textId="77777777" w:rsidR="00A94A2C" w:rsidRDefault="00A94A2C" w:rsidP="00FF7F65">
      <w:pPr>
        <w:spacing w:line="240" w:lineRule="auto"/>
        <w:rPr>
          <w:rFonts w:cstheme="minorHAnsi"/>
          <w:b/>
          <w:sz w:val="24"/>
          <w:szCs w:val="24"/>
        </w:rPr>
      </w:pPr>
    </w:p>
    <w:p w14:paraId="18C93EF4" w14:textId="77777777" w:rsidR="00A94A2C" w:rsidRDefault="00A94A2C" w:rsidP="00FF7F65">
      <w:pPr>
        <w:spacing w:line="240" w:lineRule="auto"/>
        <w:rPr>
          <w:rFonts w:cstheme="minorHAnsi"/>
          <w:b/>
          <w:sz w:val="24"/>
          <w:szCs w:val="24"/>
        </w:rPr>
      </w:pPr>
    </w:p>
    <w:p w14:paraId="649D748F" w14:textId="77777777" w:rsidR="00A94A2C" w:rsidRDefault="00A94A2C" w:rsidP="00FF7F65">
      <w:pPr>
        <w:spacing w:line="240" w:lineRule="auto"/>
        <w:rPr>
          <w:rFonts w:cstheme="minorHAnsi"/>
          <w:b/>
          <w:sz w:val="24"/>
          <w:szCs w:val="24"/>
        </w:rPr>
      </w:pPr>
    </w:p>
    <w:p w14:paraId="7847341C" w14:textId="3EFA4886" w:rsidR="00FF7F65" w:rsidRPr="007620DC" w:rsidRDefault="00FF7F65" w:rsidP="00FF7F65">
      <w:pPr>
        <w:spacing w:line="240" w:lineRule="auto"/>
        <w:rPr>
          <w:rFonts w:cstheme="minorHAnsi"/>
          <w:sz w:val="24"/>
          <w:szCs w:val="24"/>
        </w:rPr>
      </w:pPr>
      <w:r w:rsidRPr="007620DC">
        <w:rPr>
          <w:rFonts w:cstheme="minorHAnsi"/>
          <w:b/>
          <w:sz w:val="24"/>
          <w:szCs w:val="24"/>
        </w:rPr>
        <w:lastRenderedPageBreak/>
        <w:t xml:space="preserve">Table </w:t>
      </w:r>
      <w:r w:rsidR="0086402D">
        <w:rPr>
          <w:rFonts w:cstheme="minorHAnsi"/>
          <w:b/>
          <w:sz w:val="24"/>
          <w:szCs w:val="24"/>
        </w:rPr>
        <w:t>S.2</w:t>
      </w:r>
      <w:r w:rsidRPr="007620DC">
        <w:rPr>
          <w:rFonts w:cstheme="minorHAnsi"/>
          <w:b/>
          <w:sz w:val="24"/>
          <w:szCs w:val="24"/>
        </w:rPr>
        <w:t>.</w:t>
      </w:r>
      <w:r>
        <w:rPr>
          <w:rFonts w:cstheme="minorHAnsi"/>
          <w:sz w:val="24"/>
          <w:szCs w:val="24"/>
        </w:rPr>
        <w:t xml:space="preserve">  Performance Metrics of CART Decision Trees for Predicting CRE Colonization at Unit Admission</w:t>
      </w:r>
    </w:p>
    <w:tbl>
      <w:tblPr>
        <w:tblStyle w:val="PlainTable3"/>
        <w:tblW w:w="0" w:type="auto"/>
        <w:tblLook w:val="04A0" w:firstRow="1" w:lastRow="0" w:firstColumn="1" w:lastColumn="0" w:noHBand="0" w:noVBand="1"/>
      </w:tblPr>
      <w:tblGrid>
        <w:gridCol w:w="3505"/>
        <w:gridCol w:w="2790"/>
        <w:gridCol w:w="3055"/>
      </w:tblGrid>
      <w:tr w:rsidR="00FF7F65" w:rsidRPr="007620DC" w14:paraId="53AFB904" w14:textId="77777777" w:rsidTr="007A3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5" w:type="dxa"/>
            <w:tcBorders>
              <w:right w:val="none" w:sz="0" w:space="0" w:color="auto"/>
            </w:tcBorders>
          </w:tcPr>
          <w:p w14:paraId="5EA717B9" w14:textId="77777777" w:rsidR="00FF7F65" w:rsidRPr="007620DC" w:rsidRDefault="00FF7F65" w:rsidP="007A394B">
            <w:pPr>
              <w:spacing w:after="160" w:line="480" w:lineRule="auto"/>
              <w:rPr>
                <w:rFonts w:cstheme="minorHAnsi"/>
                <w:sz w:val="24"/>
                <w:szCs w:val="24"/>
              </w:rPr>
            </w:pPr>
          </w:p>
        </w:tc>
        <w:tc>
          <w:tcPr>
            <w:tcW w:w="2790" w:type="dxa"/>
          </w:tcPr>
          <w:p w14:paraId="4B45F04B" w14:textId="77777777" w:rsidR="00FF7F65" w:rsidRPr="007620DC" w:rsidRDefault="00FF7F65" w:rsidP="007A394B">
            <w:pPr>
              <w:spacing w:after="160"/>
              <w:cnfStyle w:val="100000000000" w:firstRow="1" w:lastRow="0" w:firstColumn="0" w:lastColumn="0" w:oddVBand="0" w:evenVBand="0" w:oddHBand="0" w:evenHBand="0" w:firstRowFirstColumn="0" w:firstRowLastColumn="0" w:lastRowFirstColumn="0" w:lastRowLastColumn="0"/>
              <w:rPr>
                <w:rFonts w:cstheme="minorHAnsi"/>
                <w:caps w:val="0"/>
                <w:sz w:val="24"/>
                <w:szCs w:val="24"/>
              </w:rPr>
            </w:pPr>
            <w:r>
              <w:rPr>
                <w:rFonts w:cstheme="minorHAnsi"/>
                <w:caps w:val="0"/>
                <w:sz w:val="24"/>
                <w:szCs w:val="24"/>
              </w:rPr>
              <w:t>Raw (No Tuning)</w:t>
            </w:r>
          </w:p>
        </w:tc>
        <w:tc>
          <w:tcPr>
            <w:tcW w:w="3055" w:type="dxa"/>
          </w:tcPr>
          <w:p w14:paraId="55205027" w14:textId="77777777" w:rsidR="00FF7F65" w:rsidRPr="007620DC" w:rsidRDefault="00FF7F65" w:rsidP="007A394B">
            <w:pPr>
              <w:spacing w:after="160"/>
              <w:cnfStyle w:val="100000000000" w:firstRow="1" w:lastRow="0" w:firstColumn="0" w:lastColumn="0" w:oddVBand="0" w:evenVBand="0" w:oddHBand="0" w:evenHBand="0" w:firstRowFirstColumn="0" w:firstRowLastColumn="0" w:lastRowFirstColumn="0" w:lastRowLastColumn="0"/>
              <w:rPr>
                <w:rFonts w:cstheme="minorHAnsi"/>
                <w:caps w:val="0"/>
                <w:sz w:val="24"/>
                <w:szCs w:val="24"/>
              </w:rPr>
            </w:pPr>
            <w:r>
              <w:rPr>
                <w:rFonts w:cstheme="minorHAnsi"/>
                <w:caps w:val="0"/>
                <w:sz w:val="24"/>
                <w:szCs w:val="24"/>
              </w:rPr>
              <w:t>Tuned to Increase Sensitivity</w:t>
            </w:r>
          </w:p>
        </w:tc>
      </w:tr>
      <w:tr w:rsidR="00FF7F65" w:rsidRPr="007620DC" w14:paraId="7FBB8C0C"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1759A7EC"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No. of Included Variables</w:t>
            </w:r>
          </w:p>
        </w:tc>
        <w:tc>
          <w:tcPr>
            <w:tcW w:w="2790" w:type="dxa"/>
          </w:tcPr>
          <w:p w14:paraId="658BB790"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3055" w:type="dxa"/>
          </w:tcPr>
          <w:p w14:paraId="3C0DFD4F"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w:t>
            </w:r>
          </w:p>
        </w:tc>
      </w:tr>
      <w:tr w:rsidR="00FF7F65" w:rsidRPr="007620DC" w14:paraId="7CF893B8"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58F8AC15"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Sensitivity</w:t>
            </w:r>
          </w:p>
        </w:tc>
        <w:tc>
          <w:tcPr>
            <w:tcW w:w="2790" w:type="dxa"/>
          </w:tcPr>
          <w:p w14:paraId="56EE880E"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5.8</w:t>
            </w:r>
            <w:r w:rsidRPr="007620DC">
              <w:rPr>
                <w:rFonts w:cstheme="minorHAnsi"/>
                <w:sz w:val="24"/>
                <w:szCs w:val="24"/>
              </w:rPr>
              <w:t>%</w:t>
            </w:r>
          </w:p>
        </w:tc>
        <w:tc>
          <w:tcPr>
            <w:tcW w:w="3055" w:type="dxa"/>
          </w:tcPr>
          <w:p w14:paraId="17E6668B"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70.2</w:t>
            </w:r>
            <w:r w:rsidRPr="007620DC">
              <w:rPr>
                <w:rFonts w:cstheme="minorHAnsi"/>
                <w:sz w:val="24"/>
                <w:szCs w:val="24"/>
              </w:rPr>
              <w:t>%</w:t>
            </w:r>
          </w:p>
        </w:tc>
      </w:tr>
      <w:tr w:rsidR="00FF7F65" w:rsidRPr="007620DC" w14:paraId="7864B0E9"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67480702"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Specificity</w:t>
            </w:r>
          </w:p>
        </w:tc>
        <w:tc>
          <w:tcPr>
            <w:tcW w:w="2790" w:type="dxa"/>
          </w:tcPr>
          <w:p w14:paraId="5141B9A8"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99.9</w:t>
            </w:r>
            <w:r w:rsidRPr="007620DC">
              <w:rPr>
                <w:rFonts w:cstheme="minorHAnsi"/>
                <w:sz w:val="24"/>
                <w:szCs w:val="24"/>
              </w:rPr>
              <w:t>%</w:t>
            </w:r>
          </w:p>
        </w:tc>
        <w:tc>
          <w:tcPr>
            <w:tcW w:w="3055" w:type="dxa"/>
          </w:tcPr>
          <w:p w14:paraId="617C4B61"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72.3</w:t>
            </w:r>
            <w:r w:rsidRPr="007620DC">
              <w:rPr>
                <w:rFonts w:cstheme="minorHAnsi"/>
                <w:sz w:val="24"/>
                <w:szCs w:val="24"/>
              </w:rPr>
              <w:t>%</w:t>
            </w:r>
          </w:p>
        </w:tc>
      </w:tr>
      <w:tr w:rsidR="00FF7F65" w:rsidRPr="007620DC" w14:paraId="34994017"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49E3D155"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Positive Predictive Value (PPV)</w:t>
            </w:r>
          </w:p>
        </w:tc>
        <w:tc>
          <w:tcPr>
            <w:tcW w:w="2790" w:type="dxa"/>
          </w:tcPr>
          <w:p w14:paraId="43E278EE"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64</w:t>
            </w:r>
            <w:r w:rsidRPr="007620DC">
              <w:rPr>
                <w:rFonts w:cstheme="minorHAnsi"/>
                <w:sz w:val="24"/>
                <w:szCs w:val="24"/>
              </w:rPr>
              <w:t>%</w:t>
            </w:r>
          </w:p>
        </w:tc>
        <w:tc>
          <w:tcPr>
            <w:tcW w:w="3055" w:type="dxa"/>
          </w:tcPr>
          <w:p w14:paraId="62460E23"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w:t>
            </w:r>
            <w:r w:rsidRPr="007620DC">
              <w:rPr>
                <w:rFonts w:cstheme="minorHAnsi"/>
                <w:sz w:val="24"/>
                <w:szCs w:val="24"/>
              </w:rPr>
              <w:t>%</w:t>
            </w:r>
          </w:p>
        </w:tc>
      </w:tr>
      <w:tr w:rsidR="00FF7F65" w:rsidRPr="007620DC" w14:paraId="2AE62ED8"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763C70FE"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Negative Predictive Value (NPV)</w:t>
            </w:r>
          </w:p>
        </w:tc>
        <w:tc>
          <w:tcPr>
            <w:tcW w:w="2790" w:type="dxa"/>
          </w:tcPr>
          <w:p w14:paraId="07C7BAC9"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620DC">
              <w:rPr>
                <w:rFonts w:cstheme="minorHAnsi"/>
                <w:sz w:val="24"/>
                <w:szCs w:val="24"/>
              </w:rPr>
              <w:t>9</w:t>
            </w:r>
            <w:r>
              <w:rPr>
                <w:rFonts w:cstheme="minorHAnsi"/>
                <w:sz w:val="24"/>
                <w:szCs w:val="24"/>
              </w:rPr>
              <w:t>6</w:t>
            </w:r>
            <w:r w:rsidRPr="007620DC">
              <w:rPr>
                <w:rFonts w:cstheme="minorHAnsi"/>
                <w:sz w:val="24"/>
                <w:szCs w:val="24"/>
              </w:rPr>
              <w:t>%</w:t>
            </w:r>
          </w:p>
        </w:tc>
        <w:tc>
          <w:tcPr>
            <w:tcW w:w="3055" w:type="dxa"/>
          </w:tcPr>
          <w:p w14:paraId="145563E6"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98</w:t>
            </w:r>
            <w:r w:rsidRPr="007620DC">
              <w:rPr>
                <w:rFonts w:cstheme="minorHAnsi"/>
                <w:sz w:val="24"/>
                <w:szCs w:val="24"/>
              </w:rPr>
              <w:t>%</w:t>
            </w:r>
          </w:p>
        </w:tc>
      </w:tr>
      <w:tr w:rsidR="00FF7F65" w:rsidRPr="007620DC" w14:paraId="30572B54"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5B9FE876" w14:textId="77777777" w:rsidR="00FF7F65" w:rsidRPr="007620DC" w:rsidRDefault="00FF7F65" w:rsidP="007A394B">
            <w:pPr>
              <w:spacing w:after="160" w:line="480" w:lineRule="auto"/>
              <w:rPr>
                <w:rFonts w:cstheme="minorHAnsi"/>
                <w:b w:val="0"/>
                <w:caps w:val="0"/>
                <w:sz w:val="24"/>
                <w:szCs w:val="24"/>
              </w:rPr>
            </w:pPr>
            <w:r w:rsidRPr="007620DC">
              <w:rPr>
                <w:rFonts w:cstheme="minorHAnsi"/>
                <w:b w:val="0"/>
                <w:caps w:val="0"/>
                <w:sz w:val="24"/>
                <w:szCs w:val="24"/>
              </w:rPr>
              <w:t>C-Statistic</w:t>
            </w:r>
          </w:p>
        </w:tc>
        <w:tc>
          <w:tcPr>
            <w:tcW w:w="2790" w:type="dxa"/>
          </w:tcPr>
          <w:p w14:paraId="20A5E876"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0.53</w:t>
            </w:r>
          </w:p>
        </w:tc>
        <w:tc>
          <w:tcPr>
            <w:tcW w:w="3055" w:type="dxa"/>
          </w:tcPr>
          <w:p w14:paraId="17D3B86F" w14:textId="77777777" w:rsidR="00FF7F65" w:rsidRPr="007620DC" w:rsidRDefault="00FF7F65"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0.76</w:t>
            </w:r>
          </w:p>
        </w:tc>
      </w:tr>
      <w:tr w:rsidR="00FF7F65" w:rsidRPr="007620DC" w14:paraId="28526AE3"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1B26076A" w14:textId="77777777" w:rsidR="00FF7F65" w:rsidRPr="007620DC" w:rsidRDefault="00FF7F65" w:rsidP="007A394B">
            <w:pPr>
              <w:spacing w:after="160"/>
              <w:rPr>
                <w:rFonts w:cstheme="minorHAnsi"/>
                <w:b w:val="0"/>
                <w:caps w:val="0"/>
                <w:sz w:val="24"/>
                <w:szCs w:val="24"/>
              </w:rPr>
            </w:pPr>
            <w:r>
              <w:rPr>
                <w:rFonts w:cstheme="minorHAnsi"/>
                <w:b w:val="0"/>
                <w:caps w:val="0"/>
                <w:sz w:val="24"/>
                <w:szCs w:val="24"/>
              </w:rPr>
              <w:t>C-Statistic in Random Forests (RF) Analysis</w:t>
            </w:r>
          </w:p>
        </w:tc>
        <w:tc>
          <w:tcPr>
            <w:tcW w:w="2790" w:type="dxa"/>
          </w:tcPr>
          <w:p w14:paraId="1CF73571"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0.60</w:t>
            </w:r>
          </w:p>
        </w:tc>
        <w:tc>
          <w:tcPr>
            <w:tcW w:w="3055" w:type="dxa"/>
          </w:tcPr>
          <w:p w14:paraId="52C9F1E9" w14:textId="77777777" w:rsidR="00FF7F65" w:rsidRPr="007620DC" w:rsidRDefault="00FF7F65"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0.60</w:t>
            </w:r>
          </w:p>
        </w:tc>
      </w:tr>
    </w:tbl>
    <w:p w14:paraId="5A06720C" w14:textId="44522BD9" w:rsidR="00D06FA1" w:rsidRDefault="00D06FA1" w:rsidP="00BB27E3">
      <w:pPr>
        <w:spacing w:line="240" w:lineRule="auto"/>
        <w:rPr>
          <w:rFonts w:cstheme="minorHAnsi"/>
          <w:b/>
          <w:sz w:val="24"/>
          <w:szCs w:val="24"/>
        </w:rPr>
      </w:pPr>
    </w:p>
    <w:p w14:paraId="059EDF74" w14:textId="77777777" w:rsidR="00FF7F65" w:rsidRDefault="00FF7F65" w:rsidP="00BB27E3">
      <w:pPr>
        <w:spacing w:line="240" w:lineRule="auto"/>
        <w:rPr>
          <w:rFonts w:cstheme="minorHAnsi"/>
          <w:b/>
          <w:sz w:val="24"/>
          <w:szCs w:val="24"/>
        </w:rPr>
      </w:pPr>
    </w:p>
    <w:p w14:paraId="0D87EBFC" w14:textId="77777777" w:rsidR="00FF7F65" w:rsidRDefault="00FF7F65" w:rsidP="00BB27E3">
      <w:pPr>
        <w:spacing w:line="240" w:lineRule="auto"/>
        <w:rPr>
          <w:rFonts w:cstheme="minorHAnsi"/>
          <w:b/>
          <w:sz w:val="24"/>
          <w:szCs w:val="24"/>
        </w:rPr>
      </w:pPr>
    </w:p>
    <w:p w14:paraId="4512617D" w14:textId="77777777" w:rsidR="00A94A2C" w:rsidRDefault="00A94A2C" w:rsidP="00BB27E3">
      <w:pPr>
        <w:spacing w:line="240" w:lineRule="auto"/>
        <w:rPr>
          <w:rFonts w:cstheme="minorHAnsi"/>
          <w:b/>
          <w:sz w:val="24"/>
          <w:szCs w:val="24"/>
          <w:u w:val="single"/>
        </w:rPr>
      </w:pPr>
    </w:p>
    <w:p w14:paraId="53DDBA38" w14:textId="77777777" w:rsidR="00A94A2C" w:rsidRDefault="00A94A2C" w:rsidP="00BB27E3">
      <w:pPr>
        <w:spacing w:line="240" w:lineRule="auto"/>
        <w:rPr>
          <w:rFonts w:cstheme="minorHAnsi"/>
          <w:b/>
          <w:sz w:val="24"/>
          <w:szCs w:val="24"/>
          <w:u w:val="single"/>
        </w:rPr>
      </w:pPr>
    </w:p>
    <w:p w14:paraId="6D200D72" w14:textId="77777777" w:rsidR="00A94A2C" w:rsidRDefault="00A94A2C" w:rsidP="00BB27E3">
      <w:pPr>
        <w:spacing w:line="240" w:lineRule="auto"/>
        <w:rPr>
          <w:rFonts w:cstheme="minorHAnsi"/>
          <w:b/>
          <w:sz w:val="24"/>
          <w:szCs w:val="24"/>
          <w:u w:val="single"/>
        </w:rPr>
      </w:pPr>
    </w:p>
    <w:p w14:paraId="76E7D5A9" w14:textId="77777777" w:rsidR="00A94A2C" w:rsidRDefault="00A94A2C" w:rsidP="00BB27E3">
      <w:pPr>
        <w:spacing w:line="240" w:lineRule="auto"/>
        <w:rPr>
          <w:rFonts w:cstheme="minorHAnsi"/>
          <w:b/>
          <w:sz w:val="24"/>
          <w:szCs w:val="24"/>
          <w:u w:val="single"/>
        </w:rPr>
      </w:pPr>
    </w:p>
    <w:p w14:paraId="3CDA7051" w14:textId="77777777" w:rsidR="00A94A2C" w:rsidRDefault="00A94A2C" w:rsidP="00BB27E3">
      <w:pPr>
        <w:spacing w:line="240" w:lineRule="auto"/>
        <w:rPr>
          <w:rFonts w:cstheme="minorHAnsi"/>
          <w:b/>
          <w:sz w:val="24"/>
          <w:szCs w:val="24"/>
          <w:u w:val="single"/>
        </w:rPr>
      </w:pPr>
    </w:p>
    <w:p w14:paraId="56B6F9A4" w14:textId="77777777" w:rsidR="00A94A2C" w:rsidRDefault="00A94A2C" w:rsidP="00BB27E3">
      <w:pPr>
        <w:spacing w:line="240" w:lineRule="auto"/>
        <w:rPr>
          <w:rFonts w:cstheme="minorHAnsi"/>
          <w:b/>
          <w:sz w:val="24"/>
          <w:szCs w:val="24"/>
          <w:u w:val="single"/>
        </w:rPr>
      </w:pPr>
    </w:p>
    <w:p w14:paraId="4A016686" w14:textId="77777777" w:rsidR="00A94A2C" w:rsidRDefault="00A94A2C" w:rsidP="00BB27E3">
      <w:pPr>
        <w:spacing w:line="240" w:lineRule="auto"/>
        <w:rPr>
          <w:rFonts w:cstheme="minorHAnsi"/>
          <w:b/>
          <w:sz w:val="24"/>
          <w:szCs w:val="24"/>
          <w:u w:val="single"/>
        </w:rPr>
      </w:pPr>
    </w:p>
    <w:p w14:paraId="087B686C" w14:textId="77777777" w:rsidR="00A94A2C" w:rsidRDefault="00A94A2C" w:rsidP="00BB27E3">
      <w:pPr>
        <w:spacing w:line="240" w:lineRule="auto"/>
        <w:rPr>
          <w:rFonts w:cstheme="minorHAnsi"/>
          <w:b/>
          <w:sz w:val="24"/>
          <w:szCs w:val="24"/>
          <w:u w:val="single"/>
        </w:rPr>
      </w:pPr>
    </w:p>
    <w:p w14:paraId="7AC5CBCD" w14:textId="77777777" w:rsidR="00A94A2C" w:rsidRDefault="00A94A2C" w:rsidP="00BB27E3">
      <w:pPr>
        <w:spacing w:line="240" w:lineRule="auto"/>
        <w:rPr>
          <w:rFonts w:cstheme="minorHAnsi"/>
          <w:b/>
          <w:sz w:val="24"/>
          <w:szCs w:val="24"/>
          <w:u w:val="single"/>
        </w:rPr>
      </w:pPr>
    </w:p>
    <w:p w14:paraId="16FC9A7B" w14:textId="77777777" w:rsidR="00A94A2C" w:rsidRDefault="00A94A2C" w:rsidP="00BB27E3">
      <w:pPr>
        <w:spacing w:line="240" w:lineRule="auto"/>
        <w:rPr>
          <w:rFonts w:cstheme="minorHAnsi"/>
          <w:b/>
          <w:sz w:val="24"/>
          <w:szCs w:val="24"/>
          <w:u w:val="single"/>
        </w:rPr>
      </w:pPr>
    </w:p>
    <w:p w14:paraId="126AAF53" w14:textId="77777777" w:rsidR="00A94A2C" w:rsidRDefault="00A94A2C" w:rsidP="00BB27E3">
      <w:pPr>
        <w:spacing w:line="240" w:lineRule="auto"/>
        <w:rPr>
          <w:rFonts w:cstheme="minorHAnsi"/>
          <w:b/>
          <w:sz w:val="24"/>
          <w:szCs w:val="24"/>
          <w:u w:val="single"/>
        </w:rPr>
      </w:pPr>
    </w:p>
    <w:p w14:paraId="1F68F67B" w14:textId="4B3A30B0" w:rsidR="00D06FA1" w:rsidRPr="00FF7F65" w:rsidRDefault="00D06FA1" w:rsidP="00BB27E3">
      <w:pPr>
        <w:spacing w:line="240" w:lineRule="auto"/>
        <w:rPr>
          <w:rFonts w:cstheme="minorHAnsi"/>
          <w:b/>
          <w:sz w:val="24"/>
          <w:szCs w:val="24"/>
          <w:u w:val="single"/>
        </w:rPr>
      </w:pPr>
      <w:r w:rsidRPr="00FF7F65">
        <w:rPr>
          <w:rFonts w:cstheme="minorHAnsi"/>
          <w:b/>
          <w:sz w:val="24"/>
          <w:szCs w:val="24"/>
          <w:u w:val="single"/>
        </w:rPr>
        <w:lastRenderedPageBreak/>
        <w:t>Sensitivity Analyses:</w:t>
      </w:r>
    </w:p>
    <w:p w14:paraId="5DFCDCFB" w14:textId="48B660C6" w:rsidR="00D06FA1" w:rsidRDefault="00D06FA1" w:rsidP="00BB27E3">
      <w:pPr>
        <w:spacing w:line="240" w:lineRule="auto"/>
        <w:rPr>
          <w:rFonts w:cstheme="minorHAnsi"/>
          <w:b/>
          <w:sz w:val="24"/>
          <w:szCs w:val="24"/>
        </w:rPr>
      </w:pPr>
    </w:p>
    <w:p w14:paraId="17AB72BC" w14:textId="6DBCBAA6" w:rsidR="00D06FA1" w:rsidRDefault="00D06FA1" w:rsidP="00D06FA1">
      <w:pPr>
        <w:pStyle w:val="ListParagraph"/>
        <w:numPr>
          <w:ilvl w:val="0"/>
          <w:numId w:val="2"/>
        </w:numPr>
        <w:spacing w:line="240" w:lineRule="auto"/>
        <w:ind w:hanging="810"/>
        <w:rPr>
          <w:rFonts w:cstheme="minorHAnsi"/>
          <w:b/>
          <w:sz w:val="24"/>
          <w:szCs w:val="24"/>
        </w:rPr>
      </w:pPr>
      <w:r>
        <w:rPr>
          <w:rFonts w:cstheme="minorHAnsi"/>
          <w:b/>
          <w:sz w:val="24"/>
          <w:szCs w:val="24"/>
        </w:rPr>
        <w:t>Random Forests Analyses</w:t>
      </w:r>
    </w:p>
    <w:p w14:paraId="08C39614" w14:textId="6FD82549" w:rsidR="00222142" w:rsidRDefault="00D06FA1" w:rsidP="00D06FA1">
      <w:pPr>
        <w:spacing w:line="480" w:lineRule="auto"/>
        <w:rPr>
          <w:rFonts w:cstheme="minorHAnsi"/>
          <w:sz w:val="24"/>
          <w:szCs w:val="24"/>
        </w:rPr>
      </w:pPr>
      <w:r w:rsidRPr="007620DC">
        <w:rPr>
          <w:rFonts w:cstheme="minorHAnsi"/>
          <w:sz w:val="24"/>
          <w:szCs w:val="24"/>
        </w:rPr>
        <w:t>Random forests (RF) analysis is similar to CART analysis</w:t>
      </w:r>
      <w:r>
        <w:rPr>
          <w:rFonts w:cstheme="minorHAnsi"/>
          <w:sz w:val="24"/>
          <w:szCs w:val="24"/>
        </w:rPr>
        <w:t xml:space="preserve">, </w:t>
      </w:r>
      <w:r w:rsidRPr="007620DC">
        <w:rPr>
          <w:rFonts w:cstheme="minorHAnsi"/>
          <w:sz w:val="24"/>
          <w:szCs w:val="24"/>
        </w:rPr>
        <w:t>o</w:t>
      </w:r>
      <w:r>
        <w:rPr>
          <w:rFonts w:cstheme="minorHAnsi"/>
          <w:sz w:val="24"/>
          <w:szCs w:val="24"/>
        </w:rPr>
        <w:t>r other tree-fitting algorithms</w:t>
      </w:r>
      <w:r w:rsidRPr="007620DC">
        <w:rPr>
          <w:rFonts w:cstheme="minorHAnsi"/>
          <w:sz w:val="24"/>
          <w:szCs w:val="24"/>
        </w:rPr>
        <w:t>, except that it generates many bootstrapped decision trees</w:t>
      </w:r>
      <w:r>
        <w:rPr>
          <w:rFonts w:cstheme="minorHAnsi"/>
          <w:sz w:val="24"/>
          <w:szCs w:val="24"/>
        </w:rPr>
        <w:t xml:space="preserve"> </w:t>
      </w:r>
      <w:r>
        <w:rPr>
          <w:rFonts w:cstheme="minorHAnsi"/>
          <w:sz w:val="24"/>
          <w:szCs w:val="24"/>
        </w:rPr>
        <w:fldChar w:fldCharType="begin">
          <w:fldData xml:space="preserve">PEVuZE5vdGU+PENpdGU+PEF1dGhvcj5DaGVuPC9BdXRob3I+PFllYXI+MjAxMzwvWWVhcj48UmVj
TnVtPjE2PC9SZWNOdW0+PERpc3BsYXlUZXh0PlsxLCAyXTwvRGlzcGxheVRleHQ+PHJlY29yZD48
cmVjLW51bWJlcj4xNjwvcmVjLW51bWJlcj48Zm9yZWlnbi1rZXlzPjxrZXkgYXBwPSJFTiIgZGIt
aWQ9InZkcHQyOXQ1cnp4ZnBtZWRyd3J2ZHZzaXhzcHM1d2RlZTlycyIgdGltZXN0YW1wPSIxNTI2
MzA3MTI2Ij4xNjwva2V5PjwvZm9yZWlnbi1rZXlzPjxyZWYtdHlwZSBuYW1lPSJKb3VybmFsIEFy
dGljbGUiPjE3PC9yZWYtdHlwZT48Y29udHJpYnV0b3JzPjxhdXRob3JzPjxhdXRob3I+Q2hlbiwg
WC48L2F1dGhvcj48YXV0aG9yPklzaHdhcmFuLCBILjwvYXV0aG9yPjwvYXV0aG9ycz48L2NvbnRy
aWJ1dG9ycz48YXV0aC1hZGRyZXNzPkRlcGFydG1lbnQgb2YgQmlvc3RhdGlzdGljcywgVmFuZGVy
YmlsdCBVbml2ZXJzaXR5IFNjaG9vbCBvZiBNZWRpY2luZSwgTmFzaHZpbGxlLCBUTiAzNzIzMiwg
VVNBLiB4aS5zdGV2ZW4uY2hlbkBnbWFpbC5jb208L2F1dGgtYWRkcmVzcz48dGl0bGVzPjx0aXRs
ZT5QYXRod2F5IGh1bnRpbmcgYnkgcmFuZG9tIHN1cnZpdmFsIGZvcmVzdHM8L3RpdGxlPjxzZWNv
bmRhcnktdGl0bGU+QmlvaW5mb3JtYXRpY3M8L3NlY29uZGFyeS10aXRsZT48L3RpdGxlcz48cGVy
aW9kaWNhbD48ZnVsbC10aXRsZT5CaW9pbmZvcm1hdGljczwvZnVsbC10aXRsZT48L3BlcmlvZGlj
YWw+PHBhZ2VzPjk5LTEwNTwvcGFnZXM+PHZvbHVtZT4yOTwvdm9sdW1lPjxudW1iZXI+MTwvbnVt
YmVyPjxlZGl0aW9uPjIwMTIvMTEvMDc8L2VkaXRpb24+PGtleXdvcmRzPjxrZXl3b3JkPipBbGdv
cml0aG1zPC9rZXl3b3JkPjxrZXl3b3JkPkNvbG9uaWMgTmVvcGxhc21zL2dlbmV0aWNzL21ldGFi
b2xpc20vbW9ydGFsaXR5PC9rZXl3b3JkPjxrZXl3b3JkPkZlbWFsZTwva2V5d29yZD48a2V5d29y
ZD5IdW1hbnM8L2tleXdvcmQ+PGtleXdvcmQ+T3ZhcmlhbiBOZW9wbGFzbXMvZ2VuZXRpY3MvbWV0
YWJvbGlzbS9tb3J0YWxpdHk8L2tleXdvcmQ+PGtleXdvcmQ+U2lnbmFsIFRyYW5zZHVjdGlvbjwv
a2V5d29yZD48a2V5d29yZD4qU3Vydml2YWwgQW5hbHlzaXM8L2tleXdvcmQ+PGtleXdvcmQ+VHJh
bnNjcmlwdG9tZTwva2V5d29yZD48L2tleXdvcmRzPjxkYXRlcz48eWVhcj4yMDEzPC95ZWFyPjxw
dWItZGF0ZXM+PGRhdGU+SmFuIDE8L2RhdGU+PC9wdWItZGF0ZXM+PC9kYXRlcz48aXNibj4xMzY3
LTQ4MTEgKEVsZWN0cm9uaWMpJiN4RDsxMzY3LTQ4MDMgKExpbmtpbmcpPC9pc2JuPjxhY2Nlc3Np
b24tbnVtPjIzMTI5Mjk5PC9hY2Nlc3Npb24tbnVtPjx1cmxzPjxyZWxhdGVkLXVybHM+PHVybD5o
dHRwczovL3d3dy5uY2JpLm5sbS5uaWguZ292L3B1Ym1lZC8yMzEyOTI5OTwvdXJsPjwvcmVsYXRl
ZC11cmxzPjwvdXJscz48Y3VzdG9tMj5QTUMzNTMwOTA5PC9jdXN0b20yPjxlbGVjdHJvbmljLXJl
c291cmNlLW51bT4xMC4xMDkzL2Jpb2luZm9ybWF0aWNzL2J0czY0MzwvZWxlY3Ryb25pYy1yZXNv
dXJjZS1udW0+PC9yZWNvcmQ+PC9DaXRlPjxDaXRlPjxBdXRob3I+U3Ryb2JsPC9BdXRob3I+PFll
YXI+MjAwOTwvWWVhcj48UmVjTnVtPjE3PC9SZWNOdW0+PHJlY29yZD48cmVjLW51bWJlcj4xNzwv
cmVjLW51bWJlcj48Zm9yZWlnbi1rZXlzPjxrZXkgYXBwPSJFTiIgZGItaWQ9InZkcHQyOXQ1cnp4
ZnBtZWRyd3J2ZHZzaXhzcHM1d2RlZTlycyIgdGltZXN0YW1wPSIxNTI2MzA3MTI2Ij4xNzwva2V5
PjwvZm9yZWlnbi1rZXlzPjxyZWYtdHlwZSBuYW1lPSJKb3VybmFsIEFydGljbGUiPjE3PC9yZWYt
dHlwZT48Y29udHJpYnV0b3JzPjxhdXRob3JzPjxhdXRob3I+U3Ryb2JsLCBDLjwvYXV0aG9yPjxh
dXRob3I+TWFsbGV5LCBKLjwvYXV0aG9yPjxhdXRob3I+VHV0eiwgRy48L2F1dGhvcj48L2F1dGhv
cnM+PC9jb250cmlidXRvcnM+PGF1dGgtYWRkcmVzcz5EZXBhcnRtZW50IG9mIFN0YXRpc3RpY3Ms
IEx1ZHdpZy1NYXhpbWlsaWFucy1Vbml2ZXJzaXRhdCBNdW5pY2gsIE11bmljaCwgR2VybWFueS4g
Y2Fyb2xpbi5zdHJvYmxAc3RhdC51bmktbXVlbmNoZW4uZGU8L2F1dGgtYWRkcmVzcz48dGl0bGVz
Pjx0aXRsZT5BbiBpbnRyb2R1Y3Rpb24gdG8gcmVjdXJzaXZlIHBhcnRpdGlvbmluZzogcmF0aW9u
YWxlLCBhcHBsaWNhdGlvbiwgYW5kIGNoYXJhY3RlcmlzdGljcyBvZiBjbGFzc2lmaWNhdGlvbiBh
bmQgcmVncmVzc2lvbiB0cmVlcywgYmFnZ2luZywgYW5kIHJhbmRvbSBmb3Jlc3RzPC90aXRsZT48
c2Vjb25kYXJ5LXRpdGxlPlBzeWNob2wgTWV0aG9kczwvc2Vjb25kYXJ5LXRpdGxlPjwvdGl0bGVz
PjxwZXJpb2RpY2FsPjxmdWxsLXRpdGxlPlBzeWNob2wgTWV0aG9kczwvZnVsbC10aXRsZT48L3Bl
cmlvZGljYWw+PHBhZ2VzPjMyMy00ODwvcGFnZXM+PHZvbHVtZT4xNDwvdm9sdW1lPjxudW1iZXI+
NDwvbnVtYmVyPjxlZGl0aW9uPjIwMDkvMTIvMDk8L2VkaXRpb24+PGtleXdvcmRzPjxrZXl3b3Jk
PkRhdGEgSW50ZXJwcmV0YXRpb24sIFN0YXRpc3RpY2FsPC9rZXl3b3JkPjxrZXl3b3JkPkh1bWFu
czwva2V5d29yZD48a2V5d29yZD4qTW9kZWxzLCBQc3ljaG9sb2dpY2FsPC9rZXl3b3JkPjxrZXl3
b3JkPlBzeWNob2xvZ3kvKm1ldGhvZHMvKnN0YXRpc3RpY3MgJmFtcDsgbnVtZXJpY2FsIGRhdGE8
L2tleXdvcmQ+PGtleXdvcmQ+UmVncmVzc2lvbiBBbmFseXNpczwva2V5d29yZD48a2V5d29yZD4q
U3RhdGlzdGljcywgTm9ucGFyYW1ldHJpYzwva2V5d29yZD48L2tleXdvcmRzPjxkYXRlcz48eWVh
cj4yMDA5PC95ZWFyPjxwdWItZGF0ZXM+PGRhdGU+RGVjPC9kYXRlPjwvcHViLWRhdGVzPjwvZGF0
ZXM+PGlzYm4+MTkzOS0xNDYzIChFbGVjdHJvbmljKSYjeEQ7MTA4Mi05ODlYIChMaW5raW5nKTwv
aXNibj48YWNjZXNzaW9uLW51bT4xOTk2ODM5NjwvYWNjZXNzaW9uLW51bT48dXJscz48cmVsYXRl
ZC11cmxzPjx1cmw+aHR0cHM6Ly93d3cubmNiaS5ubG0ubmloLmdvdi9wdWJtZWQvMTk5NjgzOTY8
L3VybD48L3JlbGF0ZWQtdXJscz48L3VybHM+PGN1c3RvbTI+UE1DMjkyNzk4MjwvY3VzdG9tMj48
ZWxlY3Ryb25pYy1yZXNvdXJjZS1udW0+MTAuMTAzNy9hMDAxNjk3MzwvZWxlY3Ryb25pYy1yZXNv
dXJjZS1udW0+PC9yZWNvcmQ+PC9DaXRlPjwvRW5kTm90ZT5=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PEVuZE5vdGU+PENpdGU+PEF1dGhvcj5DaGVuPC9BdXRob3I+PFllYXI+MjAxMzwvWWVhcj48UmVj
TnVtPjE2PC9SZWNOdW0+PERpc3BsYXlUZXh0PlsxLCAyXTwvRGlzcGxheVRleHQ+PHJlY29yZD48
cmVjLW51bWJlcj4xNjwvcmVjLW51bWJlcj48Zm9yZWlnbi1rZXlzPjxrZXkgYXBwPSJFTiIgZGIt
aWQ9InZkcHQyOXQ1cnp4ZnBtZWRyd3J2ZHZzaXhzcHM1d2RlZTlycyIgdGltZXN0YW1wPSIxNTI2
MzA3MTI2Ij4xNjwva2V5PjwvZm9yZWlnbi1rZXlzPjxyZWYtdHlwZSBuYW1lPSJKb3VybmFsIEFy
dGljbGUiPjE3PC9yZWYtdHlwZT48Y29udHJpYnV0b3JzPjxhdXRob3JzPjxhdXRob3I+Q2hlbiwg
WC48L2F1dGhvcj48YXV0aG9yPklzaHdhcmFuLCBILjwvYXV0aG9yPjwvYXV0aG9ycz48L2NvbnRy
aWJ1dG9ycz48YXV0aC1hZGRyZXNzPkRlcGFydG1lbnQgb2YgQmlvc3RhdGlzdGljcywgVmFuZGVy
YmlsdCBVbml2ZXJzaXR5IFNjaG9vbCBvZiBNZWRpY2luZSwgTmFzaHZpbGxlLCBUTiAzNzIzMiwg
VVNBLiB4aS5zdGV2ZW4uY2hlbkBnbWFpbC5jb208L2F1dGgtYWRkcmVzcz48dGl0bGVzPjx0aXRs
ZT5QYXRod2F5IGh1bnRpbmcgYnkgcmFuZG9tIHN1cnZpdmFsIGZvcmVzdHM8L3RpdGxlPjxzZWNv
bmRhcnktdGl0bGU+QmlvaW5mb3JtYXRpY3M8L3NlY29uZGFyeS10aXRsZT48L3RpdGxlcz48cGVy
aW9kaWNhbD48ZnVsbC10aXRsZT5CaW9pbmZvcm1hdGljczwvZnVsbC10aXRsZT48L3BlcmlvZGlj
YWw+PHBhZ2VzPjk5LTEwNTwvcGFnZXM+PHZvbHVtZT4yOTwvdm9sdW1lPjxudW1iZXI+MTwvbnVt
YmVyPjxlZGl0aW9uPjIwMTIvMTEvMDc8L2VkaXRpb24+PGtleXdvcmRzPjxrZXl3b3JkPipBbGdv
cml0aG1zPC9rZXl3b3JkPjxrZXl3b3JkPkNvbG9uaWMgTmVvcGxhc21zL2dlbmV0aWNzL21ldGFi
b2xpc20vbW9ydGFsaXR5PC9rZXl3b3JkPjxrZXl3b3JkPkZlbWFsZTwva2V5d29yZD48a2V5d29y
ZD5IdW1hbnM8L2tleXdvcmQ+PGtleXdvcmQ+T3ZhcmlhbiBOZW9wbGFzbXMvZ2VuZXRpY3MvbWV0
YWJvbGlzbS9tb3J0YWxpdHk8L2tleXdvcmQ+PGtleXdvcmQ+U2lnbmFsIFRyYW5zZHVjdGlvbjwv
a2V5d29yZD48a2V5d29yZD4qU3Vydml2YWwgQW5hbHlzaXM8L2tleXdvcmQ+PGtleXdvcmQ+VHJh
bnNjcmlwdG9tZTwva2V5d29yZD48L2tleXdvcmRzPjxkYXRlcz48eWVhcj4yMDEzPC95ZWFyPjxw
dWItZGF0ZXM+PGRhdGU+SmFuIDE8L2RhdGU+PC9wdWItZGF0ZXM+PC9kYXRlcz48aXNibj4xMzY3
LTQ4MTEgKEVsZWN0cm9uaWMpJiN4RDsxMzY3LTQ4MDMgKExpbmtpbmcpPC9pc2JuPjxhY2Nlc3Np
b24tbnVtPjIzMTI5Mjk5PC9hY2Nlc3Npb24tbnVtPjx1cmxzPjxyZWxhdGVkLXVybHM+PHVybD5o
dHRwczovL3d3dy5uY2JpLm5sbS5uaWguZ292L3B1Ym1lZC8yMzEyOTI5OTwvdXJsPjwvcmVsYXRl
ZC11cmxzPjwvdXJscz48Y3VzdG9tMj5QTUMzNTMwOTA5PC9jdXN0b20yPjxlbGVjdHJvbmljLXJl
c291cmNlLW51bT4xMC4xMDkzL2Jpb2luZm9ybWF0aWNzL2J0czY0MzwvZWxlY3Ryb25pYy1yZXNv
dXJjZS1udW0+PC9yZWNvcmQ+PC9DaXRlPjxDaXRlPjxBdXRob3I+U3Ryb2JsPC9BdXRob3I+PFll
YXI+MjAwOTwvWWVhcj48UmVjTnVtPjE3PC9SZWNOdW0+PHJlY29yZD48cmVjLW51bWJlcj4xNzwv
cmVjLW51bWJlcj48Zm9yZWlnbi1rZXlzPjxrZXkgYXBwPSJFTiIgZGItaWQ9InZkcHQyOXQ1cnp4
ZnBtZWRyd3J2ZHZzaXhzcHM1d2RlZTlycyIgdGltZXN0YW1wPSIxNTI2MzA3MTI2Ij4xNzwva2V5
PjwvZm9yZWlnbi1rZXlzPjxyZWYtdHlwZSBuYW1lPSJKb3VybmFsIEFydGljbGUiPjE3PC9yZWYt
dHlwZT48Y29udHJpYnV0b3JzPjxhdXRob3JzPjxhdXRob3I+U3Ryb2JsLCBDLjwvYXV0aG9yPjxh
dXRob3I+TWFsbGV5LCBKLjwvYXV0aG9yPjxhdXRob3I+VHV0eiwgRy48L2F1dGhvcj48L2F1dGhv
cnM+PC9jb250cmlidXRvcnM+PGF1dGgtYWRkcmVzcz5EZXBhcnRtZW50IG9mIFN0YXRpc3RpY3Ms
IEx1ZHdpZy1NYXhpbWlsaWFucy1Vbml2ZXJzaXRhdCBNdW5pY2gsIE11bmljaCwgR2VybWFueS4g
Y2Fyb2xpbi5zdHJvYmxAc3RhdC51bmktbXVlbmNoZW4uZGU8L2F1dGgtYWRkcmVzcz48dGl0bGVz
Pjx0aXRsZT5BbiBpbnRyb2R1Y3Rpb24gdG8gcmVjdXJzaXZlIHBhcnRpdGlvbmluZzogcmF0aW9u
YWxlLCBhcHBsaWNhdGlvbiwgYW5kIGNoYXJhY3RlcmlzdGljcyBvZiBjbGFzc2lmaWNhdGlvbiBh
bmQgcmVncmVzc2lvbiB0cmVlcywgYmFnZ2luZywgYW5kIHJhbmRvbSBmb3Jlc3RzPC90aXRsZT48
c2Vjb25kYXJ5LXRpdGxlPlBzeWNob2wgTWV0aG9kczwvc2Vjb25kYXJ5LXRpdGxlPjwvdGl0bGVz
PjxwZXJpb2RpY2FsPjxmdWxsLXRpdGxlPlBzeWNob2wgTWV0aG9kczwvZnVsbC10aXRsZT48L3Bl
cmlvZGljYWw+PHBhZ2VzPjMyMy00ODwvcGFnZXM+PHZvbHVtZT4xNDwvdm9sdW1lPjxudW1iZXI+
NDwvbnVtYmVyPjxlZGl0aW9uPjIwMDkvMTIvMDk8L2VkaXRpb24+PGtleXdvcmRzPjxrZXl3b3Jk
PkRhdGEgSW50ZXJwcmV0YXRpb24sIFN0YXRpc3RpY2FsPC9rZXl3b3JkPjxrZXl3b3JkPkh1bWFu
czwva2V5d29yZD48a2V5d29yZD4qTW9kZWxzLCBQc3ljaG9sb2dpY2FsPC9rZXl3b3JkPjxrZXl3
b3JkPlBzeWNob2xvZ3kvKm1ldGhvZHMvKnN0YXRpc3RpY3MgJmFtcDsgbnVtZXJpY2FsIGRhdGE8
L2tleXdvcmQ+PGtleXdvcmQ+UmVncmVzc2lvbiBBbmFseXNpczwva2V5d29yZD48a2V5d29yZD4q
U3RhdGlzdGljcywgTm9ucGFyYW1ldHJpYzwva2V5d29yZD48L2tleXdvcmRzPjxkYXRlcz48eWVh
cj4yMDA5PC95ZWFyPjxwdWItZGF0ZXM+PGRhdGU+RGVjPC9kYXRlPjwvcHViLWRhdGVzPjwvZGF0
ZXM+PGlzYm4+MTkzOS0xNDYzIChFbGVjdHJvbmljKSYjeEQ7MTA4Mi05ODlYIChMaW5raW5nKTwv
aXNibj48YWNjZXNzaW9uLW51bT4xOTk2ODM5NjwvYWNjZXNzaW9uLW51bT48dXJscz48cmVsYXRl
ZC11cmxzPjx1cmw+aHR0cHM6Ly93d3cubmNiaS5ubG0ubmloLmdvdi9wdWJtZWQvMTk5NjgzOTY8
L3VybD48L3JlbGF0ZWQtdXJscz48L3VybHM+PGN1c3RvbTI+UE1DMjkyNzk4MjwvY3VzdG9tMj48
ZWxlY3Ryb25pYy1yZXNvdXJjZS1udW0+MTAuMTAzNy9hMDAxNjk3MzwvZWxlY3Ryb25pYy1yZXNv
dXJjZS1udW0+PC9yZWNvcmQ+PC9DaXRlPjwvRW5kTm90ZT5=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 2]</w:t>
      </w:r>
      <w:r>
        <w:rPr>
          <w:rFonts w:cstheme="minorHAnsi"/>
          <w:sz w:val="24"/>
          <w:szCs w:val="24"/>
        </w:rPr>
        <w:fldChar w:fldCharType="end"/>
      </w:r>
      <w:r w:rsidRPr="007620DC">
        <w:rPr>
          <w:rFonts w:cstheme="minorHAnsi"/>
          <w:sz w:val="24"/>
          <w:szCs w:val="24"/>
        </w:rPr>
        <w:t>. Its output is less easily interpretable because it does not produce a singular, final tree, but as an ensemble method it generally improves accuracy and reduces model overfitting, i.e., increases gener</w:t>
      </w:r>
      <w:r>
        <w:rPr>
          <w:rFonts w:cstheme="minorHAnsi"/>
          <w:sz w:val="24"/>
          <w:szCs w:val="24"/>
        </w:rPr>
        <w:t>alizability. It also estimates the</w:t>
      </w:r>
      <w:r w:rsidRPr="007620DC">
        <w:rPr>
          <w:rFonts w:cstheme="minorHAnsi"/>
          <w:sz w:val="24"/>
          <w:szCs w:val="24"/>
        </w:rPr>
        <w:t xml:space="preserve"> most important variables for predicting a given outcome</w:t>
      </w:r>
      <w:r>
        <w:rPr>
          <w:rFonts w:cstheme="minorHAnsi"/>
          <w:sz w:val="24"/>
          <w:szCs w:val="24"/>
        </w:rPr>
        <w:t xml:space="preserve"> </w:t>
      </w:r>
      <w:r>
        <w:rPr>
          <w:rFonts w:cstheme="minorHAnsi"/>
          <w:sz w:val="24"/>
          <w:szCs w:val="24"/>
        </w:rPr>
        <w:fldChar w:fldCharType="begin">
          <w:fldData xml:space="preserve">PEVuZE5vdGU+PENpdGU+PEF1dGhvcj5DYXNhbm92YTwvQXV0aG9yPjxZZWFyPjIwMTQ8L1llYXI+
PFJlY051bT4xMDM8L1JlY051bT48RGlzcGxheVRleHQ+WzMsIDRdPC9EaXNwbGF5VGV4dD48cmVj
b3JkPjxyZWMtbnVtYmVyPjEwMzwvcmVjLW51bWJlcj48Zm9yZWlnbi1rZXlzPjxrZXkgYXBwPSJF
TiIgZGItaWQ9InZkcHQyOXQ1cnp4ZnBtZWRyd3J2ZHZzaXhzcHM1d2RlZTlycyIgdGltZXN0YW1w
PSIxNTM0NTIwNDEyIj4xMDM8L2tleT48L2ZvcmVpZ24ta2V5cz48cmVmLXR5cGUgbmFtZT0iSm91
cm5hbCBBcnRpY2xlIj4xNzwvcmVmLXR5cGU+PGNvbnRyaWJ1dG9ycz48YXV0aG9ycz48YXV0aG9y
PkNhc2Fub3ZhLCBSLjwvYXV0aG9yPjxhdXRob3I+U2FsZGFuYSwgUy48L2F1dGhvcj48YXV0aG9y
PkNoZXcsIEUuIFkuPC9hdXRob3I+PGF1dGhvcj5EYW5pcywgUi4gUC48L2F1dGhvcj48YXV0aG9y
PkdyZXZlbiwgQy4gTS48L2F1dGhvcj48YXV0aG9yPkFtYnJvc2l1cywgVy4gVC48L2F1dGhvcj48
L2F1dGhvcnM+PC9jb250cmlidXRvcnM+PGF1dGgtYWRkcmVzcz5EZXBhcnRtZW50IG9mIEJpb3N0
YXRpc3RpY2FsIFNjaWVuY2VzLCBXYWtlIEZvcmVzdCBTY2hvb2wgb2YgTWVkaWNpbmUsIFdpbnN0
b24tU2FsZW0sIE5vcnRoIENhcm9saW5hLCBVbml0ZWQgU3RhdGVzIG9mIEFtZXJpY2EuJiN4RDtO
YXRpb25hbCBFeWUgSW5zdGl0dXRlLCBOYXRpb25hbCBJbnN0aXR1dGVzIG9mIEhlYWx0aCBbTklI
XSwgQmV0aGVzZGEsIE1hcnlsYW5kLCBVbml0ZWQgU3RhdGVzIG9mIEFtZXJpY2EuJiN4RDtGdW5k
dXMgUGhvdG9ncmFwaCBSZWFkaW5nIENlbnRlciwgVW5pdmVyc2l0eSBvZiBXaXNjb25zaW4sIE1h
ZGlzb24sIFdpc2NvbnNpbiwgVW5pdGVkIFN0YXRlcyBvZiBBbWVyaWNhLiYjeEQ7V2FrZSBGb3Jl
c3QgU2Nob29sIG9mIE1lZGljaW5lLCBXaW5zdG9uLVNhbGVtLCBOb3J0aCBDYXJvbGluYSwgVW5p
dGVkIFN0YXRlcyBvZiBBbWVyaWNhLjwvYXV0aC1hZGRyZXNzPjx0aXRsZXM+PHRpdGxlPkFwcGxp
Y2F0aW9uIG9mIHJhbmRvbSBmb3Jlc3RzIG1ldGhvZHMgdG8gZGlhYmV0aWMgcmV0aW5vcGF0aHkg
Y2xhc3NpZmljYXRpb24gYW5hbHlzZXM8L3RpdGxlPjxzZWNvbmRhcnktdGl0bGU+UExvUyBPbmU8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YWw+PHBhZ2VzPmU5ODU4NzwvcGFnZXM+PHZvbHVtZT45PC92b2x1bWU+PG51bWJlcj42PC9udW1i
ZXI+PGVkaXRpb24+MjAxNC8wNi8xOTwvZWRpdGlvbj48a2V5d29yZHM+PGtleXdvcmQ+QWdlZDwv
a2V5d29yZD48a2V5d29yZD5EZWNpc2lvbiBUcmVlczwva2V5d29yZD48a2V5d29yZD5EaWFiZXRl
cyBNZWxsaXR1cywgVHlwZSAyLypjb21wbGljYXRpb25zPC9rZXl3b3JkPjxrZXl3b3JkPkRpYWJl
dGljIFJldGlub3BhdGh5LypjbGFzc2lmaWNhdGlvbi9kaWFnbm9zaXM8L2tleXdvcmQ+PGtleXdv
cmQ+RGlhZ25vc3RpYyBUZWNobmlxdWVzLCBPcGh0aGFsbW9sb2dpY2FsPC9rZXl3b3JkPjxrZXl3
b3JkPkh1bWFuczwva2V5d29yZD48a2V5d29yZD5NaWRkbGUgQWdlZDwva2V5d29yZD48a2V5d29y
ZD5ST0MgQ3VydmU8L2tleXdvcmQ+PC9rZXl3b3Jkcz48ZGF0ZXM+PHllYXI+MjAxNDwveWVhcj48
L2RhdGVzPjxpc2JuPjE5MzItNjIwMzwvaXNibj48YWNjZXNzaW9uLW51bT4yNDk0MDYyMzwvYWNj
ZXNzaW9uLW51bT48dXJscz48L3VybHM+PGN1c3RvbTI+UE1DNDA2MjQyMDwvY3VzdG9tMj48ZWxl
Y3Ryb25pYy1yZXNvdXJjZS1udW0+MTAuMTM3MS9qb3VybmFsLnBvbmUuMDA5ODU4NzwvZWxlY3Ry
b25pYy1yZXNvdXJjZS1udW0+PHJlbW90ZS1kYXRhYmFzZS1wcm92aWRlcj5OTE08L3JlbW90ZS1k
YXRhYmFzZS1wcm92aWRlcj48bGFuZ3VhZ2U+ZW5nPC9sYW5ndWFnZT48L3JlY29yZD48L0NpdGU+
PENpdGU+PEF1dGhvcj5Sb3NlPC9BdXRob3I+PFllYXI+MjAxMzwvWWVhcj48UmVjTnVtPjMwPC9S
ZWNOdW0+PHJlY29yZD48cmVjLW51bWJlcj4zMDwvcmVjLW51bWJlcj48Zm9yZWlnbi1rZXlzPjxr
ZXkgYXBwPSJFTiIgZGItaWQ9InZkcHQyOXQ1cnp4ZnBtZWRyd3J2ZHZzaXhzcHM1d2RlZTlycyIg
dGltZXN0YW1wPSIxNTI3NjI2MzE4Ij4zMDwva2V5PjwvZm9yZWlnbi1rZXlzPjxyZWYtdHlwZSBu
YW1lPSJKb3VybmFsIEFydGljbGUiPjE3PC9yZWYtdHlwZT48Y29udHJpYnV0b3JzPjxhdXRob3Jz
PjxhdXRob3I+Um9zZSwgUy48L2F1dGhvcj48L2F1dGhvcnM+PC9jb250cmlidXRvcnM+PGF1dGgt
YWRkcmVzcz5EZXBhcnRtZW50IG9mIEJpb3N0YXRpc3RpY3MsIEJsb29tYmVyZyBTY2hvb2wgb2Yg
UHVibGljIEhlYWx0aCwgSm9obnMgSG9wa2lucyBVbml2ZXJzaXR5LCBCYWx0aW1vcmUsIE1EIDIx
MjA1LCBVU0EuIHNyb3NlQGpoc3BoLmVkdTwvYXV0aC1hZGRyZXNzPjx0aXRsZXM+PHRpdGxlPk1v
cnRhbGl0eSByaXNrIHNjb3JlIHByZWRpY3Rpb24gaW4gYW4gZWxkZXJseSBwb3B1bGF0aW9uIHVz
aW5nIG1hY2hpbmUgbGVhcm5pbmc8L3RpdGxlPjxzZWNvbmRhcnktdGl0bGU+QW0gSiBFcGlkZW1p
b2w8L3NlY29uZGFyeS10aXRsZT48YWx0LXRpdGxlPkFtZXJpY2FuIGpvdXJuYWwgb2YgZXBpZGVt
aW9sb2d5PC9hbHQtdGl0bGU+PC90aXRsZXM+PHBlcmlvZGljYWw+PGZ1bGwtdGl0bGU+QW0gSiBF
cGlkZW1pb2w8L2Z1bGwtdGl0bGU+PC9wZXJpb2RpY2FsPjxwYWdlcz40NDMtNTI8L3BhZ2VzPjx2
b2x1bWU+MTc3PC92b2x1bWU+PG51bWJlcj41PC9udW1iZXI+PGVkaXRpb24+MjAxMy8wMi8wMTwv
ZWRpdGlvbj48a2V5d29yZHM+PGtleXdvcmQ+QWdlZDwva2V5d29yZD48a2V5d29yZD5BZ2VkLCA4
MCBhbmQgb3Zlcjwva2V5d29yZD48a2V5d29yZD4qQWxnb3JpdGhtczwva2V5d29yZD48a2V5d29y
ZD4qQXJ0aWZpY2lhbCBJbnRlbGxpZ2VuY2U8L2tleXdvcmQ+PGtleXdvcmQ+Q2FsaWZvcm5pYS9l
cGlkZW1pb2xvZ3k8L2tleXdvcmQ+PGtleXdvcmQ+RXBpZGVtaW9sb2dpYyBNZXRob2RzPC9rZXl3
b3JkPjxrZXl3b3JkPkh1bWFuczwva2V5d29yZD48a2V5d29yZD5NaWRkbGUgQWdlZDwva2V5d29y
ZD48a2V5d29yZD4qTW9ydGFsaXR5PC9rZXl3b3JkPjxrZXl3b3JkPlJlZ3Jlc3Npb24gQW5hbHlz
aXM8L2tleXdvcmQ+PGtleXdvcmQ+UmlzayBBc3Nlc3NtZW50LyptZXRob2RzPC9rZXl3b3JkPjwv
a2V5d29yZHM+PGRhdGVzPjx5ZWFyPjIwMTM8L3llYXI+PHB1Yi1kYXRlcz48ZGF0ZT5NYXIgMTwv
ZGF0ZT48L3B1Yi1kYXRlcz48L2RhdGVzPjxpc2JuPjAwMDItOTI2MjwvaXNibj48YWNjZXNzaW9u
LW51bT4yMzM2NDg3OTwvYWNjZXNzaW9uLW51bT48dXJscz48L3VybHM+PGVsZWN0cm9uaWMtcmVz
b3VyY2UtbnVtPjEwLjEwOTMvYWplL2t3czI0MTwvZWxlY3Ryb25pYy1yZXNvdXJjZS1udW0+PHJl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PEVuZE5vdGU+PENpdGU+PEF1dGhvcj5DYXNhbm92YTwvQXV0aG9yPjxZZWFyPjIwMTQ8L1llYXI+
PFJlY051bT4xMDM8L1JlY051bT48RGlzcGxheVRleHQ+WzMsIDRdPC9EaXNwbGF5VGV4dD48cmVj
b3JkPjxyZWMtbnVtYmVyPjEwMzwvcmVjLW51bWJlcj48Zm9yZWlnbi1rZXlzPjxrZXkgYXBwPSJF
TiIgZGItaWQ9InZkcHQyOXQ1cnp4ZnBtZWRyd3J2ZHZzaXhzcHM1d2RlZTlycyIgdGltZXN0YW1w
PSIxNTM0NTIwNDEyIj4xMDM8L2tleT48L2ZvcmVpZ24ta2V5cz48cmVmLXR5cGUgbmFtZT0iSm91
cm5hbCBBcnRpY2xlIj4xNzwvcmVmLXR5cGU+PGNvbnRyaWJ1dG9ycz48YXV0aG9ycz48YXV0aG9y
PkNhc2Fub3ZhLCBSLjwvYXV0aG9yPjxhdXRob3I+U2FsZGFuYSwgUy48L2F1dGhvcj48YXV0aG9y
PkNoZXcsIEUuIFkuPC9hdXRob3I+PGF1dGhvcj5EYW5pcywgUi4gUC48L2F1dGhvcj48YXV0aG9y
PkdyZXZlbiwgQy4gTS48L2F1dGhvcj48YXV0aG9yPkFtYnJvc2l1cywgVy4gVC48L2F1dGhvcj48
L2F1dGhvcnM+PC9jb250cmlidXRvcnM+PGF1dGgtYWRkcmVzcz5EZXBhcnRtZW50IG9mIEJpb3N0
YXRpc3RpY2FsIFNjaWVuY2VzLCBXYWtlIEZvcmVzdCBTY2hvb2wgb2YgTWVkaWNpbmUsIFdpbnN0
b24tU2FsZW0sIE5vcnRoIENhcm9saW5hLCBVbml0ZWQgU3RhdGVzIG9mIEFtZXJpY2EuJiN4RDtO
YXRpb25hbCBFeWUgSW5zdGl0dXRlLCBOYXRpb25hbCBJbnN0aXR1dGVzIG9mIEhlYWx0aCBbTklI
XSwgQmV0aGVzZGEsIE1hcnlsYW5kLCBVbml0ZWQgU3RhdGVzIG9mIEFtZXJpY2EuJiN4RDtGdW5k
dXMgUGhvdG9ncmFwaCBSZWFkaW5nIENlbnRlciwgVW5pdmVyc2l0eSBvZiBXaXNjb25zaW4sIE1h
ZGlzb24sIFdpc2NvbnNpbiwgVW5pdGVkIFN0YXRlcyBvZiBBbWVyaWNhLiYjeEQ7V2FrZSBGb3Jl
c3QgU2Nob29sIG9mIE1lZGljaW5lLCBXaW5zdG9uLVNhbGVtLCBOb3J0aCBDYXJvbGluYSwgVW5p
dGVkIFN0YXRlcyBvZiBBbWVyaWNhLjwvYXV0aC1hZGRyZXNzPjx0aXRsZXM+PHRpdGxlPkFwcGxp
Y2F0aW9uIG9mIHJhbmRvbSBmb3Jlc3RzIG1ldGhvZHMgdG8gZGlhYmV0aWMgcmV0aW5vcGF0aHkg
Y2xhc3NpZmljYXRpb24gYW5hbHlzZXM8L3RpdGxlPjxzZWNvbmRhcnktdGl0bGU+UExvUyBPbmU8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YWw+PHBhZ2VzPmU5ODU4NzwvcGFnZXM+PHZvbHVtZT45PC92b2x1bWU+PG51bWJlcj42PC9udW1i
ZXI+PGVkaXRpb24+MjAxNC8wNi8xOTwvZWRpdGlvbj48a2V5d29yZHM+PGtleXdvcmQ+QWdlZDwv
a2V5d29yZD48a2V5d29yZD5EZWNpc2lvbiBUcmVlczwva2V5d29yZD48a2V5d29yZD5EaWFiZXRl
cyBNZWxsaXR1cywgVHlwZSAyLypjb21wbGljYXRpb25zPC9rZXl3b3JkPjxrZXl3b3JkPkRpYWJl
dGljIFJldGlub3BhdGh5LypjbGFzc2lmaWNhdGlvbi9kaWFnbm9zaXM8L2tleXdvcmQ+PGtleXdv
cmQ+RGlhZ25vc3RpYyBUZWNobmlxdWVzLCBPcGh0aGFsbW9sb2dpY2FsPC9rZXl3b3JkPjxrZXl3
b3JkPkh1bWFuczwva2V5d29yZD48a2V5d29yZD5NaWRkbGUgQWdlZDwva2V5d29yZD48a2V5d29y
ZD5ST0MgQ3VydmU8L2tleXdvcmQ+PC9rZXl3b3Jkcz48ZGF0ZXM+PHllYXI+MjAxNDwveWVhcj48
L2RhdGVzPjxpc2JuPjE5MzItNjIwMzwvaXNibj48YWNjZXNzaW9uLW51bT4yNDk0MDYyMzwvYWNj
ZXNzaW9uLW51bT48dXJscz48L3VybHM+PGN1c3RvbTI+UE1DNDA2MjQyMDwvY3VzdG9tMj48ZWxl
Y3Ryb25pYy1yZXNvdXJjZS1udW0+MTAuMTM3MS9qb3VybmFsLnBvbmUuMDA5ODU4NzwvZWxlY3Ry
b25pYy1yZXNvdXJjZS1udW0+PHJlbW90ZS1kYXRhYmFzZS1wcm92aWRlcj5OTE08L3JlbW90ZS1k
YXRhYmFzZS1wcm92aWRlcj48bGFuZ3VhZ2U+ZW5nPC9sYW5ndWFnZT48L3JlY29yZD48L0NpdGU+
PENpdGU+PEF1dGhvcj5Sb3NlPC9BdXRob3I+PFllYXI+MjAxMzwvWWVhcj48UmVjTnVtPjMwPC9S
ZWNOdW0+PHJlY29yZD48cmVjLW51bWJlcj4zMDwvcmVjLW51bWJlcj48Zm9yZWlnbi1rZXlzPjxr
ZXkgYXBwPSJFTiIgZGItaWQ9InZkcHQyOXQ1cnp4ZnBtZWRyd3J2ZHZzaXhzcHM1d2RlZTlycyIg
dGltZXN0YW1wPSIxNTI3NjI2MzE4Ij4zMDwva2V5PjwvZm9yZWlnbi1rZXlzPjxyZWYtdHlwZSBu
YW1lPSJKb3VybmFsIEFydGljbGUiPjE3PC9yZWYtdHlwZT48Y29udHJpYnV0b3JzPjxhdXRob3Jz
PjxhdXRob3I+Um9zZSwgUy48L2F1dGhvcj48L2F1dGhvcnM+PC9jb250cmlidXRvcnM+PGF1dGgt
YWRkcmVzcz5EZXBhcnRtZW50IG9mIEJpb3N0YXRpc3RpY3MsIEJsb29tYmVyZyBTY2hvb2wgb2Yg
UHVibGljIEhlYWx0aCwgSm9obnMgSG9wa2lucyBVbml2ZXJzaXR5LCBCYWx0aW1vcmUsIE1EIDIx
MjA1LCBVU0EuIHNyb3NlQGpoc3BoLmVkdTwvYXV0aC1hZGRyZXNzPjx0aXRsZXM+PHRpdGxlPk1v
cnRhbGl0eSByaXNrIHNjb3JlIHByZWRpY3Rpb24gaW4gYW4gZWxkZXJseSBwb3B1bGF0aW9uIHVz
aW5nIG1hY2hpbmUgbGVhcm5pbmc8L3RpdGxlPjxzZWNvbmRhcnktdGl0bGU+QW0gSiBFcGlkZW1p
b2w8L3NlY29uZGFyeS10aXRsZT48YWx0LXRpdGxlPkFtZXJpY2FuIGpvdXJuYWwgb2YgZXBpZGVt
aW9sb2d5PC9hbHQtdGl0bGU+PC90aXRsZXM+PHBlcmlvZGljYWw+PGZ1bGwtdGl0bGU+QW0gSiBF
cGlkZW1pb2w8L2Z1bGwtdGl0bGU+PC9wZXJpb2RpY2FsPjxwYWdlcz40NDMtNTI8L3BhZ2VzPjx2
b2x1bWU+MTc3PC92b2x1bWU+PG51bWJlcj41PC9udW1iZXI+PGVkaXRpb24+MjAxMy8wMi8wMTwv
ZWRpdGlvbj48a2V5d29yZHM+PGtleXdvcmQ+QWdlZDwva2V5d29yZD48a2V5d29yZD5BZ2VkLCA4
MCBhbmQgb3Zlcjwva2V5d29yZD48a2V5d29yZD4qQWxnb3JpdGhtczwva2V5d29yZD48a2V5d29y
ZD4qQXJ0aWZpY2lhbCBJbnRlbGxpZ2VuY2U8L2tleXdvcmQ+PGtleXdvcmQ+Q2FsaWZvcm5pYS9l
cGlkZW1pb2xvZ3k8L2tleXdvcmQ+PGtleXdvcmQ+RXBpZGVtaW9sb2dpYyBNZXRob2RzPC9rZXl3
b3JkPjxrZXl3b3JkPkh1bWFuczwva2V5d29yZD48a2V5d29yZD5NaWRkbGUgQWdlZDwva2V5d29y
ZD48a2V5d29yZD4qTW9ydGFsaXR5PC9rZXl3b3JkPjxrZXl3b3JkPlJlZ3Jlc3Npb24gQW5hbHlz
aXM8L2tleXdvcmQ+PGtleXdvcmQ+UmlzayBBc3Nlc3NtZW50LyptZXRob2RzPC9rZXl3b3JkPjwv
a2V5d29yZHM+PGRhdGVzPjx5ZWFyPjIwMTM8L3llYXI+PHB1Yi1kYXRlcz48ZGF0ZT5NYXIgMTwv
ZGF0ZT48L3B1Yi1kYXRlcz48L2RhdGVzPjxpc2JuPjAwMDItOTI2MjwvaXNibj48YWNjZXNzaW9u
LW51bT4yMzM2NDg3OTwvYWNjZXNzaW9uLW51bT48dXJscz48L3VybHM+PGVsZWN0cm9uaWMtcmVz
b3VyY2UtbnVtPjEwLjEwOTMvYWplL2t3czI0MTwvZWxlY3Ryb25pYy1yZXNvdXJjZS1udW0+PHJl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[3, 4]</w:t>
      </w:r>
      <w:r>
        <w:rPr>
          <w:rFonts w:cstheme="minorHAnsi"/>
          <w:sz w:val="24"/>
          <w:szCs w:val="24"/>
        </w:rPr>
        <w:fldChar w:fldCharType="end"/>
      </w:r>
      <w:r w:rsidR="00E87D09">
        <w:rPr>
          <w:rFonts w:cstheme="minorHAnsi"/>
          <w:sz w:val="24"/>
          <w:szCs w:val="24"/>
        </w:rPr>
        <w:t xml:space="preserve"> (Figure S.1)</w:t>
      </w:r>
      <w:r w:rsidRPr="007620DC">
        <w:rPr>
          <w:rFonts w:cstheme="minorHAnsi"/>
          <w:sz w:val="24"/>
          <w:szCs w:val="24"/>
        </w:rPr>
        <w:t xml:space="preserve">. </w:t>
      </w:r>
      <w:r w:rsidR="00017185">
        <w:rPr>
          <w:rFonts w:cstheme="minorHAnsi"/>
          <w:sz w:val="24"/>
          <w:szCs w:val="24"/>
        </w:rPr>
        <w:t>W</w:t>
      </w:r>
      <w:r w:rsidR="00017185" w:rsidRPr="00017185">
        <w:rPr>
          <w:rFonts w:cstheme="minorHAnsi"/>
          <w:sz w:val="24"/>
          <w:szCs w:val="24"/>
        </w:rPr>
        <w:t xml:space="preserve">e performed random forests analyses to fit 1,000 bootstrapped classification trees, using the randomForest package (version 4.6-14).  </w:t>
      </w:r>
    </w:p>
    <w:p w14:paraId="299571B6" w14:textId="77777777" w:rsidR="00222142" w:rsidRDefault="00222142" w:rsidP="00D06FA1">
      <w:pPr>
        <w:spacing w:line="480" w:lineRule="auto"/>
        <w:rPr>
          <w:rFonts w:cstheme="minorHAnsi"/>
          <w:sz w:val="24"/>
          <w:szCs w:val="24"/>
        </w:rPr>
      </w:pPr>
    </w:p>
    <w:p w14:paraId="4C77390F" w14:textId="25DCFAFD" w:rsidR="00E87D09" w:rsidRDefault="00D06FA1" w:rsidP="00D06FA1">
      <w:pPr>
        <w:spacing w:line="480" w:lineRule="auto"/>
        <w:rPr>
          <w:rFonts w:cstheme="minorHAnsi"/>
          <w:sz w:val="24"/>
          <w:szCs w:val="24"/>
        </w:rPr>
      </w:pPr>
      <w:r w:rsidRPr="007620DC">
        <w:rPr>
          <w:rFonts w:cstheme="minorHAnsi"/>
          <w:sz w:val="24"/>
          <w:szCs w:val="24"/>
        </w:rPr>
        <w:t xml:space="preserve">The C-statistic for </w:t>
      </w:r>
      <w:r w:rsidR="00E87D09">
        <w:rPr>
          <w:rFonts w:cstheme="minorHAnsi"/>
          <w:sz w:val="24"/>
          <w:szCs w:val="24"/>
        </w:rPr>
        <w:t xml:space="preserve">predicting </w:t>
      </w:r>
      <w:r w:rsidRPr="007620DC">
        <w:rPr>
          <w:rFonts w:cstheme="minorHAnsi"/>
          <w:sz w:val="24"/>
          <w:szCs w:val="24"/>
        </w:rPr>
        <w:t xml:space="preserve">CRO colonization in RF analysis was 0.65, a </w:t>
      </w:r>
      <w:r>
        <w:rPr>
          <w:rFonts w:cstheme="minorHAnsi"/>
          <w:sz w:val="24"/>
          <w:szCs w:val="24"/>
        </w:rPr>
        <w:t>14</w:t>
      </w:r>
      <w:r w:rsidRPr="007620DC">
        <w:rPr>
          <w:rFonts w:cstheme="minorHAnsi"/>
          <w:sz w:val="24"/>
          <w:szCs w:val="24"/>
        </w:rPr>
        <w:t xml:space="preserve">% increase from the single </w:t>
      </w:r>
      <w:r>
        <w:rPr>
          <w:rFonts w:cstheme="minorHAnsi"/>
          <w:sz w:val="24"/>
          <w:szCs w:val="24"/>
        </w:rPr>
        <w:t>decision tree (C-statistic 0.57</w:t>
      </w:r>
      <w:r w:rsidRPr="007620DC">
        <w:rPr>
          <w:rFonts w:cstheme="minorHAnsi"/>
          <w:sz w:val="24"/>
          <w:szCs w:val="24"/>
        </w:rPr>
        <w:t>)</w:t>
      </w:r>
      <w:r>
        <w:rPr>
          <w:rFonts w:cstheme="minorHAnsi"/>
          <w:sz w:val="24"/>
          <w:szCs w:val="24"/>
        </w:rPr>
        <w:t>.</w:t>
      </w:r>
      <w:r w:rsidRPr="007620DC">
        <w:rPr>
          <w:rFonts w:cstheme="minorHAnsi"/>
          <w:sz w:val="24"/>
          <w:szCs w:val="24"/>
        </w:rPr>
        <w:t xml:space="preserve"> Consistent with the single de</w:t>
      </w:r>
      <w:r>
        <w:rPr>
          <w:rFonts w:cstheme="minorHAnsi"/>
          <w:sz w:val="24"/>
          <w:szCs w:val="24"/>
        </w:rPr>
        <w:t>cision t</w:t>
      </w:r>
      <w:r w:rsidR="00E87D09">
        <w:rPr>
          <w:rFonts w:cstheme="minorHAnsi"/>
          <w:sz w:val="24"/>
          <w:szCs w:val="24"/>
        </w:rPr>
        <w:t xml:space="preserve">ree’s placement of a recent CRO-positive </w:t>
      </w:r>
      <w:r>
        <w:rPr>
          <w:rFonts w:cstheme="minorHAnsi"/>
          <w:sz w:val="24"/>
          <w:szCs w:val="24"/>
        </w:rPr>
        <w:t>culture</w:t>
      </w:r>
      <w:r w:rsidRPr="007620DC">
        <w:rPr>
          <w:rFonts w:cstheme="minorHAnsi"/>
          <w:sz w:val="24"/>
          <w:szCs w:val="24"/>
        </w:rPr>
        <w:t xml:space="preserve"> in the root node, which is reserved for the most discriminatory variable, RF analysis also identified this exposure as the most important for predicting CRO colonization status at admission (</w:t>
      </w:r>
      <w:r w:rsidRPr="00170722">
        <w:rPr>
          <w:rFonts w:cstheme="minorHAnsi"/>
          <w:sz w:val="24"/>
          <w:szCs w:val="24"/>
        </w:rPr>
        <w:t xml:space="preserve">Figure </w:t>
      </w:r>
      <w:r w:rsidR="00E87D09">
        <w:rPr>
          <w:rFonts w:cstheme="minorHAnsi"/>
          <w:sz w:val="24"/>
          <w:szCs w:val="24"/>
        </w:rPr>
        <w:t>S.1</w:t>
      </w:r>
      <w:r w:rsidRPr="007620DC">
        <w:rPr>
          <w:rFonts w:cstheme="minorHAnsi"/>
          <w:sz w:val="24"/>
          <w:szCs w:val="24"/>
        </w:rPr>
        <w:t xml:space="preserve">). </w:t>
      </w:r>
    </w:p>
    <w:p w14:paraId="43091DE8" w14:textId="77777777" w:rsidR="00E87D09" w:rsidRDefault="00E87D09" w:rsidP="00D06FA1">
      <w:pPr>
        <w:spacing w:line="480" w:lineRule="auto"/>
        <w:rPr>
          <w:rFonts w:cstheme="minorHAnsi"/>
          <w:sz w:val="24"/>
          <w:szCs w:val="24"/>
        </w:rPr>
      </w:pPr>
    </w:p>
    <w:p w14:paraId="6B9FE449" w14:textId="23D72A7A" w:rsidR="00D06FA1" w:rsidRDefault="00D06FA1" w:rsidP="00D06FA1">
      <w:pPr>
        <w:spacing w:line="480" w:lineRule="auto"/>
        <w:rPr>
          <w:rFonts w:cstheme="minorHAnsi"/>
          <w:sz w:val="24"/>
          <w:szCs w:val="24"/>
        </w:rPr>
      </w:pPr>
      <w:r>
        <w:rPr>
          <w:rFonts w:cstheme="minorHAnsi"/>
          <w:sz w:val="24"/>
          <w:szCs w:val="24"/>
        </w:rPr>
        <w:t>Using the RF variable rankings, w</w:t>
      </w:r>
      <w:r w:rsidRPr="007620DC">
        <w:rPr>
          <w:rFonts w:cstheme="minorHAnsi"/>
          <w:sz w:val="24"/>
          <w:szCs w:val="24"/>
        </w:rPr>
        <w:t>e selected the five most impor</w:t>
      </w:r>
      <w:r>
        <w:rPr>
          <w:rFonts w:cstheme="minorHAnsi"/>
          <w:sz w:val="24"/>
          <w:szCs w:val="24"/>
        </w:rPr>
        <w:t xml:space="preserve">tant, non-nested </w:t>
      </w:r>
      <w:r w:rsidRPr="007620DC">
        <w:rPr>
          <w:rFonts w:cstheme="minorHAnsi"/>
          <w:sz w:val="24"/>
          <w:szCs w:val="24"/>
        </w:rPr>
        <w:t xml:space="preserve">variables for inclusion in a multivariable logistic regression model (nested variables, e.g., </w:t>
      </w:r>
      <w:r>
        <w:rPr>
          <w:rFonts w:cstheme="minorHAnsi"/>
          <w:sz w:val="24"/>
          <w:szCs w:val="24"/>
        </w:rPr>
        <w:t>prior CRO culture</w:t>
      </w:r>
      <w:r w:rsidRPr="007620DC">
        <w:rPr>
          <w:rFonts w:cstheme="minorHAnsi"/>
          <w:sz w:val="24"/>
          <w:szCs w:val="24"/>
        </w:rPr>
        <w:t xml:space="preserve"> and </w:t>
      </w:r>
      <w:r>
        <w:rPr>
          <w:rFonts w:cstheme="minorHAnsi"/>
          <w:sz w:val="24"/>
          <w:szCs w:val="24"/>
        </w:rPr>
        <w:t>prior MDRGN culture</w:t>
      </w:r>
      <w:r w:rsidRPr="007620DC">
        <w:rPr>
          <w:rFonts w:cstheme="minorHAnsi"/>
          <w:sz w:val="24"/>
          <w:szCs w:val="24"/>
        </w:rPr>
        <w:t>, would violate logistic regression’s requirement for variable non-collinearity</w:t>
      </w:r>
      <w:r>
        <w:rPr>
          <w:rFonts w:cstheme="minorHAnsi"/>
          <w:sz w:val="24"/>
          <w:szCs w:val="24"/>
        </w:rPr>
        <w:t>)</w:t>
      </w:r>
      <w:r w:rsidRPr="007620DC">
        <w:rPr>
          <w:rFonts w:cstheme="minorHAnsi"/>
          <w:sz w:val="24"/>
          <w:szCs w:val="24"/>
        </w:rPr>
        <w:t>. These variables in order of importance were: CRO</w:t>
      </w:r>
      <w:r>
        <w:rPr>
          <w:rFonts w:cstheme="minorHAnsi"/>
          <w:sz w:val="24"/>
          <w:szCs w:val="24"/>
        </w:rPr>
        <w:t>-positive</w:t>
      </w:r>
      <w:r w:rsidRPr="007620DC">
        <w:rPr>
          <w:rFonts w:cstheme="minorHAnsi"/>
          <w:sz w:val="24"/>
          <w:szCs w:val="24"/>
        </w:rPr>
        <w:t xml:space="preserve"> culture in the prior six months, </w:t>
      </w:r>
      <w:r>
        <w:rPr>
          <w:rFonts w:cstheme="minorHAnsi"/>
          <w:sz w:val="24"/>
          <w:szCs w:val="24"/>
        </w:rPr>
        <w:t>t</w:t>
      </w:r>
      <w:r w:rsidRPr="007620DC">
        <w:rPr>
          <w:rFonts w:cstheme="minorHAnsi"/>
          <w:sz w:val="24"/>
          <w:szCs w:val="24"/>
        </w:rPr>
        <w:t xml:space="preserve">otal days of hospitalization in </w:t>
      </w:r>
      <w:r>
        <w:rPr>
          <w:rFonts w:cstheme="minorHAnsi"/>
          <w:sz w:val="24"/>
          <w:szCs w:val="24"/>
        </w:rPr>
        <w:t xml:space="preserve">the prior six months, </w:t>
      </w:r>
      <w:r w:rsidRPr="007620DC">
        <w:rPr>
          <w:rFonts w:cstheme="minorHAnsi"/>
          <w:sz w:val="24"/>
          <w:szCs w:val="24"/>
        </w:rPr>
        <w:t>Elixhau</w:t>
      </w:r>
      <w:r>
        <w:rPr>
          <w:rFonts w:cstheme="minorHAnsi"/>
          <w:sz w:val="24"/>
          <w:szCs w:val="24"/>
        </w:rPr>
        <w:t xml:space="preserve">ser severity of illness score, </w:t>
      </w:r>
      <w:r>
        <w:rPr>
          <w:rFonts w:cstheme="minorHAnsi"/>
          <w:sz w:val="24"/>
          <w:szCs w:val="24"/>
        </w:rPr>
        <w:lastRenderedPageBreak/>
        <w:t>and total DDD-standardized doses o</w:t>
      </w:r>
      <w:r w:rsidRPr="007620DC">
        <w:rPr>
          <w:rFonts w:cstheme="minorHAnsi"/>
          <w:sz w:val="24"/>
          <w:szCs w:val="24"/>
        </w:rPr>
        <w:t>f</w:t>
      </w:r>
      <w:r>
        <w:rPr>
          <w:rFonts w:cstheme="minorHAnsi"/>
          <w:sz w:val="24"/>
          <w:szCs w:val="24"/>
        </w:rPr>
        <w:t xml:space="preserve"> antibiotics with Gram-negative coverage and</w:t>
      </w:r>
      <w:r w:rsidRPr="007620DC">
        <w:rPr>
          <w:rFonts w:cstheme="minorHAnsi"/>
          <w:sz w:val="24"/>
          <w:szCs w:val="24"/>
        </w:rPr>
        <w:t xml:space="preserve"> immunosuppressive therapy in the prior three months.</w:t>
      </w:r>
      <w:r>
        <w:rPr>
          <w:rFonts w:cstheme="minorHAnsi"/>
          <w:sz w:val="24"/>
          <w:szCs w:val="24"/>
        </w:rPr>
        <w:t xml:space="preserve"> The resulting model’s C-statistic was 0.62 (</w:t>
      </w:r>
      <w:r w:rsidR="00E87D09">
        <w:rPr>
          <w:rFonts w:cstheme="minorHAnsi"/>
          <w:sz w:val="24"/>
          <w:szCs w:val="24"/>
        </w:rPr>
        <w:t>Figures S.1 and S.2)</w:t>
      </w:r>
      <w:r>
        <w:rPr>
          <w:rFonts w:cstheme="minorHAnsi"/>
          <w:sz w:val="24"/>
          <w:szCs w:val="24"/>
        </w:rPr>
        <w:t>.</w:t>
      </w:r>
      <w:r w:rsidR="00E87D09">
        <w:rPr>
          <w:rFonts w:cstheme="minorHAnsi"/>
          <w:sz w:val="24"/>
          <w:szCs w:val="24"/>
        </w:rPr>
        <w:t xml:space="preserve"> Although we did not pursue this analysis further, this logistic regression model could be evaluated for conversion to a </w:t>
      </w:r>
      <w:r w:rsidR="00215A65">
        <w:rPr>
          <w:rFonts w:cstheme="minorHAnsi"/>
          <w:sz w:val="24"/>
          <w:szCs w:val="24"/>
        </w:rPr>
        <w:t xml:space="preserve">more user-friendly </w:t>
      </w:r>
      <w:r w:rsidR="00E87D09">
        <w:rPr>
          <w:rFonts w:cstheme="minorHAnsi"/>
          <w:sz w:val="24"/>
          <w:szCs w:val="24"/>
        </w:rPr>
        <w:t>prediction model (e.g., a clinical risk score).</w:t>
      </w:r>
    </w:p>
    <w:p w14:paraId="6220D5A9" w14:textId="20B1A457" w:rsidR="007E062C" w:rsidRDefault="007E062C" w:rsidP="00D06FA1">
      <w:pPr>
        <w:spacing w:line="480" w:lineRule="auto"/>
        <w:rPr>
          <w:rFonts w:cstheme="minorHAnsi"/>
          <w:sz w:val="24"/>
          <w:szCs w:val="24"/>
        </w:rPr>
      </w:pPr>
    </w:p>
    <w:p w14:paraId="6A5BBF9C" w14:textId="3D3F80F9" w:rsidR="007E062C" w:rsidRPr="007620DC" w:rsidRDefault="007E062C" w:rsidP="007E062C">
      <w:pPr>
        <w:spacing w:line="480" w:lineRule="auto"/>
        <w:rPr>
          <w:rFonts w:cstheme="minorHAnsi"/>
          <w:sz w:val="24"/>
          <w:szCs w:val="24"/>
        </w:rPr>
      </w:pPr>
      <w:r w:rsidRPr="007620DC">
        <w:rPr>
          <w:rFonts w:cstheme="minorHAnsi"/>
          <w:sz w:val="24"/>
          <w:szCs w:val="24"/>
        </w:rPr>
        <w:t>In the RF model for CPO colonization, discrimination also rose (C-statistic</w:t>
      </w:r>
      <w:r>
        <w:rPr>
          <w:rFonts w:cstheme="minorHAnsi"/>
          <w:sz w:val="24"/>
          <w:szCs w:val="24"/>
        </w:rPr>
        <w:t xml:space="preserve"> 0.70</w:t>
      </w:r>
      <w:r w:rsidR="00F01469">
        <w:rPr>
          <w:rFonts w:cstheme="minorHAnsi"/>
          <w:sz w:val="24"/>
          <w:szCs w:val="24"/>
        </w:rPr>
        <w:t>, 21% improvement</w:t>
      </w:r>
      <w:r w:rsidRPr="007620DC">
        <w:rPr>
          <w:rFonts w:cstheme="minorHAnsi"/>
          <w:sz w:val="24"/>
          <w:szCs w:val="24"/>
        </w:rPr>
        <w:t>) relative to the original CART decision tree. The top five, non-nested variables in order of importance</w:t>
      </w:r>
      <w:r>
        <w:rPr>
          <w:rFonts w:cstheme="minorHAnsi"/>
          <w:sz w:val="24"/>
          <w:szCs w:val="24"/>
        </w:rPr>
        <w:t xml:space="preserve"> for predicting CPO colonization</w:t>
      </w:r>
      <w:r w:rsidRPr="007620DC">
        <w:rPr>
          <w:rFonts w:cstheme="minorHAnsi"/>
          <w:sz w:val="24"/>
          <w:szCs w:val="24"/>
        </w:rPr>
        <w:t xml:space="preserve"> were: CRO</w:t>
      </w:r>
      <w:r>
        <w:rPr>
          <w:rFonts w:cstheme="minorHAnsi"/>
          <w:sz w:val="24"/>
          <w:szCs w:val="24"/>
        </w:rPr>
        <w:t>-positive</w:t>
      </w:r>
      <w:r w:rsidRPr="007620DC">
        <w:rPr>
          <w:rFonts w:cstheme="minorHAnsi"/>
          <w:sz w:val="24"/>
          <w:szCs w:val="24"/>
        </w:rPr>
        <w:t xml:space="preserve"> culture in the prior six months, Elixhauser sever</w:t>
      </w:r>
      <w:r>
        <w:rPr>
          <w:rFonts w:cstheme="minorHAnsi"/>
          <w:sz w:val="24"/>
          <w:szCs w:val="24"/>
        </w:rPr>
        <w:t>ity of illness score, total DDD-standardized doses</w:t>
      </w:r>
      <w:r w:rsidRPr="007620DC">
        <w:rPr>
          <w:rFonts w:cstheme="minorHAnsi"/>
          <w:sz w:val="24"/>
          <w:szCs w:val="24"/>
        </w:rPr>
        <w:t xml:space="preserve"> of antibiotics with Gram-negative activity in the prior three months, time from hospital-to-unit admission (days), and total number of days of immunosuppressive </w:t>
      </w:r>
      <w:r>
        <w:rPr>
          <w:rFonts w:cstheme="minorHAnsi"/>
          <w:sz w:val="24"/>
          <w:szCs w:val="24"/>
        </w:rPr>
        <w:t xml:space="preserve">therapy </w:t>
      </w:r>
      <w:r w:rsidRPr="007620DC">
        <w:rPr>
          <w:rFonts w:cstheme="minorHAnsi"/>
          <w:sz w:val="24"/>
          <w:szCs w:val="24"/>
        </w:rPr>
        <w:t>in the three months preceding unit admission. In logistic regression incorporating these variables, the C-statistic was 0.70 (</w:t>
      </w:r>
      <w:r w:rsidRPr="00170722">
        <w:rPr>
          <w:rFonts w:cstheme="minorHAnsi"/>
          <w:sz w:val="24"/>
          <w:szCs w:val="24"/>
        </w:rPr>
        <w:t>Figure</w:t>
      </w:r>
      <w:r>
        <w:rPr>
          <w:rFonts w:cstheme="minorHAnsi"/>
          <w:sz w:val="24"/>
          <w:szCs w:val="24"/>
        </w:rPr>
        <w:t>s S.2 and S.3</w:t>
      </w:r>
      <w:r w:rsidRPr="00723A3B">
        <w:rPr>
          <w:rFonts w:cstheme="minorHAnsi"/>
          <w:sz w:val="24"/>
          <w:szCs w:val="24"/>
        </w:rPr>
        <w:t>).</w:t>
      </w:r>
      <w:r w:rsidRPr="007620DC">
        <w:rPr>
          <w:rFonts w:cstheme="minorHAnsi"/>
          <w:sz w:val="24"/>
          <w:szCs w:val="24"/>
        </w:rPr>
        <w:t xml:space="preserve"> </w:t>
      </w:r>
    </w:p>
    <w:p w14:paraId="59FA5F51" w14:textId="77777777" w:rsidR="007E062C" w:rsidRDefault="007E062C" w:rsidP="00D06FA1">
      <w:pPr>
        <w:spacing w:line="480" w:lineRule="auto"/>
        <w:rPr>
          <w:rFonts w:cstheme="minorHAnsi"/>
          <w:sz w:val="24"/>
          <w:szCs w:val="24"/>
        </w:rPr>
      </w:pPr>
    </w:p>
    <w:p w14:paraId="19168390" w14:textId="77777777" w:rsidR="007E062C" w:rsidRDefault="007E062C" w:rsidP="00E87D09">
      <w:pPr>
        <w:spacing w:line="240" w:lineRule="auto"/>
        <w:rPr>
          <w:rFonts w:cstheme="minorHAnsi"/>
          <w:b/>
          <w:sz w:val="24"/>
          <w:szCs w:val="24"/>
        </w:rPr>
      </w:pPr>
    </w:p>
    <w:p w14:paraId="1E417DE4" w14:textId="77777777" w:rsidR="007E062C" w:rsidRDefault="007E062C" w:rsidP="00E87D09">
      <w:pPr>
        <w:spacing w:line="240" w:lineRule="auto"/>
        <w:rPr>
          <w:rFonts w:cstheme="minorHAnsi"/>
          <w:b/>
          <w:sz w:val="24"/>
          <w:szCs w:val="24"/>
        </w:rPr>
      </w:pPr>
    </w:p>
    <w:p w14:paraId="4E59E669" w14:textId="77777777" w:rsidR="007E062C" w:rsidRDefault="007E062C" w:rsidP="00E87D09">
      <w:pPr>
        <w:spacing w:line="240" w:lineRule="auto"/>
        <w:rPr>
          <w:rFonts w:cstheme="minorHAnsi"/>
          <w:b/>
          <w:sz w:val="24"/>
          <w:szCs w:val="24"/>
        </w:rPr>
      </w:pPr>
    </w:p>
    <w:p w14:paraId="33048A77" w14:textId="77777777" w:rsidR="007E062C" w:rsidRDefault="007E062C" w:rsidP="00E87D09">
      <w:pPr>
        <w:spacing w:line="240" w:lineRule="auto"/>
        <w:rPr>
          <w:rFonts w:cstheme="minorHAnsi"/>
          <w:b/>
          <w:sz w:val="24"/>
          <w:szCs w:val="24"/>
        </w:rPr>
      </w:pPr>
    </w:p>
    <w:p w14:paraId="61599471" w14:textId="77777777" w:rsidR="007E062C" w:rsidRDefault="007E062C" w:rsidP="00E87D09">
      <w:pPr>
        <w:spacing w:line="240" w:lineRule="auto"/>
        <w:rPr>
          <w:rFonts w:cstheme="minorHAnsi"/>
          <w:b/>
          <w:sz w:val="24"/>
          <w:szCs w:val="24"/>
        </w:rPr>
      </w:pPr>
    </w:p>
    <w:p w14:paraId="62298BE1" w14:textId="77777777" w:rsidR="007E062C" w:rsidRDefault="007E062C" w:rsidP="00E87D09">
      <w:pPr>
        <w:spacing w:line="240" w:lineRule="auto"/>
        <w:rPr>
          <w:rFonts w:cstheme="minorHAnsi"/>
          <w:b/>
          <w:sz w:val="24"/>
          <w:szCs w:val="24"/>
        </w:rPr>
      </w:pPr>
    </w:p>
    <w:p w14:paraId="3BA4100F" w14:textId="2D86B5EC" w:rsidR="00E87D09" w:rsidRPr="00234F87" w:rsidRDefault="00E87D09" w:rsidP="00234F87">
      <w:pPr>
        <w:spacing w:line="480" w:lineRule="auto"/>
        <w:rPr>
          <w:rFonts w:cstheme="minorHAnsi"/>
          <w:sz w:val="24"/>
          <w:szCs w:val="24"/>
        </w:rPr>
      </w:pPr>
      <w:r w:rsidRPr="00234F87">
        <w:rPr>
          <w:rFonts w:cstheme="minorHAnsi"/>
          <w:b/>
          <w:sz w:val="24"/>
          <w:szCs w:val="24"/>
        </w:rPr>
        <w:lastRenderedPageBreak/>
        <w:t xml:space="preserve">Figure S.1. </w:t>
      </w:r>
      <w:r w:rsidRPr="00234F87">
        <w:rPr>
          <w:rFonts w:cstheme="minorHAnsi"/>
          <w:sz w:val="24"/>
          <w:szCs w:val="24"/>
        </w:rPr>
        <w:t>Random Forests Analysis Variable Importance Plot of Most Predictive Variables for CRO Colonization at Unit Admission and Corresponding Logistic Regression Output</w:t>
      </w:r>
    </w:p>
    <w:p w14:paraId="2008D955" w14:textId="77777777" w:rsidR="00E87D09" w:rsidRDefault="00E87D09" w:rsidP="00E87D09">
      <w:pPr>
        <w:spacing w:line="240" w:lineRule="auto"/>
        <w:rPr>
          <w:rFonts w:cstheme="minorHAnsi"/>
          <w:b/>
          <w:sz w:val="24"/>
          <w:szCs w:val="24"/>
        </w:rPr>
      </w:pPr>
    </w:p>
    <w:p w14:paraId="0E86491B" w14:textId="77777777" w:rsidR="00E87D09" w:rsidRDefault="00E87D09" w:rsidP="00E87D09">
      <w:pPr>
        <w:spacing w:line="240" w:lineRule="auto"/>
        <w:rPr>
          <w:rFonts w:cstheme="minorHAnsi"/>
          <w:b/>
          <w:sz w:val="24"/>
          <w:szCs w:val="24"/>
        </w:rPr>
      </w:pPr>
      <w:r>
        <w:rPr>
          <w:rFonts w:cstheme="minorHAnsi"/>
          <w:b/>
          <w:noProof/>
          <w:sz w:val="24"/>
          <w:szCs w:val="24"/>
        </w:rPr>
        <w:drawing>
          <wp:inline distT="0" distB="0" distL="0" distR="0" wp14:anchorId="6E1ADEDB" wp14:editId="17E45885">
            <wp:extent cx="5943600" cy="5410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RO VI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410200"/>
                    </a:xfrm>
                    <a:prstGeom prst="rect">
                      <a:avLst/>
                    </a:prstGeom>
                  </pic:spPr>
                </pic:pic>
              </a:graphicData>
            </a:graphic>
          </wp:inline>
        </w:drawing>
      </w:r>
    </w:p>
    <w:p w14:paraId="50AF3F43" w14:textId="288CC513" w:rsidR="00E87D09" w:rsidRPr="00234F87" w:rsidRDefault="00E87D09" w:rsidP="00E87D09">
      <w:pPr>
        <w:spacing w:line="240" w:lineRule="auto"/>
        <w:rPr>
          <w:rFonts w:cstheme="minorHAnsi"/>
          <w:b/>
          <w:sz w:val="24"/>
          <w:szCs w:val="24"/>
          <w:highlight w:val="yellow"/>
        </w:rPr>
      </w:pPr>
      <w:r w:rsidRPr="00234F87">
        <w:rPr>
          <w:rFonts w:cstheme="minorHAnsi"/>
          <w:b/>
          <w:sz w:val="24"/>
          <w:szCs w:val="24"/>
        </w:rPr>
        <w:t>A).</w:t>
      </w:r>
      <w:r w:rsidRPr="00234F87">
        <w:rPr>
          <w:rFonts w:cstheme="minorHAnsi"/>
          <w:sz w:val="24"/>
          <w:szCs w:val="24"/>
        </w:rPr>
        <w:t xml:space="preserve"> Random forests-generated variable importance plot ranking the ten most predictive variables for CRO colonization; </w:t>
      </w:r>
      <w:r w:rsidRPr="00234F87">
        <w:rPr>
          <w:rFonts w:cstheme="minorHAnsi"/>
          <w:b/>
          <w:sz w:val="24"/>
          <w:szCs w:val="24"/>
        </w:rPr>
        <w:t>B).</w:t>
      </w:r>
      <w:r w:rsidRPr="00234F87">
        <w:rPr>
          <w:rFonts w:cstheme="minorHAnsi"/>
          <w:sz w:val="24"/>
          <w:szCs w:val="24"/>
        </w:rPr>
        <w:t xml:space="preserve"> Output from multivariable logistic regression analysis incorporating the top five, non-collinear variables from (A). </w:t>
      </w:r>
    </w:p>
    <w:p w14:paraId="61DC7B5D" w14:textId="14BE41CC" w:rsidR="00BB27E3" w:rsidRPr="00B136EC" w:rsidRDefault="00F01469" w:rsidP="00234F87">
      <w:pPr>
        <w:spacing w:line="480" w:lineRule="auto"/>
        <w:rPr>
          <w:rFonts w:cstheme="minorHAnsi"/>
          <w:b/>
          <w:sz w:val="24"/>
          <w:szCs w:val="24"/>
        </w:rPr>
      </w:pPr>
      <w:r>
        <w:rPr>
          <w:rFonts w:cstheme="minorHAnsi"/>
          <w:b/>
          <w:sz w:val="24"/>
          <w:szCs w:val="24"/>
        </w:rPr>
        <w:lastRenderedPageBreak/>
        <w:t>Figure S.2</w:t>
      </w:r>
      <w:r w:rsidR="00BB27E3" w:rsidRPr="00B136EC">
        <w:rPr>
          <w:rFonts w:cstheme="minorHAnsi"/>
          <w:b/>
          <w:sz w:val="24"/>
          <w:szCs w:val="24"/>
        </w:rPr>
        <w:t xml:space="preserve">. </w:t>
      </w:r>
      <w:r w:rsidR="00BB27E3" w:rsidRPr="00F01469">
        <w:rPr>
          <w:rFonts w:cstheme="minorHAnsi"/>
          <w:sz w:val="24"/>
          <w:szCs w:val="24"/>
        </w:rPr>
        <w:t>Receiver Operating Characteristic (ROC) Curves for Multivariable Logistic Regression Models Predicting CRO and CPO Colonization at Unit Admission, Incorporating the Five Most Predictive Variables Identified in Random Forests Analysis.</w:t>
      </w:r>
    </w:p>
    <w:p w14:paraId="62758A01" w14:textId="77777777" w:rsidR="00BB27E3" w:rsidRDefault="00BB27E3" w:rsidP="00BB27E3">
      <w:pPr>
        <w:spacing w:line="480" w:lineRule="auto"/>
        <w:rPr>
          <w:rFonts w:cstheme="minorHAnsi"/>
          <w:b/>
          <w:sz w:val="20"/>
          <w:szCs w:val="20"/>
        </w:rPr>
      </w:pPr>
      <w:r>
        <w:rPr>
          <w:rFonts w:cstheme="minorHAnsi"/>
          <w:b/>
          <w:noProof/>
          <w:sz w:val="20"/>
          <w:szCs w:val="20"/>
        </w:rPr>
        <w:drawing>
          <wp:inline distT="0" distB="0" distL="0" distR="0" wp14:anchorId="1885E16E" wp14:editId="6325EE3C">
            <wp:extent cx="3990914" cy="5746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0596" cy="5789018"/>
                    </a:xfrm>
                    <a:prstGeom prst="rect">
                      <a:avLst/>
                    </a:prstGeom>
                  </pic:spPr>
                </pic:pic>
              </a:graphicData>
            </a:graphic>
          </wp:inline>
        </w:drawing>
      </w:r>
    </w:p>
    <w:p w14:paraId="523C45CB" w14:textId="6BA9953C" w:rsidR="00BB27E3" w:rsidRDefault="00BB27E3" w:rsidP="00BB27E3">
      <w:pPr>
        <w:spacing w:line="240" w:lineRule="auto"/>
        <w:rPr>
          <w:rFonts w:cstheme="minorHAnsi"/>
          <w:sz w:val="24"/>
          <w:szCs w:val="24"/>
        </w:rPr>
      </w:pPr>
      <w:r w:rsidRPr="00234F87">
        <w:rPr>
          <w:rFonts w:cstheme="minorHAnsi"/>
          <w:b/>
          <w:sz w:val="24"/>
          <w:szCs w:val="24"/>
        </w:rPr>
        <w:t>A).</w:t>
      </w:r>
      <w:r w:rsidRPr="00234F87">
        <w:rPr>
          <w:rFonts w:cstheme="minorHAnsi"/>
          <w:sz w:val="24"/>
          <w:szCs w:val="24"/>
        </w:rPr>
        <w:t xml:space="preserve"> Receiver operating characteristic (ROC) curve for a multivariable logistic regression model with the outcome of carbapenem-resistant organism (CRO) colonization at unit admission and five independent variables: CRO-positive culture in the prior six months, total days of hospitalization in the prior six months, Elixhauser severity of illness score, total defined daily dose (DDD)-standardized doses of antibiotics with Gram-negative coverage in the prior three </w:t>
      </w:r>
      <w:r w:rsidRPr="00234F87">
        <w:rPr>
          <w:rFonts w:cstheme="minorHAnsi"/>
          <w:sz w:val="24"/>
          <w:szCs w:val="24"/>
        </w:rPr>
        <w:lastRenderedPageBreak/>
        <w:t>months, and total DDD-standardized doses of immunosuppressive therapy i</w:t>
      </w:r>
      <w:r w:rsidR="00222142">
        <w:rPr>
          <w:rFonts w:cstheme="minorHAnsi"/>
          <w:sz w:val="24"/>
          <w:szCs w:val="24"/>
        </w:rPr>
        <w:t>n the prior three months;</w:t>
      </w:r>
      <w:r w:rsidRPr="00234F87">
        <w:rPr>
          <w:rFonts w:cstheme="minorHAnsi"/>
          <w:sz w:val="24"/>
          <w:szCs w:val="24"/>
        </w:rPr>
        <w:t xml:space="preserve"> </w:t>
      </w:r>
      <w:r w:rsidRPr="00234F87">
        <w:rPr>
          <w:rFonts w:cstheme="minorHAnsi"/>
          <w:b/>
          <w:sz w:val="24"/>
          <w:szCs w:val="24"/>
        </w:rPr>
        <w:t>B).</w:t>
      </w:r>
      <w:r w:rsidRPr="00234F87">
        <w:rPr>
          <w:rFonts w:cstheme="minorHAnsi"/>
          <w:sz w:val="24"/>
          <w:szCs w:val="24"/>
        </w:rPr>
        <w:t xml:space="preserve"> Corresponding ROC curve for the outcome of CPO colonization and five independent variables: CRO-positive culture in the prior six months, Elixhauser severity of illness score, total DDD-standardized doses of antibiotics with Gram-negative activity in the prior three months, time from hospital-to-unit admission (days), and total number of days of immunosuppressive therap</w:t>
      </w:r>
      <w:r w:rsidR="00222142">
        <w:rPr>
          <w:rFonts w:cstheme="minorHAnsi"/>
          <w:sz w:val="24"/>
          <w:szCs w:val="24"/>
        </w:rPr>
        <w:t>y in the prior three months.</w:t>
      </w:r>
    </w:p>
    <w:p w14:paraId="7735CB40" w14:textId="77777777" w:rsidR="00234F87" w:rsidRPr="00234F87" w:rsidRDefault="00234F87" w:rsidP="00BB27E3">
      <w:pPr>
        <w:spacing w:line="240" w:lineRule="auto"/>
        <w:rPr>
          <w:rFonts w:cstheme="minorHAnsi"/>
          <w:sz w:val="24"/>
          <w:szCs w:val="24"/>
        </w:rPr>
      </w:pPr>
    </w:p>
    <w:p w14:paraId="6C974B71" w14:textId="77777777" w:rsidR="00234F87" w:rsidRDefault="00234F87" w:rsidP="00234F87">
      <w:pPr>
        <w:spacing w:line="480" w:lineRule="auto"/>
        <w:rPr>
          <w:rFonts w:cstheme="minorHAnsi"/>
          <w:b/>
          <w:sz w:val="24"/>
          <w:szCs w:val="24"/>
        </w:rPr>
      </w:pPr>
    </w:p>
    <w:p w14:paraId="4E6E7E65" w14:textId="77777777" w:rsidR="00234F87" w:rsidRDefault="00234F87" w:rsidP="00234F87">
      <w:pPr>
        <w:spacing w:line="480" w:lineRule="auto"/>
        <w:rPr>
          <w:rFonts w:cstheme="minorHAnsi"/>
          <w:b/>
          <w:sz w:val="24"/>
          <w:szCs w:val="24"/>
        </w:rPr>
      </w:pPr>
    </w:p>
    <w:p w14:paraId="45F65E85" w14:textId="77777777" w:rsidR="00234F87" w:rsidRDefault="00234F87" w:rsidP="00234F87">
      <w:pPr>
        <w:spacing w:line="480" w:lineRule="auto"/>
        <w:rPr>
          <w:rFonts w:cstheme="minorHAnsi"/>
          <w:b/>
          <w:sz w:val="24"/>
          <w:szCs w:val="24"/>
        </w:rPr>
      </w:pPr>
    </w:p>
    <w:p w14:paraId="4844BD69" w14:textId="77777777" w:rsidR="00234F87" w:rsidRDefault="00234F87" w:rsidP="00234F87">
      <w:pPr>
        <w:spacing w:line="480" w:lineRule="auto"/>
        <w:rPr>
          <w:rFonts w:cstheme="minorHAnsi"/>
          <w:b/>
          <w:sz w:val="24"/>
          <w:szCs w:val="24"/>
        </w:rPr>
      </w:pPr>
    </w:p>
    <w:p w14:paraId="3162702C" w14:textId="77777777" w:rsidR="00234F87" w:rsidRDefault="00234F87" w:rsidP="00234F87">
      <w:pPr>
        <w:spacing w:line="480" w:lineRule="auto"/>
        <w:rPr>
          <w:rFonts w:cstheme="minorHAnsi"/>
          <w:b/>
          <w:sz w:val="24"/>
          <w:szCs w:val="24"/>
        </w:rPr>
      </w:pPr>
    </w:p>
    <w:p w14:paraId="537B95AC" w14:textId="77777777" w:rsidR="00234F87" w:rsidRDefault="00234F87" w:rsidP="00234F87">
      <w:pPr>
        <w:spacing w:line="480" w:lineRule="auto"/>
        <w:rPr>
          <w:rFonts w:cstheme="minorHAnsi"/>
          <w:b/>
          <w:sz w:val="24"/>
          <w:szCs w:val="24"/>
        </w:rPr>
      </w:pPr>
    </w:p>
    <w:p w14:paraId="2ACFFD76" w14:textId="77777777" w:rsidR="00234F87" w:rsidRDefault="00234F87" w:rsidP="00234F87">
      <w:pPr>
        <w:spacing w:line="480" w:lineRule="auto"/>
        <w:rPr>
          <w:rFonts w:cstheme="minorHAnsi"/>
          <w:b/>
          <w:sz w:val="24"/>
          <w:szCs w:val="24"/>
        </w:rPr>
      </w:pPr>
    </w:p>
    <w:p w14:paraId="6758AE88" w14:textId="77777777" w:rsidR="00234F87" w:rsidRDefault="00234F87" w:rsidP="00234F87">
      <w:pPr>
        <w:spacing w:line="480" w:lineRule="auto"/>
        <w:rPr>
          <w:rFonts w:cstheme="minorHAnsi"/>
          <w:b/>
          <w:sz w:val="24"/>
          <w:szCs w:val="24"/>
        </w:rPr>
      </w:pPr>
    </w:p>
    <w:p w14:paraId="597650B4" w14:textId="77777777" w:rsidR="00234F87" w:rsidRDefault="00234F87" w:rsidP="00234F87">
      <w:pPr>
        <w:spacing w:line="480" w:lineRule="auto"/>
        <w:rPr>
          <w:rFonts w:cstheme="minorHAnsi"/>
          <w:b/>
          <w:sz w:val="24"/>
          <w:szCs w:val="24"/>
        </w:rPr>
      </w:pPr>
    </w:p>
    <w:p w14:paraId="2D51EC60" w14:textId="77777777" w:rsidR="00234F87" w:rsidRDefault="00234F87" w:rsidP="00234F87">
      <w:pPr>
        <w:spacing w:line="480" w:lineRule="auto"/>
        <w:rPr>
          <w:rFonts w:cstheme="minorHAnsi"/>
          <w:b/>
          <w:sz w:val="24"/>
          <w:szCs w:val="24"/>
        </w:rPr>
      </w:pPr>
    </w:p>
    <w:p w14:paraId="23A014DC" w14:textId="77777777" w:rsidR="00234F87" w:rsidRDefault="00234F87" w:rsidP="00234F87">
      <w:pPr>
        <w:spacing w:line="480" w:lineRule="auto"/>
        <w:rPr>
          <w:rFonts w:cstheme="minorHAnsi"/>
          <w:b/>
          <w:sz w:val="24"/>
          <w:szCs w:val="24"/>
        </w:rPr>
      </w:pPr>
    </w:p>
    <w:p w14:paraId="5ACA3133" w14:textId="77777777" w:rsidR="00234F87" w:rsidRDefault="00234F87" w:rsidP="00234F87">
      <w:pPr>
        <w:spacing w:line="480" w:lineRule="auto"/>
        <w:rPr>
          <w:rFonts w:cstheme="minorHAnsi"/>
          <w:b/>
          <w:sz w:val="24"/>
          <w:szCs w:val="24"/>
        </w:rPr>
      </w:pPr>
    </w:p>
    <w:p w14:paraId="3A614793" w14:textId="77777777" w:rsidR="00234F87" w:rsidRDefault="00234F87" w:rsidP="00234F87">
      <w:pPr>
        <w:spacing w:line="480" w:lineRule="auto"/>
        <w:rPr>
          <w:rFonts w:cstheme="minorHAnsi"/>
          <w:b/>
          <w:sz w:val="24"/>
          <w:szCs w:val="24"/>
        </w:rPr>
      </w:pPr>
    </w:p>
    <w:p w14:paraId="006A6E92" w14:textId="77777777" w:rsidR="00234F87" w:rsidRDefault="00234F87" w:rsidP="00234F87">
      <w:pPr>
        <w:spacing w:line="480" w:lineRule="auto"/>
        <w:rPr>
          <w:rFonts w:cstheme="minorHAnsi"/>
          <w:b/>
          <w:sz w:val="24"/>
          <w:szCs w:val="24"/>
        </w:rPr>
      </w:pPr>
    </w:p>
    <w:p w14:paraId="4CB18D3A" w14:textId="3665F4BB" w:rsidR="00BB27E3" w:rsidRDefault="00F01469" w:rsidP="00234F87">
      <w:pPr>
        <w:spacing w:line="480" w:lineRule="auto"/>
        <w:rPr>
          <w:rFonts w:cstheme="minorHAnsi"/>
          <w:b/>
          <w:sz w:val="24"/>
          <w:szCs w:val="24"/>
        </w:rPr>
      </w:pPr>
      <w:r>
        <w:rPr>
          <w:rFonts w:cstheme="minorHAnsi"/>
          <w:b/>
          <w:sz w:val="24"/>
          <w:szCs w:val="24"/>
        </w:rPr>
        <w:lastRenderedPageBreak/>
        <w:t>Figure S.3</w:t>
      </w:r>
      <w:r w:rsidR="00BB27E3">
        <w:rPr>
          <w:rFonts w:cstheme="minorHAnsi"/>
          <w:b/>
          <w:sz w:val="24"/>
          <w:szCs w:val="24"/>
        </w:rPr>
        <w:t xml:space="preserve">. </w:t>
      </w:r>
      <w:r w:rsidRPr="00F01469">
        <w:rPr>
          <w:rFonts w:cstheme="minorHAnsi"/>
          <w:sz w:val="24"/>
          <w:szCs w:val="24"/>
        </w:rPr>
        <w:t xml:space="preserve">Random Forests Analysis </w:t>
      </w:r>
      <w:r w:rsidR="00BB27E3" w:rsidRPr="00F01469">
        <w:rPr>
          <w:rFonts w:cstheme="minorHAnsi"/>
          <w:sz w:val="24"/>
          <w:szCs w:val="24"/>
        </w:rPr>
        <w:t>Variable Importance Plot of Most Predictive Variables for CPO Colonization and Corresponding Logistic Regression Output</w:t>
      </w:r>
    </w:p>
    <w:p w14:paraId="5283C27C" w14:textId="77777777" w:rsidR="00BB27E3" w:rsidRPr="006A5127" w:rsidRDefault="00BB27E3" w:rsidP="00BB27E3">
      <w:pPr>
        <w:spacing w:line="240" w:lineRule="auto"/>
        <w:rPr>
          <w:rFonts w:cstheme="minorHAnsi"/>
          <w:b/>
          <w:sz w:val="24"/>
          <w:szCs w:val="24"/>
          <w:highlight w:val="yellow"/>
        </w:rPr>
      </w:pPr>
      <w:r>
        <w:rPr>
          <w:rFonts w:cstheme="minorHAnsi"/>
          <w:b/>
          <w:noProof/>
          <w:sz w:val="24"/>
          <w:szCs w:val="24"/>
        </w:rPr>
        <w:drawing>
          <wp:inline distT="0" distB="0" distL="0" distR="0" wp14:anchorId="5619DEA7" wp14:editId="397F96FE">
            <wp:extent cx="5842660" cy="53142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O VIP.png"/>
                    <pic:cNvPicPr/>
                  </pic:nvPicPr>
                  <pic:blipFill rotWithShape="1">
                    <a:blip r:embed="rId9" cstate="print">
                      <a:extLst>
                        <a:ext uri="{28A0092B-C50C-407E-A947-70E740481C1C}">
                          <a14:useLocalDpi xmlns:a14="http://schemas.microsoft.com/office/drawing/2010/main" val="0"/>
                        </a:ext>
                      </a:extLst>
                    </a:blip>
                    <a:srcRect r="18482"/>
                    <a:stretch/>
                  </pic:blipFill>
                  <pic:spPr bwMode="auto">
                    <a:xfrm>
                      <a:off x="0" y="0"/>
                      <a:ext cx="5849159" cy="5320115"/>
                    </a:xfrm>
                    <a:prstGeom prst="rect">
                      <a:avLst/>
                    </a:prstGeom>
                    <a:ln>
                      <a:noFill/>
                    </a:ln>
                    <a:extLst>
                      <a:ext uri="{53640926-AAD7-44D8-BBD7-CCE9431645EC}">
                        <a14:shadowObscured xmlns:a14="http://schemas.microsoft.com/office/drawing/2010/main"/>
                      </a:ext>
                    </a:extLst>
                  </pic:spPr>
                </pic:pic>
              </a:graphicData>
            </a:graphic>
          </wp:inline>
        </w:drawing>
      </w:r>
    </w:p>
    <w:p w14:paraId="23C8F5C7" w14:textId="77777777" w:rsidR="00BB27E3" w:rsidRDefault="00BB27E3" w:rsidP="00BB27E3">
      <w:pPr>
        <w:spacing w:line="240" w:lineRule="auto"/>
        <w:rPr>
          <w:rFonts w:cstheme="minorHAnsi"/>
          <w:b/>
          <w:sz w:val="20"/>
          <w:szCs w:val="20"/>
          <w:highlight w:val="yellow"/>
        </w:rPr>
      </w:pPr>
    </w:p>
    <w:p w14:paraId="6F8987E4" w14:textId="77777777" w:rsidR="00BB27E3" w:rsidRPr="00234F87" w:rsidRDefault="00BB27E3" w:rsidP="00BB27E3">
      <w:pPr>
        <w:spacing w:line="240" w:lineRule="auto"/>
        <w:rPr>
          <w:rFonts w:cstheme="minorHAnsi"/>
          <w:b/>
          <w:sz w:val="24"/>
          <w:szCs w:val="24"/>
          <w:highlight w:val="yellow"/>
        </w:rPr>
      </w:pPr>
      <w:r w:rsidRPr="00234F87">
        <w:rPr>
          <w:rFonts w:cstheme="minorHAnsi"/>
          <w:b/>
          <w:sz w:val="24"/>
          <w:szCs w:val="24"/>
        </w:rPr>
        <w:t>A).</w:t>
      </w:r>
      <w:r w:rsidRPr="00234F87">
        <w:rPr>
          <w:rFonts w:cstheme="minorHAnsi"/>
          <w:sz w:val="24"/>
          <w:szCs w:val="24"/>
        </w:rPr>
        <w:t xml:space="preserve"> Random forests-generated variable importance plot ranking the ten most predictive variables for CPO colonization; </w:t>
      </w:r>
      <w:r w:rsidRPr="00234F87">
        <w:rPr>
          <w:rFonts w:cstheme="minorHAnsi"/>
          <w:b/>
          <w:sz w:val="24"/>
          <w:szCs w:val="24"/>
        </w:rPr>
        <w:t>B).</w:t>
      </w:r>
      <w:r w:rsidRPr="00234F87">
        <w:rPr>
          <w:rFonts w:cstheme="minorHAnsi"/>
          <w:sz w:val="24"/>
          <w:szCs w:val="24"/>
        </w:rPr>
        <w:t xml:space="preserve"> Output from multivariable logistic regression analysis incorporating the top five, non-collinear variables from (A). </w:t>
      </w:r>
    </w:p>
    <w:p w14:paraId="0A2F234D" w14:textId="77777777" w:rsidR="00BB27E3" w:rsidRDefault="00BB27E3" w:rsidP="00BB27E3">
      <w:pPr>
        <w:spacing w:line="480" w:lineRule="auto"/>
        <w:rPr>
          <w:rFonts w:cstheme="minorHAnsi"/>
          <w:b/>
          <w:sz w:val="20"/>
          <w:szCs w:val="20"/>
          <w:highlight w:val="yellow"/>
        </w:rPr>
      </w:pPr>
    </w:p>
    <w:p w14:paraId="4D6A02FC" w14:textId="77777777" w:rsidR="00BB27E3" w:rsidRDefault="00BB27E3" w:rsidP="00BB27E3">
      <w:pPr>
        <w:spacing w:line="480" w:lineRule="auto"/>
        <w:rPr>
          <w:rFonts w:cstheme="minorHAnsi"/>
          <w:b/>
          <w:sz w:val="20"/>
          <w:szCs w:val="20"/>
          <w:highlight w:val="yellow"/>
        </w:rPr>
      </w:pPr>
    </w:p>
    <w:p w14:paraId="7701585B" w14:textId="77777777" w:rsidR="00BB27E3" w:rsidRDefault="00BB27E3" w:rsidP="00BB27E3">
      <w:pPr>
        <w:spacing w:line="480" w:lineRule="auto"/>
        <w:rPr>
          <w:rFonts w:cstheme="minorHAnsi"/>
          <w:b/>
          <w:sz w:val="20"/>
          <w:szCs w:val="20"/>
          <w:highlight w:val="yellow"/>
        </w:rPr>
      </w:pPr>
    </w:p>
    <w:p w14:paraId="09A7A0F6" w14:textId="77777777" w:rsidR="00BB27E3" w:rsidRDefault="00BB27E3" w:rsidP="00BB27E3">
      <w:pPr>
        <w:spacing w:line="480" w:lineRule="auto"/>
        <w:rPr>
          <w:rFonts w:cstheme="minorHAnsi"/>
          <w:b/>
          <w:sz w:val="20"/>
          <w:szCs w:val="20"/>
          <w:highlight w:val="yellow"/>
        </w:rPr>
      </w:pPr>
    </w:p>
    <w:p w14:paraId="20274FE1" w14:textId="738D987D" w:rsidR="00F01469" w:rsidRDefault="00F01469" w:rsidP="00F01469">
      <w:pPr>
        <w:pStyle w:val="ListParagraph"/>
        <w:numPr>
          <w:ilvl w:val="0"/>
          <w:numId w:val="2"/>
        </w:numPr>
        <w:spacing w:line="480" w:lineRule="auto"/>
        <w:ind w:hanging="720"/>
        <w:rPr>
          <w:rFonts w:cstheme="minorHAnsi"/>
          <w:b/>
          <w:sz w:val="24"/>
          <w:szCs w:val="24"/>
        </w:rPr>
      </w:pPr>
      <w:r>
        <w:rPr>
          <w:rFonts w:cstheme="minorHAnsi"/>
          <w:b/>
          <w:sz w:val="24"/>
          <w:szCs w:val="24"/>
        </w:rPr>
        <w:t>Re-Fit CART Trees to Up-Weight Sensitivity</w:t>
      </w:r>
    </w:p>
    <w:p w14:paraId="1A1FE4EE" w14:textId="50D7B27D" w:rsidR="00F01469" w:rsidRPr="00F01469" w:rsidRDefault="00F01469" w:rsidP="00F01469">
      <w:pPr>
        <w:spacing w:line="480" w:lineRule="auto"/>
        <w:rPr>
          <w:rFonts w:cstheme="minorHAnsi"/>
          <w:sz w:val="24"/>
          <w:szCs w:val="24"/>
        </w:rPr>
      </w:pPr>
      <w:r>
        <w:rPr>
          <w:rFonts w:cstheme="minorHAnsi"/>
          <w:sz w:val="24"/>
          <w:szCs w:val="24"/>
        </w:rPr>
        <w:t>Due to the large imbalances (i.e., rare outcomes) in our data, w</w:t>
      </w:r>
      <w:r w:rsidRPr="00820413">
        <w:rPr>
          <w:rFonts w:cstheme="minorHAnsi"/>
          <w:sz w:val="24"/>
          <w:szCs w:val="24"/>
        </w:rPr>
        <w:t>e refit CART trees to increase sensitivity by imposing a greater “cost” for misclassifyin</w:t>
      </w:r>
      <w:r>
        <w:rPr>
          <w:rFonts w:cstheme="minorHAnsi"/>
          <w:sz w:val="24"/>
          <w:szCs w:val="24"/>
        </w:rPr>
        <w:t>g colonized patients as negative by incorporating</w:t>
      </w:r>
      <w:r w:rsidRPr="00F01469">
        <w:rPr>
          <w:rFonts w:cstheme="minorHAnsi"/>
          <w:sz w:val="24"/>
          <w:szCs w:val="24"/>
        </w:rPr>
        <w:t xml:space="preserve"> CRO and CPO outcome prior probabilities of 0.50 and 0.10, respectively</w:t>
      </w:r>
      <w:r>
        <w:rPr>
          <w:rFonts w:cstheme="minorHAnsi"/>
          <w:sz w:val="24"/>
          <w:szCs w:val="24"/>
        </w:rPr>
        <w:t xml:space="preserve">. </w:t>
      </w:r>
      <w:r w:rsidR="00234F87">
        <w:rPr>
          <w:rFonts w:cstheme="minorHAnsi"/>
          <w:sz w:val="24"/>
          <w:szCs w:val="24"/>
        </w:rPr>
        <w:t>Overall discrimination improved in resulting models, as did sensitivity (</w:t>
      </w:r>
      <w:r w:rsidR="00F64473">
        <w:rPr>
          <w:rFonts w:cstheme="minorHAnsi"/>
          <w:sz w:val="24"/>
          <w:szCs w:val="24"/>
        </w:rPr>
        <w:t xml:space="preserve">sensitivities </w:t>
      </w:r>
      <w:r w:rsidR="00234F87">
        <w:rPr>
          <w:rFonts w:cstheme="minorHAnsi"/>
          <w:sz w:val="24"/>
          <w:szCs w:val="24"/>
        </w:rPr>
        <w:t xml:space="preserve">increased to 62% and 47%, respectively), but with attendant increases in model complexity and likely decreases in practical utility (Figures S.4 and S.5). </w:t>
      </w:r>
    </w:p>
    <w:p w14:paraId="5CC86BF2" w14:textId="77777777" w:rsidR="00234F87" w:rsidRDefault="00234F87" w:rsidP="00234F87">
      <w:pPr>
        <w:spacing w:line="240" w:lineRule="auto"/>
        <w:rPr>
          <w:rFonts w:cstheme="minorHAnsi"/>
          <w:b/>
          <w:sz w:val="24"/>
          <w:szCs w:val="24"/>
        </w:rPr>
      </w:pPr>
    </w:p>
    <w:p w14:paraId="64F2E302" w14:textId="77777777" w:rsidR="00234F87" w:rsidRDefault="00234F87" w:rsidP="00234F87">
      <w:pPr>
        <w:spacing w:line="240" w:lineRule="auto"/>
        <w:rPr>
          <w:rFonts w:cstheme="minorHAnsi"/>
          <w:b/>
          <w:sz w:val="24"/>
          <w:szCs w:val="24"/>
        </w:rPr>
      </w:pPr>
    </w:p>
    <w:p w14:paraId="46525A72" w14:textId="77777777" w:rsidR="00234F87" w:rsidRDefault="00234F87" w:rsidP="00234F87">
      <w:pPr>
        <w:spacing w:line="240" w:lineRule="auto"/>
        <w:rPr>
          <w:rFonts w:cstheme="minorHAnsi"/>
          <w:b/>
          <w:sz w:val="24"/>
          <w:szCs w:val="24"/>
        </w:rPr>
      </w:pPr>
    </w:p>
    <w:p w14:paraId="0D746458" w14:textId="77777777" w:rsidR="00234F87" w:rsidRDefault="00234F87" w:rsidP="00234F87">
      <w:pPr>
        <w:spacing w:line="240" w:lineRule="auto"/>
        <w:rPr>
          <w:rFonts w:cstheme="minorHAnsi"/>
          <w:b/>
          <w:sz w:val="24"/>
          <w:szCs w:val="24"/>
        </w:rPr>
      </w:pPr>
    </w:p>
    <w:p w14:paraId="653FE427" w14:textId="77777777" w:rsidR="00234F87" w:rsidRDefault="00234F87" w:rsidP="00234F87">
      <w:pPr>
        <w:spacing w:line="240" w:lineRule="auto"/>
        <w:rPr>
          <w:rFonts w:cstheme="minorHAnsi"/>
          <w:b/>
          <w:sz w:val="24"/>
          <w:szCs w:val="24"/>
        </w:rPr>
      </w:pPr>
    </w:p>
    <w:p w14:paraId="01D25D96" w14:textId="77777777" w:rsidR="00234F87" w:rsidRDefault="00234F87" w:rsidP="00234F87">
      <w:pPr>
        <w:spacing w:line="240" w:lineRule="auto"/>
        <w:rPr>
          <w:rFonts w:cstheme="minorHAnsi"/>
          <w:b/>
          <w:sz w:val="24"/>
          <w:szCs w:val="24"/>
        </w:rPr>
      </w:pPr>
    </w:p>
    <w:p w14:paraId="5010D30B" w14:textId="77777777" w:rsidR="00234F87" w:rsidRDefault="00234F87" w:rsidP="00234F87">
      <w:pPr>
        <w:spacing w:line="240" w:lineRule="auto"/>
        <w:rPr>
          <w:rFonts w:cstheme="minorHAnsi"/>
          <w:b/>
          <w:sz w:val="24"/>
          <w:szCs w:val="24"/>
        </w:rPr>
      </w:pPr>
    </w:p>
    <w:p w14:paraId="4C4D7128" w14:textId="77777777" w:rsidR="00234F87" w:rsidRDefault="00234F87" w:rsidP="00234F87">
      <w:pPr>
        <w:spacing w:line="240" w:lineRule="auto"/>
        <w:rPr>
          <w:rFonts w:cstheme="minorHAnsi"/>
          <w:b/>
          <w:sz w:val="24"/>
          <w:szCs w:val="24"/>
        </w:rPr>
      </w:pPr>
    </w:p>
    <w:p w14:paraId="1FF0CE30" w14:textId="77777777" w:rsidR="00234F87" w:rsidRDefault="00234F87" w:rsidP="00234F87">
      <w:pPr>
        <w:spacing w:line="240" w:lineRule="auto"/>
        <w:rPr>
          <w:rFonts w:cstheme="minorHAnsi"/>
          <w:b/>
          <w:sz w:val="24"/>
          <w:szCs w:val="24"/>
        </w:rPr>
      </w:pPr>
    </w:p>
    <w:p w14:paraId="75FE96EF" w14:textId="77777777" w:rsidR="00234F87" w:rsidRDefault="00234F87" w:rsidP="00234F87">
      <w:pPr>
        <w:spacing w:line="240" w:lineRule="auto"/>
        <w:rPr>
          <w:rFonts w:cstheme="minorHAnsi"/>
          <w:b/>
          <w:sz w:val="24"/>
          <w:szCs w:val="24"/>
        </w:rPr>
      </w:pPr>
    </w:p>
    <w:p w14:paraId="3A4FC0E2" w14:textId="77777777" w:rsidR="00234F87" w:rsidRDefault="00234F87" w:rsidP="00234F87">
      <w:pPr>
        <w:spacing w:line="240" w:lineRule="auto"/>
        <w:rPr>
          <w:rFonts w:cstheme="minorHAnsi"/>
          <w:b/>
          <w:sz w:val="24"/>
          <w:szCs w:val="24"/>
        </w:rPr>
      </w:pPr>
    </w:p>
    <w:p w14:paraId="731A7759" w14:textId="77777777" w:rsidR="00234F87" w:rsidRDefault="00234F87" w:rsidP="00234F87">
      <w:pPr>
        <w:spacing w:line="240" w:lineRule="auto"/>
        <w:rPr>
          <w:rFonts w:cstheme="minorHAnsi"/>
          <w:b/>
          <w:sz w:val="24"/>
          <w:szCs w:val="24"/>
        </w:rPr>
      </w:pPr>
    </w:p>
    <w:p w14:paraId="6B231BA6" w14:textId="77777777" w:rsidR="00234F87" w:rsidRDefault="00234F87" w:rsidP="00234F87">
      <w:pPr>
        <w:spacing w:line="240" w:lineRule="auto"/>
        <w:rPr>
          <w:rFonts w:cstheme="minorHAnsi"/>
          <w:b/>
          <w:sz w:val="24"/>
          <w:szCs w:val="24"/>
        </w:rPr>
      </w:pPr>
    </w:p>
    <w:p w14:paraId="1D371D55" w14:textId="77777777" w:rsidR="00234F87" w:rsidRDefault="00234F87" w:rsidP="00234F87">
      <w:pPr>
        <w:spacing w:line="240" w:lineRule="auto"/>
        <w:rPr>
          <w:rFonts w:cstheme="minorHAnsi"/>
          <w:b/>
          <w:sz w:val="24"/>
          <w:szCs w:val="24"/>
        </w:rPr>
      </w:pPr>
    </w:p>
    <w:p w14:paraId="18312B71" w14:textId="77777777" w:rsidR="00234F87" w:rsidRDefault="00234F87" w:rsidP="00234F87">
      <w:pPr>
        <w:spacing w:line="240" w:lineRule="auto"/>
        <w:rPr>
          <w:rFonts w:cstheme="minorHAnsi"/>
          <w:b/>
          <w:sz w:val="24"/>
          <w:szCs w:val="24"/>
        </w:rPr>
      </w:pPr>
    </w:p>
    <w:p w14:paraId="06AB674E" w14:textId="77777777" w:rsidR="00234F87" w:rsidRDefault="00234F87" w:rsidP="00234F87">
      <w:pPr>
        <w:spacing w:line="240" w:lineRule="auto"/>
        <w:rPr>
          <w:rFonts w:cstheme="minorHAnsi"/>
          <w:b/>
          <w:sz w:val="24"/>
          <w:szCs w:val="24"/>
        </w:rPr>
      </w:pPr>
    </w:p>
    <w:p w14:paraId="590035C9" w14:textId="77777777" w:rsidR="00234F87" w:rsidRDefault="00234F87" w:rsidP="00234F87">
      <w:pPr>
        <w:spacing w:line="240" w:lineRule="auto"/>
        <w:rPr>
          <w:rFonts w:cstheme="minorHAnsi"/>
          <w:b/>
          <w:sz w:val="24"/>
          <w:szCs w:val="24"/>
        </w:rPr>
      </w:pPr>
    </w:p>
    <w:p w14:paraId="3071D6AE" w14:textId="77777777" w:rsidR="00234F87" w:rsidRDefault="00234F87" w:rsidP="00234F87">
      <w:pPr>
        <w:spacing w:line="240" w:lineRule="auto"/>
        <w:rPr>
          <w:rFonts w:cstheme="minorHAnsi"/>
          <w:b/>
          <w:sz w:val="24"/>
          <w:szCs w:val="24"/>
        </w:rPr>
      </w:pPr>
    </w:p>
    <w:p w14:paraId="32E4FEEB" w14:textId="1911BADA" w:rsidR="00234F87" w:rsidRDefault="00234F87" w:rsidP="00234F87">
      <w:pPr>
        <w:spacing w:line="480" w:lineRule="auto"/>
        <w:rPr>
          <w:rFonts w:cstheme="minorHAnsi"/>
          <w:sz w:val="24"/>
          <w:szCs w:val="24"/>
        </w:rPr>
      </w:pPr>
      <w:r>
        <w:rPr>
          <w:rFonts w:cstheme="minorHAnsi"/>
          <w:b/>
          <w:sz w:val="24"/>
          <w:szCs w:val="24"/>
        </w:rPr>
        <w:t xml:space="preserve">Figure S.4.  </w:t>
      </w:r>
      <w:r w:rsidRPr="00234F87">
        <w:rPr>
          <w:rFonts w:cstheme="minorHAnsi"/>
          <w:sz w:val="24"/>
          <w:szCs w:val="24"/>
        </w:rPr>
        <w:t>Decision tree for predicting CRO perirectal colonization at hospital unit admission, fit with 50% priors to up-weight tree sensitivity</w:t>
      </w:r>
      <w:r>
        <w:rPr>
          <w:rFonts w:cstheme="minorHAnsi"/>
          <w:b/>
          <w:sz w:val="24"/>
          <w:szCs w:val="24"/>
        </w:rPr>
        <w:t xml:space="preserve">. </w:t>
      </w:r>
      <w:r w:rsidRPr="007E1D75">
        <w:rPr>
          <w:rFonts w:cstheme="minorHAnsi"/>
          <w:sz w:val="24"/>
          <w:szCs w:val="24"/>
        </w:rPr>
        <w:t>Gray-shaded terminal nodes indicate that the tree would cl</w:t>
      </w:r>
      <w:r>
        <w:rPr>
          <w:rFonts w:cstheme="minorHAnsi"/>
          <w:sz w:val="24"/>
          <w:szCs w:val="24"/>
        </w:rPr>
        <w:t xml:space="preserve">assify patients as CRO-colonized, </w:t>
      </w:r>
      <w:r w:rsidRPr="007E1D75">
        <w:rPr>
          <w:rFonts w:cstheme="minorHAnsi"/>
          <w:sz w:val="24"/>
          <w:szCs w:val="24"/>
        </w:rPr>
        <w:t>and a</w:t>
      </w:r>
      <w:r>
        <w:rPr>
          <w:rFonts w:cstheme="minorHAnsi"/>
          <w:sz w:val="24"/>
          <w:szCs w:val="24"/>
        </w:rPr>
        <w:t xml:space="preserve">ccompanying percentages </w:t>
      </w:r>
      <w:r w:rsidRPr="007E1D75">
        <w:rPr>
          <w:rFonts w:cstheme="minorHAnsi"/>
          <w:sz w:val="24"/>
          <w:szCs w:val="24"/>
        </w:rPr>
        <w:t>reflect the probability that patients assigned t</w:t>
      </w:r>
      <w:r>
        <w:rPr>
          <w:rFonts w:cstheme="minorHAnsi"/>
          <w:sz w:val="24"/>
          <w:szCs w:val="24"/>
        </w:rPr>
        <w:t xml:space="preserve">o a given terminal node are CRO-positive. </w:t>
      </w:r>
      <w:r w:rsidRPr="007E1D75">
        <w:rPr>
          <w:rFonts w:cstheme="minorHAnsi"/>
          <w:sz w:val="24"/>
          <w:szCs w:val="24"/>
        </w:rPr>
        <w:t>Term</w:t>
      </w:r>
      <w:r>
        <w:rPr>
          <w:rFonts w:cstheme="minorHAnsi"/>
          <w:sz w:val="24"/>
          <w:szCs w:val="24"/>
        </w:rPr>
        <w:t>inal node numbering</w:t>
      </w:r>
      <w:r w:rsidRPr="007E1D75">
        <w:rPr>
          <w:rFonts w:cstheme="minorHAnsi"/>
          <w:sz w:val="24"/>
          <w:szCs w:val="24"/>
        </w:rPr>
        <w:t xml:space="preserve"> is included in parentheses.</w:t>
      </w:r>
      <w:r>
        <w:rPr>
          <w:rFonts w:cstheme="minorHAnsi"/>
          <w:sz w:val="24"/>
          <w:szCs w:val="24"/>
        </w:rPr>
        <w:t xml:space="preserve"> The tree possessed a sensitivity of 61.8%, a specificity of 70.4%, a positive predictive value of 14.5%, and a negative predictive value of 95.8%. Its C-statistic was 0.7</w:t>
      </w:r>
      <w:r w:rsidR="00096AE6">
        <w:rPr>
          <w:rFonts w:cstheme="minorHAnsi"/>
          <w:sz w:val="24"/>
          <w:szCs w:val="24"/>
        </w:rPr>
        <w:t>0, and its C-statistic in</w:t>
      </w:r>
      <w:r>
        <w:rPr>
          <w:rFonts w:cstheme="minorHAnsi"/>
          <w:sz w:val="24"/>
          <w:szCs w:val="24"/>
        </w:rPr>
        <w:t xml:space="preserve"> random forest</w:t>
      </w:r>
      <w:r w:rsidR="00096AE6">
        <w:rPr>
          <w:rFonts w:cstheme="minorHAnsi"/>
          <w:sz w:val="24"/>
          <w:szCs w:val="24"/>
        </w:rPr>
        <w:t>s</w:t>
      </w:r>
      <w:r>
        <w:rPr>
          <w:rFonts w:cstheme="minorHAnsi"/>
          <w:sz w:val="24"/>
          <w:szCs w:val="24"/>
        </w:rPr>
        <w:t xml:space="preserve"> analysis was 0.65.</w:t>
      </w:r>
    </w:p>
    <w:p w14:paraId="1614465B" w14:textId="77777777" w:rsidR="00234F87" w:rsidRPr="0029179A" w:rsidRDefault="00234F87" w:rsidP="00234F87">
      <w:pPr>
        <w:spacing w:line="240" w:lineRule="auto"/>
        <w:rPr>
          <w:rFonts w:cstheme="minorHAnsi"/>
          <w:b/>
          <w:sz w:val="24"/>
          <w:szCs w:val="24"/>
        </w:rPr>
      </w:pPr>
    </w:p>
    <w:p w14:paraId="22DBC164" w14:textId="77777777" w:rsidR="00234F87" w:rsidRDefault="00234F87" w:rsidP="00234F87">
      <w:pPr>
        <w:spacing w:line="480" w:lineRule="auto"/>
        <w:rPr>
          <w:rFonts w:cstheme="minorHAnsi"/>
          <w:b/>
          <w:sz w:val="24"/>
          <w:szCs w:val="24"/>
        </w:rPr>
      </w:pPr>
      <w:r>
        <w:rPr>
          <w:rFonts w:cstheme="minorHAnsi"/>
          <w:b/>
          <w:noProof/>
          <w:sz w:val="24"/>
          <w:szCs w:val="24"/>
        </w:rPr>
        <w:drawing>
          <wp:inline distT="0" distB="0" distL="0" distR="0" wp14:anchorId="6C8B34DF" wp14:editId="2D551136">
            <wp:extent cx="5597233" cy="473624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1079" cy="4773348"/>
                    </a:xfrm>
                    <a:prstGeom prst="rect">
                      <a:avLst/>
                    </a:prstGeom>
                    <a:noFill/>
                  </pic:spPr>
                </pic:pic>
              </a:graphicData>
            </a:graphic>
          </wp:inline>
        </w:drawing>
      </w:r>
    </w:p>
    <w:p w14:paraId="1468F1C3" w14:textId="1B18ADB0" w:rsidR="00234F87" w:rsidRDefault="00234F87" w:rsidP="00234F87">
      <w:pPr>
        <w:spacing w:line="240" w:lineRule="auto"/>
        <w:rPr>
          <w:rFonts w:cstheme="minorHAnsi"/>
          <w:b/>
          <w:sz w:val="24"/>
          <w:szCs w:val="24"/>
        </w:rPr>
        <w:sectPr w:rsidR="00234F87" w:rsidSect="00686A8F">
          <w:pgSz w:w="12240" w:h="15840" w:code="1"/>
          <w:pgMar w:top="1440" w:right="1440" w:bottom="1440" w:left="1440" w:header="720" w:footer="720" w:gutter="0"/>
          <w:cols w:space="720"/>
          <w:docGrid w:linePitch="360"/>
        </w:sectPr>
      </w:pPr>
    </w:p>
    <w:p w14:paraId="190F8C0D" w14:textId="45752A21" w:rsidR="00234F87" w:rsidRDefault="00234F87" w:rsidP="00234F87">
      <w:pPr>
        <w:spacing w:line="480" w:lineRule="auto"/>
        <w:rPr>
          <w:rFonts w:cstheme="minorHAnsi"/>
          <w:sz w:val="24"/>
          <w:szCs w:val="24"/>
        </w:rPr>
      </w:pPr>
      <w:r>
        <w:rPr>
          <w:rFonts w:cstheme="minorHAnsi"/>
          <w:b/>
          <w:sz w:val="24"/>
          <w:szCs w:val="24"/>
        </w:rPr>
        <w:lastRenderedPageBreak/>
        <w:t xml:space="preserve">Figure S.5.  </w:t>
      </w:r>
      <w:r w:rsidRPr="00234F87">
        <w:rPr>
          <w:rFonts w:cstheme="minorHAnsi"/>
          <w:sz w:val="24"/>
          <w:szCs w:val="24"/>
        </w:rPr>
        <w:t>Decision tree for predicting CPO perirectal colonization at hospital unit admission, fit with 10% priors to up-weight tree sensitivity.</w:t>
      </w:r>
      <w:r>
        <w:rPr>
          <w:rFonts w:cstheme="minorHAnsi"/>
          <w:b/>
          <w:sz w:val="24"/>
          <w:szCs w:val="24"/>
        </w:rPr>
        <w:t xml:space="preserve"> </w:t>
      </w:r>
      <w:r w:rsidRPr="007E1D75">
        <w:rPr>
          <w:rFonts w:cstheme="minorHAnsi"/>
          <w:sz w:val="24"/>
          <w:szCs w:val="24"/>
        </w:rPr>
        <w:t>Gray-shaded terminal nodes indicate that the tree would cl</w:t>
      </w:r>
      <w:r>
        <w:rPr>
          <w:rFonts w:cstheme="minorHAnsi"/>
          <w:sz w:val="24"/>
          <w:szCs w:val="24"/>
        </w:rPr>
        <w:t xml:space="preserve">assify patients as CPO-colonized, </w:t>
      </w:r>
      <w:r w:rsidRPr="007E1D75">
        <w:rPr>
          <w:rFonts w:cstheme="minorHAnsi"/>
          <w:sz w:val="24"/>
          <w:szCs w:val="24"/>
        </w:rPr>
        <w:t>and a</w:t>
      </w:r>
      <w:r>
        <w:rPr>
          <w:rFonts w:cstheme="minorHAnsi"/>
          <w:sz w:val="24"/>
          <w:szCs w:val="24"/>
        </w:rPr>
        <w:t xml:space="preserve">ccompanying percentages </w:t>
      </w:r>
      <w:r w:rsidRPr="007E1D75">
        <w:rPr>
          <w:rFonts w:cstheme="minorHAnsi"/>
          <w:sz w:val="24"/>
          <w:szCs w:val="24"/>
        </w:rPr>
        <w:t>reflect the probability that patients assigned t</w:t>
      </w:r>
      <w:r>
        <w:rPr>
          <w:rFonts w:cstheme="minorHAnsi"/>
          <w:sz w:val="24"/>
          <w:szCs w:val="24"/>
        </w:rPr>
        <w:t xml:space="preserve">o a given terminal node are CPO-positive. </w:t>
      </w:r>
      <w:r w:rsidRPr="007E1D75">
        <w:rPr>
          <w:rFonts w:cstheme="minorHAnsi"/>
          <w:sz w:val="24"/>
          <w:szCs w:val="24"/>
        </w:rPr>
        <w:t>Term</w:t>
      </w:r>
      <w:r>
        <w:rPr>
          <w:rFonts w:cstheme="minorHAnsi"/>
          <w:sz w:val="24"/>
          <w:szCs w:val="24"/>
        </w:rPr>
        <w:t>inal node numbering</w:t>
      </w:r>
      <w:r w:rsidRPr="007E1D75">
        <w:rPr>
          <w:rFonts w:cstheme="minorHAnsi"/>
          <w:sz w:val="24"/>
          <w:szCs w:val="24"/>
        </w:rPr>
        <w:t xml:space="preserve"> is included in parentheses.</w:t>
      </w:r>
      <w:r>
        <w:rPr>
          <w:rFonts w:cstheme="minorHAnsi"/>
          <w:sz w:val="24"/>
          <w:szCs w:val="24"/>
        </w:rPr>
        <w:t xml:space="preserve"> The tree possessed a sensitivity of 47.2%, a specificity of 99.1%, a positive predictive value of 40.5%, and a negative predictive value of 99.3%. Its C-statistic was 0.7</w:t>
      </w:r>
      <w:r w:rsidR="00096AE6">
        <w:rPr>
          <w:rFonts w:cstheme="minorHAnsi"/>
          <w:sz w:val="24"/>
          <w:szCs w:val="24"/>
        </w:rPr>
        <w:t>5, and its C-statistic in</w:t>
      </w:r>
      <w:r>
        <w:rPr>
          <w:rFonts w:cstheme="minorHAnsi"/>
          <w:sz w:val="24"/>
          <w:szCs w:val="24"/>
        </w:rPr>
        <w:t xml:space="preserve"> random forest</w:t>
      </w:r>
      <w:r w:rsidR="00096AE6">
        <w:rPr>
          <w:rFonts w:cstheme="minorHAnsi"/>
          <w:sz w:val="24"/>
          <w:szCs w:val="24"/>
        </w:rPr>
        <w:t>s</w:t>
      </w:r>
      <w:r>
        <w:rPr>
          <w:rFonts w:cstheme="minorHAnsi"/>
          <w:sz w:val="24"/>
          <w:szCs w:val="24"/>
        </w:rPr>
        <w:t xml:space="preserve"> analysis was 0.69.</w:t>
      </w:r>
    </w:p>
    <w:p w14:paraId="047C89C5" w14:textId="77777777" w:rsidR="00234F87" w:rsidRDefault="00234F87" w:rsidP="00234F87">
      <w:pPr>
        <w:spacing w:line="480" w:lineRule="auto"/>
        <w:jc w:val="center"/>
        <w:rPr>
          <w:rFonts w:cstheme="minorHAnsi"/>
          <w:b/>
          <w:sz w:val="24"/>
          <w:szCs w:val="24"/>
        </w:rPr>
      </w:pPr>
      <w:r>
        <w:rPr>
          <w:rFonts w:cstheme="minorHAnsi"/>
          <w:b/>
          <w:noProof/>
          <w:sz w:val="24"/>
          <w:szCs w:val="24"/>
        </w:rPr>
        <w:drawing>
          <wp:inline distT="0" distB="0" distL="0" distR="0" wp14:anchorId="27B217AE" wp14:editId="764337A3">
            <wp:extent cx="5830220" cy="4572688"/>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0220" cy="4572688"/>
                    </a:xfrm>
                    <a:prstGeom prst="rect">
                      <a:avLst/>
                    </a:prstGeom>
                    <a:noFill/>
                  </pic:spPr>
                </pic:pic>
              </a:graphicData>
            </a:graphic>
          </wp:inline>
        </w:drawing>
      </w:r>
    </w:p>
    <w:p w14:paraId="38BE0323" w14:textId="77777777" w:rsidR="00234F87" w:rsidRDefault="00234F87" w:rsidP="00234F87">
      <w:pPr>
        <w:spacing w:line="240" w:lineRule="auto"/>
        <w:rPr>
          <w:rFonts w:cstheme="minorHAnsi"/>
          <w:b/>
          <w:sz w:val="24"/>
          <w:szCs w:val="24"/>
        </w:rPr>
        <w:sectPr w:rsidR="00234F87" w:rsidSect="00686A8F">
          <w:pgSz w:w="12240" w:h="15840" w:code="1"/>
          <w:pgMar w:top="1440" w:right="1440" w:bottom="1440" w:left="1440" w:header="720" w:footer="720" w:gutter="0"/>
          <w:cols w:space="720"/>
          <w:docGrid w:linePitch="360"/>
        </w:sectPr>
      </w:pPr>
    </w:p>
    <w:p w14:paraId="21C4F0B0" w14:textId="2CAAF451" w:rsidR="00F01469" w:rsidRDefault="00F6628B" w:rsidP="00F6628B">
      <w:pPr>
        <w:pStyle w:val="ListParagraph"/>
        <w:numPr>
          <w:ilvl w:val="0"/>
          <w:numId w:val="2"/>
        </w:numPr>
        <w:spacing w:line="480" w:lineRule="auto"/>
        <w:ind w:hanging="810"/>
        <w:rPr>
          <w:rFonts w:cstheme="minorHAnsi"/>
          <w:b/>
          <w:sz w:val="24"/>
          <w:szCs w:val="24"/>
        </w:rPr>
      </w:pPr>
      <w:r>
        <w:rPr>
          <w:rFonts w:cstheme="minorHAnsi"/>
          <w:b/>
          <w:sz w:val="24"/>
          <w:szCs w:val="24"/>
        </w:rPr>
        <w:lastRenderedPageBreak/>
        <w:t>R</w:t>
      </w:r>
      <w:r w:rsidRPr="00F6628B">
        <w:rPr>
          <w:rFonts w:cstheme="minorHAnsi"/>
          <w:b/>
          <w:sz w:val="24"/>
          <w:szCs w:val="24"/>
        </w:rPr>
        <w:t>efit CART trees restricting to first, unique-patient encounters (n=2165)</w:t>
      </w:r>
    </w:p>
    <w:p w14:paraId="5CEC78C5" w14:textId="63B6D4E6" w:rsidR="00706497" w:rsidRDefault="008D3076" w:rsidP="008D3076">
      <w:pPr>
        <w:spacing w:line="480" w:lineRule="auto"/>
        <w:ind w:left="-90"/>
        <w:rPr>
          <w:rFonts w:cstheme="minorHAnsi"/>
          <w:sz w:val="24"/>
          <w:szCs w:val="24"/>
        </w:rPr>
      </w:pPr>
      <w:r>
        <w:rPr>
          <w:rFonts w:cstheme="minorHAnsi"/>
          <w:sz w:val="24"/>
          <w:szCs w:val="24"/>
        </w:rPr>
        <w:t>Due to multiple ICU admissions during the study period, our cohort included repeat-patient encount</w:t>
      </w:r>
      <w:r w:rsidR="00E17DC3">
        <w:rPr>
          <w:rFonts w:cstheme="minorHAnsi"/>
          <w:sz w:val="24"/>
          <w:szCs w:val="24"/>
        </w:rPr>
        <w:t>ers. T</w:t>
      </w:r>
      <w:r>
        <w:rPr>
          <w:rFonts w:cstheme="minorHAnsi"/>
          <w:sz w:val="24"/>
          <w:szCs w:val="24"/>
        </w:rPr>
        <w:t xml:space="preserve">ime-fixed variables (e.g., race) could potentially be over-represented in models if patients were admitted many times during the study period. </w:t>
      </w:r>
      <w:r w:rsidR="00E17DC3">
        <w:rPr>
          <w:rFonts w:cstheme="minorHAnsi"/>
          <w:sz w:val="24"/>
          <w:szCs w:val="24"/>
        </w:rPr>
        <w:t xml:space="preserve">Because </w:t>
      </w:r>
      <w:r w:rsidR="00706497">
        <w:rPr>
          <w:rFonts w:cstheme="minorHAnsi"/>
          <w:sz w:val="24"/>
          <w:szCs w:val="24"/>
        </w:rPr>
        <w:t>t</w:t>
      </w:r>
      <w:r>
        <w:rPr>
          <w:rFonts w:cstheme="minorHAnsi"/>
          <w:sz w:val="24"/>
          <w:szCs w:val="24"/>
        </w:rPr>
        <w:t>raditional CART approaches do not offer simple approach</w:t>
      </w:r>
      <w:r w:rsidR="00E17DC3">
        <w:rPr>
          <w:rFonts w:cstheme="minorHAnsi"/>
          <w:sz w:val="24"/>
          <w:szCs w:val="24"/>
        </w:rPr>
        <w:t>es like logistic regression</w:t>
      </w:r>
      <w:r>
        <w:rPr>
          <w:rFonts w:cstheme="minorHAnsi"/>
          <w:sz w:val="24"/>
          <w:szCs w:val="24"/>
        </w:rPr>
        <w:t xml:space="preserve"> (e.g., general estimating equations) to account for multiple obse</w:t>
      </w:r>
      <w:r w:rsidR="00706497">
        <w:rPr>
          <w:rFonts w:cstheme="minorHAnsi"/>
          <w:sz w:val="24"/>
          <w:szCs w:val="24"/>
        </w:rPr>
        <w:t xml:space="preserve">rvations from the same subject, </w:t>
      </w:r>
      <w:r>
        <w:rPr>
          <w:rFonts w:cstheme="minorHAnsi"/>
          <w:sz w:val="24"/>
          <w:szCs w:val="24"/>
        </w:rPr>
        <w:t xml:space="preserve">we refit trees restricting to first, unique-patient encounters in order to evaluate changes in model performance. </w:t>
      </w:r>
    </w:p>
    <w:p w14:paraId="0D8D7F84" w14:textId="77777777" w:rsidR="00706497" w:rsidRDefault="00706497" w:rsidP="008D3076">
      <w:pPr>
        <w:spacing w:line="480" w:lineRule="auto"/>
        <w:ind w:left="-90"/>
        <w:rPr>
          <w:rFonts w:cstheme="minorHAnsi"/>
          <w:sz w:val="24"/>
          <w:szCs w:val="24"/>
        </w:rPr>
      </w:pPr>
    </w:p>
    <w:p w14:paraId="295656A2" w14:textId="410386D4" w:rsidR="008D3076" w:rsidRDefault="008D3076" w:rsidP="008D3076">
      <w:pPr>
        <w:spacing w:line="480" w:lineRule="auto"/>
        <w:ind w:left="-90"/>
        <w:rPr>
          <w:rFonts w:cstheme="minorHAnsi"/>
          <w:sz w:val="24"/>
          <w:szCs w:val="24"/>
        </w:rPr>
      </w:pPr>
      <w:r>
        <w:rPr>
          <w:rFonts w:cstheme="minorHAnsi"/>
          <w:sz w:val="24"/>
          <w:szCs w:val="24"/>
        </w:rPr>
        <w:t>The tree for predicting CRO colonization performed similarly</w:t>
      </w:r>
      <w:r w:rsidR="00E17DC3">
        <w:rPr>
          <w:rFonts w:cstheme="minorHAnsi"/>
          <w:sz w:val="24"/>
          <w:szCs w:val="24"/>
        </w:rPr>
        <w:t xml:space="preserve"> when restricting to first patient encounters</w:t>
      </w:r>
      <w:r>
        <w:rPr>
          <w:rFonts w:cstheme="minorHAnsi"/>
          <w:sz w:val="24"/>
          <w:szCs w:val="24"/>
        </w:rPr>
        <w:t xml:space="preserve">, but the tree for </w:t>
      </w:r>
      <w:bookmarkStart w:id="0" w:name="_GoBack"/>
      <w:r>
        <w:rPr>
          <w:rFonts w:cstheme="minorHAnsi"/>
          <w:sz w:val="24"/>
          <w:szCs w:val="24"/>
        </w:rPr>
        <w:t>predicting C</w:t>
      </w:r>
      <w:r w:rsidR="002517BF">
        <w:rPr>
          <w:rFonts w:cstheme="minorHAnsi"/>
          <w:sz w:val="24"/>
          <w:szCs w:val="24"/>
        </w:rPr>
        <w:t>P</w:t>
      </w:r>
      <w:r>
        <w:rPr>
          <w:rFonts w:cstheme="minorHAnsi"/>
          <w:sz w:val="24"/>
          <w:szCs w:val="24"/>
        </w:rPr>
        <w:t xml:space="preserve">O colonization </w:t>
      </w:r>
      <w:bookmarkEnd w:id="0"/>
      <w:r>
        <w:rPr>
          <w:rFonts w:cstheme="minorHAnsi"/>
          <w:sz w:val="24"/>
          <w:szCs w:val="24"/>
        </w:rPr>
        <w:t>failed to branch, possibly due to insufficient sample size in this restricted subset (</w:t>
      </w:r>
      <w:r w:rsidR="0086402D">
        <w:rPr>
          <w:rFonts w:cstheme="minorHAnsi"/>
          <w:sz w:val="24"/>
          <w:szCs w:val="24"/>
        </w:rPr>
        <w:t>only 20 CPO outcomes) (Table S.3</w:t>
      </w:r>
      <w:r>
        <w:rPr>
          <w:rFonts w:cstheme="minorHAnsi"/>
          <w:sz w:val="24"/>
          <w:szCs w:val="24"/>
        </w:rPr>
        <w:t xml:space="preserve">). </w:t>
      </w:r>
    </w:p>
    <w:p w14:paraId="2B0D1ACD" w14:textId="77777777" w:rsidR="008D3076" w:rsidRDefault="008D3076" w:rsidP="008D3076">
      <w:pPr>
        <w:spacing w:line="480" w:lineRule="auto"/>
        <w:ind w:left="-90"/>
        <w:rPr>
          <w:rFonts w:cstheme="minorHAnsi"/>
          <w:b/>
          <w:sz w:val="24"/>
          <w:szCs w:val="24"/>
        </w:rPr>
      </w:pPr>
    </w:p>
    <w:p w14:paraId="1EAB62A7" w14:textId="77777777" w:rsidR="008D3076" w:rsidRDefault="008D3076" w:rsidP="008D3076">
      <w:pPr>
        <w:spacing w:line="480" w:lineRule="auto"/>
        <w:ind w:left="-90"/>
        <w:rPr>
          <w:rFonts w:cstheme="minorHAnsi"/>
          <w:b/>
          <w:sz w:val="24"/>
          <w:szCs w:val="24"/>
        </w:rPr>
      </w:pPr>
    </w:p>
    <w:p w14:paraId="09309DAE" w14:textId="77777777" w:rsidR="008D3076" w:rsidRDefault="008D3076" w:rsidP="008D3076">
      <w:pPr>
        <w:spacing w:line="480" w:lineRule="auto"/>
        <w:ind w:left="-90"/>
        <w:rPr>
          <w:rFonts w:cstheme="minorHAnsi"/>
          <w:b/>
          <w:sz w:val="24"/>
          <w:szCs w:val="24"/>
        </w:rPr>
      </w:pPr>
    </w:p>
    <w:p w14:paraId="5C35D91F" w14:textId="77777777" w:rsidR="008D3076" w:rsidRDefault="008D3076" w:rsidP="008D3076">
      <w:pPr>
        <w:spacing w:line="480" w:lineRule="auto"/>
        <w:ind w:left="-90"/>
        <w:rPr>
          <w:rFonts w:cstheme="minorHAnsi"/>
          <w:b/>
          <w:sz w:val="24"/>
          <w:szCs w:val="24"/>
        </w:rPr>
      </w:pPr>
    </w:p>
    <w:p w14:paraId="5F5CCB38" w14:textId="77777777" w:rsidR="00E17DC3" w:rsidRDefault="00E17DC3" w:rsidP="008D3076">
      <w:pPr>
        <w:spacing w:line="480" w:lineRule="auto"/>
        <w:ind w:left="-90"/>
        <w:rPr>
          <w:rFonts w:cstheme="minorHAnsi"/>
          <w:b/>
          <w:sz w:val="24"/>
          <w:szCs w:val="24"/>
        </w:rPr>
      </w:pPr>
    </w:p>
    <w:p w14:paraId="6EEB9F60" w14:textId="77777777" w:rsidR="00E17DC3" w:rsidRDefault="00E17DC3" w:rsidP="008D3076">
      <w:pPr>
        <w:spacing w:line="480" w:lineRule="auto"/>
        <w:ind w:left="-90"/>
        <w:rPr>
          <w:rFonts w:cstheme="minorHAnsi"/>
          <w:b/>
          <w:sz w:val="24"/>
          <w:szCs w:val="24"/>
        </w:rPr>
      </w:pPr>
    </w:p>
    <w:p w14:paraId="057728EC" w14:textId="501F0F56" w:rsidR="00F6628B" w:rsidRPr="007620DC" w:rsidRDefault="00F6628B" w:rsidP="008D3076">
      <w:pPr>
        <w:spacing w:line="480" w:lineRule="auto"/>
        <w:ind w:left="-90"/>
        <w:rPr>
          <w:rFonts w:cstheme="minorHAnsi"/>
          <w:sz w:val="24"/>
          <w:szCs w:val="24"/>
        </w:rPr>
      </w:pPr>
      <w:r w:rsidRPr="007620DC">
        <w:rPr>
          <w:rFonts w:cstheme="minorHAnsi"/>
          <w:b/>
          <w:sz w:val="24"/>
          <w:szCs w:val="24"/>
        </w:rPr>
        <w:lastRenderedPageBreak/>
        <w:t xml:space="preserve">Table </w:t>
      </w:r>
      <w:r w:rsidR="0086402D">
        <w:rPr>
          <w:rFonts w:cstheme="minorHAnsi"/>
          <w:b/>
          <w:sz w:val="24"/>
          <w:szCs w:val="24"/>
        </w:rPr>
        <w:t>S.3</w:t>
      </w:r>
      <w:r w:rsidRPr="007620DC">
        <w:rPr>
          <w:rFonts w:cstheme="minorHAnsi"/>
          <w:b/>
          <w:sz w:val="24"/>
          <w:szCs w:val="24"/>
        </w:rPr>
        <w:t>.</w:t>
      </w:r>
      <w:r>
        <w:rPr>
          <w:rFonts w:cstheme="minorHAnsi"/>
          <w:sz w:val="24"/>
          <w:szCs w:val="24"/>
        </w:rPr>
        <w:t xml:space="preserve">  Performance Metrics of CART Decision Trees for Predicting CRO and CPO Colonization at Unit Admission, Restricted to First Unique-Patient Admission Encounters During the Study Period.*</w:t>
      </w:r>
    </w:p>
    <w:tbl>
      <w:tblPr>
        <w:tblStyle w:val="PlainTable3"/>
        <w:tblW w:w="0" w:type="auto"/>
        <w:tblLook w:val="04A0" w:firstRow="1" w:lastRow="0" w:firstColumn="1" w:lastColumn="0" w:noHBand="0" w:noVBand="1"/>
      </w:tblPr>
      <w:tblGrid>
        <w:gridCol w:w="3505"/>
        <w:gridCol w:w="2790"/>
        <w:gridCol w:w="3055"/>
      </w:tblGrid>
      <w:tr w:rsidR="00F6628B" w:rsidRPr="007620DC" w14:paraId="31D9F36D" w14:textId="77777777" w:rsidTr="007A3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5" w:type="dxa"/>
            <w:tcBorders>
              <w:right w:val="none" w:sz="0" w:space="0" w:color="auto"/>
            </w:tcBorders>
          </w:tcPr>
          <w:p w14:paraId="4769A8A5" w14:textId="77777777" w:rsidR="00F6628B" w:rsidRPr="007620DC" w:rsidRDefault="00F6628B" w:rsidP="007A394B">
            <w:pPr>
              <w:spacing w:after="160" w:line="480" w:lineRule="auto"/>
              <w:rPr>
                <w:rFonts w:cstheme="minorHAnsi"/>
                <w:sz w:val="24"/>
                <w:szCs w:val="24"/>
              </w:rPr>
            </w:pPr>
          </w:p>
        </w:tc>
        <w:tc>
          <w:tcPr>
            <w:tcW w:w="2790" w:type="dxa"/>
          </w:tcPr>
          <w:p w14:paraId="3B77A3A6" w14:textId="77777777" w:rsidR="00F6628B" w:rsidRPr="007620DC" w:rsidRDefault="00F6628B" w:rsidP="007A394B">
            <w:pPr>
              <w:spacing w:after="160"/>
              <w:cnfStyle w:val="100000000000" w:firstRow="1" w:lastRow="0" w:firstColumn="0" w:lastColumn="0" w:oddVBand="0" w:evenVBand="0" w:oddHBand="0" w:evenHBand="0" w:firstRowFirstColumn="0" w:firstRowLastColumn="0" w:lastRowFirstColumn="0" w:lastRowLastColumn="0"/>
              <w:rPr>
                <w:rFonts w:cstheme="minorHAnsi"/>
                <w:caps w:val="0"/>
                <w:sz w:val="24"/>
                <w:szCs w:val="24"/>
              </w:rPr>
            </w:pPr>
            <w:r>
              <w:rPr>
                <w:rFonts w:cstheme="minorHAnsi"/>
                <w:caps w:val="0"/>
                <w:sz w:val="24"/>
                <w:szCs w:val="24"/>
              </w:rPr>
              <w:t>CRO Decision Tree</w:t>
            </w:r>
          </w:p>
        </w:tc>
        <w:tc>
          <w:tcPr>
            <w:tcW w:w="3055" w:type="dxa"/>
          </w:tcPr>
          <w:p w14:paraId="77CDEBBF" w14:textId="77777777" w:rsidR="00F6628B" w:rsidRPr="007620DC" w:rsidRDefault="00F6628B" w:rsidP="007A394B">
            <w:pPr>
              <w:spacing w:after="160"/>
              <w:cnfStyle w:val="100000000000" w:firstRow="1" w:lastRow="0" w:firstColumn="0" w:lastColumn="0" w:oddVBand="0" w:evenVBand="0" w:oddHBand="0" w:evenHBand="0" w:firstRowFirstColumn="0" w:firstRowLastColumn="0" w:lastRowFirstColumn="0" w:lastRowLastColumn="0"/>
              <w:rPr>
                <w:rFonts w:cstheme="minorHAnsi"/>
                <w:caps w:val="0"/>
                <w:sz w:val="24"/>
                <w:szCs w:val="24"/>
              </w:rPr>
            </w:pPr>
            <w:r>
              <w:rPr>
                <w:rFonts w:cstheme="minorHAnsi"/>
                <w:caps w:val="0"/>
                <w:sz w:val="24"/>
                <w:szCs w:val="24"/>
              </w:rPr>
              <w:t>CPO Decision Tree</w:t>
            </w:r>
          </w:p>
        </w:tc>
      </w:tr>
      <w:tr w:rsidR="00F6628B" w:rsidRPr="007620DC" w14:paraId="7A172F66"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115C6BF3" w14:textId="77777777" w:rsidR="00F6628B" w:rsidRPr="007620DC" w:rsidRDefault="00F6628B" w:rsidP="007A394B">
            <w:pPr>
              <w:spacing w:line="480" w:lineRule="auto"/>
              <w:rPr>
                <w:rFonts w:cstheme="minorHAnsi"/>
                <w:b w:val="0"/>
                <w:caps w:val="0"/>
                <w:sz w:val="24"/>
                <w:szCs w:val="24"/>
              </w:rPr>
            </w:pPr>
            <w:r>
              <w:rPr>
                <w:rFonts w:cstheme="minorHAnsi"/>
                <w:b w:val="0"/>
                <w:caps w:val="0"/>
                <w:sz w:val="24"/>
                <w:szCs w:val="24"/>
              </w:rPr>
              <w:t>No. of Outcomes (N=2165)</w:t>
            </w:r>
          </w:p>
        </w:tc>
        <w:tc>
          <w:tcPr>
            <w:tcW w:w="2790" w:type="dxa"/>
            <w:tcBorders>
              <w:top w:val="single" w:sz="4" w:space="0" w:color="7F7F7F" w:themeColor="text1" w:themeTint="80"/>
            </w:tcBorders>
          </w:tcPr>
          <w:p w14:paraId="21A60A78" w14:textId="77777777" w:rsidR="00F6628B" w:rsidRDefault="00F6628B" w:rsidP="007A394B">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141</w:t>
            </w:r>
          </w:p>
        </w:tc>
        <w:tc>
          <w:tcPr>
            <w:tcW w:w="3055" w:type="dxa"/>
          </w:tcPr>
          <w:p w14:paraId="79EC521E" w14:textId="77777777" w:rsidR="00F6628B" w:rsidRDefault="00F6628B" w:rsidP="007A394B">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p>
        </w:tc>
      </w:tr>
      <w:tr w:rsidR="00F6628B" w:rsidRPr="007620DC" w14:paraId="58C64D40"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66824879"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No. of Included Variables</w:t>
            </w:r>
          </w:p>
        </w:tc>
        <w:tc>
          <w:tcPr>
            <w:tcW w:w="2790" w:type="dxa"/>
          </w:tcPr>
          <w:p w14:paraId="2F2343DE"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3055" w:type="dxa"/>
          </w:tcPr>
          <w:p w14:paraId="76EF636D"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 (Failed to Branch)</w:t>
            </w:r>
          </w:p>
        </w:tc>
      </w:tr>
      <w:tr w:rsidR="00F6628B" w:rsidRPr="007620DC" w14:paraId="4650D97A"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4A8E6571"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Sensitivity</w:t>
            </w:r>
          </w:p>
        </w:tc>
        <w:tc>
          <w:tcPr>
            <w:tcW w:w="2790" w:type="dxa"/>
          </w:tcPr>
          <w:p w14:paraId="53D68E0B"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8.5</w:t>
            </w:r>
            <w:r w:rsidRPr="007620DC">
              <w:rPr>
                <w:rFonts w:cstheme="minorHAnsi"/>
                <w:sz w:val="24"/>
                <w:szCs w:val="24"/>
              </w:rPr>
              <w:t>%</w:t>
            </w:r>
          </w:p>
        </w:tc>
        <w:tc>
          <w:tcPr>
            <w:tcW w:w="3055" w:type="dxa"/>
          </w:tcPr>
          <w:p w14:paraId="69142EB6"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NA</w:t>
            </w:r>
          </w:p>
        </w:tc>
      </w:tr>
      <w:tr w:rsidR="00F6628B" w:rsidRPr="007620DC" w14:paraId="7710190F"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26B40399"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Specificity</w:t>
            </w:r>
          </w:p>
        </w:tc>
        <w:tc>
          <w:tcPr>
            <w:tcW w:w="2790" w:type="dxa"/>
          </w:tcPr>
          <w:p w14:paraId="62FADC19"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99.8</w:t>
            </w:r>
            <w:r w:rsidRPr="007620DC">
              <w:rPr>
                <w:rFonts w:cstheme="minorHAnsi"/>
                <w:sz w:val="24"/>
                <w:szCs w:val="24"/>
              </w:rPr>
              <w:t>%</w:t>
            </w:r>
          </w:p>
        </w:tc>
        <w:tc>
          <w:tcPr>
            <w:tcW w:w="3055" w:type="dxa"/>
          </w:tcPr>
          <w:p w14:paraId="4CDA8AEA"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NA</w:t>
            </w:r>
          </w:p>
        </w:tc>
      </w:tr>
      <w:tr w:rsidR="00F6628B" w:rsidRPr="007620DC" w14:paraId="4FE9A5E5"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3F9E3D6D"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Positive Predictive Value (PPV)</w:t>
            </w:r>
          </w:p>
        </w:tc>
        <w:tc>
          <w:tcPr>
            <w:tcW w:w="2790" w:type="dxa"/>
          </w:tcPr>
          <w:p w14:paraId="34A74482"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75</w:t>
            </w:r>
            <w:r w:rsidRPr="007620DC">
              <w:rPr>
                <w:rFonts w:cstheme="minorHAnsi"/>
                <w:sz w:val="24"/>
                <w:szCs w:val="24"/>
              </w:rPr>
              <w:t>%</w:t>
            </w:r>
          </w:p>
        </w:tc>
        <w:tc>
          <w:tcPr>
            <w:tcW w:w="3055" w:type="dxa"/>
          </w:tcPr>
          <w:p w14:paraId="0FFBF4C3"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NA</w:t>
            </w:r>
          </w:p>
        </w:tc>
      </w:tr>
      <w:tr w:rsidR="00F6628B" w:rsidRPr="007620DC" w14:paraId="16A6021A" w14:textId="77777777" w:rsidTr="007A394B">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518E1FDA"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Negative Predictive Value (NPV)</w:t>
            </w:r>
          </w:p>
        </w:tc>
        <w:tc>
          <w:tcPr>
            <w:tcW w:w="2790" w:type="dxa"/>
          </w:tcPr>
          <w:p w14:paraId="5468C9FB"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620DC">
              <w:rPr>
                <w:rFonts w:cstheme="minorHAnsi"/>
                <w:sz w:val="24"/>
                <w:szCs w:val="24"/>
              </w:rPr>
              <w:t>9</w:t>
            </w:r>
            <w:r>
              <w:rPr>
                <w:rFonts w:cstheme="minorHAnsi"/>
                <w:sz w:val="24"/>
                <w:szCs w:val="24"/>
              </w:rPr>
              <w:t>4</w:t>
            </w:r>
            <w:r w:rsidRPr="007620DC">
              <w:rPr>
                <w:rFonts w:cstheme="minorHAnsi"/>
                <w:sz w:val="24"/>
                <w:szCs w:val="24"/>
              </w:rPr>
              <w:t>%</w:t>
            </w:r>
          </w:p>
        </w:tc>
        <w:tc>
          <w:tcPr>
            <w:tcW w:w="3055" w:type="dxa"/>
          </w:tcPr>
          <w:p w14:paraId="53198F94" w14:textId="77777777" w:rsidR="00F6628B" w:rsidRPr="007620DC" w:rsidRDefault="00F6628B" w:rsidP="007A394B">
            <w:pPr>
              <w:spacing w:after="160" w:line="48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NA</w:t>
            </w:r>
          </w:p>
        </w:tc>
      </w:tr>
      <w:tr w:rsidR="00F6628B" w:rsidRPr="007620DC" w14:paraId="25614503" w14:textId="77777777" w:rsidTr="007A3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right w:val="none" w:sz="0" w:space="0" w:color="auto"/>
            </w:tcBorders>
          </w:tcPr>
          <w:p w14:paraId="79AB510B" w14:textId="77777777" w:rsidR="00F6628B" w:rsidRPr="007620DC" w:rsidRDefault="00F6628B" w:rsidP="007A394B">
            <w:pPr>
              <w:spacing w:after="160" w:line="480" w:lineRule="auto"/>
              <w:rPr>
                <w:rFonts w:cstheme="minorHAnsi"/>
                <w:b w:val="0"/>
                <w:caps w:val="0"/>
                <w:sz w:val="24"/>
                <w:szCs w:val="24"/>
              </w:rPr>
            </w:pPr>
            <w:r w:rsidRPr="007620DC">
              <w:rPr>
                <w:rFonts w:cstheme="minorHAnsi"/>
                <w:b w:val="0"/>
                <w:caps w:val="0"/>
                <w:sz w:val="24"/>
                <w:szCs w:val="24"/>
              </w:rPr>
              <w:t>C-Statistic</w:t>
            </w:r>
          </w:p>
        </w:tc>
        <w:tc>
          <w:tcPr>
            <w:tcW w:w="2790" w:type="dxa"/>
          </w:tcPr>
          <w:p w14:paraId="3C511CA4"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0.55</w:t>
            </w:r>
          </w:p>
        </w:tc>
        <w:tc>
          <w:tcPr>
            <w:tcW w:w="3055" w:type="dxa"/>
          </w:tcPr>
          <w:p w14:paraId="0EC48CFB" w14:textId="77777777" w:rsidR="00F6628B" w:rsidRPr="007620DC" w:rsidRDefault="00F6628B" w:rsidP="007A394B">
            <w:pPr>
              <w:spacing w:after="160" w:line="48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0.50</w:t>
            </w:r>
          </w:p>
        </w:tc>
      </w:tr>
    </w:tbl>
    <w:p w14:paraId="1FA1570A" w14:textId="77777777" w:rsidR="00F6628B" w:rsidRPr="0046658A" w:rsidRDefault="00F6628B" w:rsidP="00F6628B">
      <w:pPr>
        <w:rPr>
          <w:rFonts w:cstheme="minorHAnsi"/>
          <w:sz w:val="24"/>
          <w:szCs w:val="24"/>
        </w:rPr>
      </w:pPr>
      <w:r>
        <w:rPr>
          <w:rFonts w:cstheme="minorHAnsi"/>
          <w:b/>
          <w:sz w:val="24"/>
          <w:szCs w:val="24"/>
        </w:rPr>
        <w:t xml:space="preserve">* </w:t>
      </w:r>
      <w:r>
        <w:rPr>
          <w:rFonts w:cstheme="minorHAnsi"/>
          <w:sz w:val="24"/>
          <w:szCs w:val="24"/>
        </w:rPr>
        <w:t>Number of first, unique-patient encounters during the study period equals 2165. Abbreviations: “NA”, not applicable.</w:t>
      </w:r>
    </w:p>
    <w:p w14:paraId="07A96DC1" w14:textId="17250673" w:rsidR="00F01469" w:rsidRDefault="00F01469" w:rsidP="00BB27E3">
      <w:pPr>
        <w:spacing w:line="480" w:lineRule="auto"/>
        <w:rPr>
          <w:rFonts w:cstheme="minorHAnsi"/>
          <w:b/>
          <w:sz w:val="24"/>
          <w:szCs w:val="24"/>
        </w:rPr>
      </w:pPr>
    </w:p>
    <w:p w14:paraId="02753529" w14:textId="556E2ABC" w:rsidR="008D3076" w:rsidRDefault="008D3076" w:rsidP="00BB27E3">
      <w:pPr>
        <w:spacing w:line="480" w:lineRule="auto"/>
        <w:rPr>
          <w:rFonts w:cstheme="minorHAnsi"/>
          <w:b/>
          <w:sz w:val="24"/>
          <w:szCs w:val="24"/>
        </w:rPr>
      </w:pPr>
    </w:p>
    <w:p w14:paraId="7E6A4E6D" w14:textId="0E9A388F" w:rsidR="008D3076" w:rsidRDefault="008D3076" w:rsidP="00BB27E3">
      <w:pPr>
        <w:spacing w:line="480" w:lineRule="auto"/>
        <w:rPr>
          <w:rFonts w:cstheme="minorHAnsi"/>
          <w:b/>
          <w:sz w:val="24"/>
          <w:szCs w:val="24"/>
        </w:rPr>
      </w:pPr>
    </w:p>
    <w:p w14:paraId="4D788A82" w14:textId="28FE7807" w:rsidR="008D3076" w:rsidRDefault="008D3076" w:rsidP="00BB27E3">
      <w:pPr>
        <w:spacing w:line="480" w:lineRule="auto"/>
        <w:rPr>
          <w:rFonts w:cstheme="minorHAnsi"/>
          <w:b/>
          <w:sz w:val="24"/>
          <w:szCs w:val="24"/>
        </w:rPr>
      </w:pPr>
    </w:p>
    <w:p w14:paraId="454F7213" w14:textId="4A058B85" w:rsidR="008D3076" w:rsidRDefault="008D3076" w:rsidP="00BB27E3">
      <w:pPr>
        <w:spacing w:line="480" w:lineRule="auto"/>
        <w:rPr>
          <w:rFonts w:cstheme="minorHAnsi"/>
          <w:b/>
          <w:sz w:val="24"/>
          <w:szCs w:val="24"/>
        </w:rPr>
      </w:pPr>
    </w:p>
    <w:p w14:paraId="51C63D6A" w14:textId="71E8DC8B" w:rsidR="008D3076" w:rsidRDefault="008D3076" w:rsidP="00BB27E3">
      <w:pPr>
        <w:spacing w:line="480" w:lineRule="auto"/>
        <w:rPr>
          <w:rFonts w:cstheme="minorHAnsi"/>
          <w:b/>
          <w:sz w:val="24"/>
          <w:szCs w:val="24"/>
        </w:rPr>
      </w:pPr>
    </w:p>
    <w:p w14:paraId="0D61B0BE" w14:textId="0F23AC7C" w:rsidR="008D3076" w:rsidRDefault="008D3076" w:rsidP="008D3076">
      <w:pPr>
        <w:pStyle w:val="ListParagraph"/>
        <w:numPr>
          <w:ilvl w:val="0"/>
          <w:numId w:val="2"/>
        </w:numPr>
        <w:spacing w:line="480" w:lineRule="auto"/>
        <w:ind w:hanging="810"/>
        <w:rPr>
          <w:rFonts w:cstheme="minorHAnsi"/>
          <w:b/>
          <w:sz w:val="24"/>
          <w:szCs w:val="24"/>
        </w:rPr>
      </w:pPr>
      <w:r>
        <w:rPr>
          <w:rFonts w:cstheme="minorHAnsi"/>
          <w:b/>
          <w:sz w:val="24"/>
          <w:szCs w:val="24"/>
        </w:rPr>
        <w:lastRenderedPageBreak/>
        <w:t>R</w:t>
      </w:r>
      <w:r w:rsidRPr="008D3076">
        <w:rPr>
          <w:rFonts w:cstheme="minorHAnsi"/>
          <w:b/>
          <w:sz w:val="24"/>
          <w:szCs w:val="24"/>
        </w:rPr>
        <w:t>e-performed both CART and RF analyses after restricting the CPO outcome to only isolates with molecularly-confirmed carbapenemases.</w:t>
      </w:r>
    </w:p>
    <w:p w14:paraId="538F6F1F" w14:textId="77777777" w:rsidR="00706497" w:rsidRDefault="008D3076" w:rsidP="008D3076">
      <w:pPr>
        <w:spacing w:line="480" w:lineRule="auto"/>
        <w:ind w:left="-90"/>
        <w:rPr>
          <w:rFonts w:cstheme="minorHAnsi"/>
          <w:sz w:val="24"/>
          <w:szCs w:val="24"/>
        </w:rPr>
      </w:pPr>
      <w:r w:rsidRPr="008D3076">
        <w:rPr>
          <w:rFonts w:cstheme="minorHAnsi"/>
          <w:sz w:val="24"/>
          <w:szCs w:val="24"/>
        </w:rPr>
        <w:t xml:space="preserve">In order to address possible outcome misclassification, for the outcome of CPO colonization we refit a decision tree and performed random forests analysis restricting to CPO isolates with molecularly-confirmed carbapenemases. Of the 36 CPO-positive swabs, 22 </w:t>
      </w:r>
      <w:r w:rsidR="00706497">
        <w:rPr>
          <w:rFonts w:cstheme="minorHAnsi"/>
          <w:sz w:val="24"/>
          <w:szCs w:val="24"/>
        </w:rPr>
        <w:t xml:space="preserve">swabs </w:t>
      </w:r>
      <w:r w:rsidRPr="008D3076">
        <w:rPr>
          <w:rFonts w:cstheme="minorHAnsi"/>
          <w:sz w:val="24"/>
          <w:szCs w:val="24"/>
        </w:rPr>
        <w:t xml:space="preserve">were positive for one or more carbapenemases on the Checkpoints assay (representing 23 isolates, due to CP-CRE co-colonization on one swab). A decision tree fit to this data failed to branch, indicating that no variables were sufficiently predictive for this outcome. We also refit a decision tree with 10% priors in order to increase tree sensitivity. This tree possessed a C-statistic of 0.94 and included 14 variables, evidencing that it was overfit. In random forests analysis (no adjustment of priors), the C-statistic was 0.68, similar to the value for the primary CPO outcome (C-statistic 0.70). </w:t>
      </w:r>
    </w:p>
    <w:p w14:paraId="1B575643" w14:textId="77777777" w:rsidR="00706497" w:rsidRDefault="00706497" w:rsidP="008D3076">
      <w:pPr>
        <w:spacing w:line="480" w:lineRule="auto"/>
        <w:ind w:left="-90"/>
        <w:rPr>
          <w:rFonts w:cstheme="minorHAnsi"/>
          <w:sz w:val="24"/>
          <w:szCs w:val="24"/>
        </w:rPr>
      </w:pPr>
    </w:p>
    <w:p w14:paraId="669CBA68" w14:textId="5AE2A58A" w:rsidR="008D3076" w:rsidRPr="008D3076" w:rsidRDefault="00E17DC3" w:rsidP="008D3076">
      <w:pPr>
        <w:spacing w:line="480" w:lineRule="auto"/>
        <w:ind w:left="-90"/>
        <w:rPr>
          <w:rFonts w:cstheme="minorHAnsi"/>
          <w:sz w:val="24"/>
          <w:szCs w:val="24"/>
        </w:rPr>
      </w:pPr>
      <w:r>
        <w:rPr>
          <w:rFonts w:cstheme="minorHAnsi"/>
          <w:sz w:val="24"/>
          <w:szCs w:val="24"/>
        </w:rPr>
        <w:t>R</w:t>
      </w:r>
      <w:r w:rsidR="008D3076" w:rsidRPr="008D3076">
        <w:rPr>
          <w:rFonts w:cstheme="minorHAnsi"/>
          <w:sz w:val="24"/>
          <w:szCs w:val="24"/>
        </w:rPr>
        <w:t>estricting the CPO outcome to swabs possessing molecularly-confirmed carbapenemases did not materially improve, or in some cases reduced, model performance.</w:t>
      </w:r>
    </w:p>
    <w:p w14:paraId="22D24687" w14:textId="54BA3D96" w:rsidR="00F01469" w:rsidRDefault="00F01469" w:rsidP="00BB27E3">
      <w:pPr>
        <w:spacing w:line="480" w:lineRule="auto"/>
        <w:rPr>
          <w:rFonts w:cstheme="minorHAnsi"/>
          <w:b/>
          <w:sz w:val="20"/>
          <w:szCs w:val="20"/>
        </w:rPr>
      </w:pPr>
    </w:p>
    <w:p w14:paraId="07D992B1" w14:textId="03AA2964" w:rsidR="00A94A2C" w:rsidRDefault="00A94A2C" w:rsidP="00BB27E3">
      <w:pPr>
        <w:spacing w:line="480" w:lineRule="auto"/>
        <w:rPr>
          <w:rFonts w:cstheme="minorHAnsi"/>
          <w:b/>
          <w:sz w:val="20"/>
          <w:szCs w:val="20"/>
        </w:rPr>
      </w:pPr>
    </w:p>
    <w:p w14:paraId="320287EB" w14:textId="66582CFC" w:rsidR="00A94A2C" w:rsidRDefault="00A94A2C" w:rsidP="00BB27E3">
      <w:pPr>
        <w:spacing w:line="480" w:lineRule="auto"/>
        <w:rPr>
          <w:rFonts w:cstheme="minorHAnsi"/>
          <w:b/>
          <w:sz w:val="20"/>
          <w:szCs w:val="20"/>
        </w:rPr>
      </w:pPr>
    </w:p>
    <w:p w14:paraId="5FC2AA65" w14:textId="0FB502AF" w:rsidR="00A94A2C" w:rsidRDefault="00A94A2C" w:rsidP="00BB27E3">
      <w:pPr>
        <w:spacing w:line="480" w:lineRule="auto"/>
        <w:rPr>
          <w:rFonts w:cstheme="minorHAnsi"/>
          <w:b/>
          <w:sz w:val="20"/>
          <w:szCs w:val="20"/>
        </w:rPr>
      </w:pPr>
    </w:p>
    <w:p w14:paraId="2E34A242" w14:textId="2809F374" w:rsidR="00A94A2C" w:rsidRDefault="00A94A2C" w:rsidP="00BB27E3">
      <w:pPr>
        <w:spacing w:line="480" w:lineRule="auto"/>
        <w:rPr>
          <w:rFonts w:cstheme="minorHAnsi"/>
          <w:b/>
          <w:sz w:val="20"/>
          <w:szCs w:val="20"/>
        </w:rPr>
      </w:pPr>
    </w:p>
    <w:p w14:paraId="20CD8082" w14:textId="76DC2F60" w:rsidR="00A94A2C" w:rsidRDefault="00A94A2C" w:rsidP="00BB27E3">
      <w:pPr>
        <w:spacing w:line="480" w:lineRule="auto"/>
        <w:rPr>
          <w:rFonts w:cstheme="minorHAnsi"/>
          <w:b/>
          <w:sz w:val="20"/>
          <w:szCs w:val="20"/>
        </w:rPr>
      </w:pPr>
    </w:p>
    <w:p w14:paraId="3B581155" w14:textId="502D6BAE" w:rsidR="00A94A2C" w:rsidRPr="00A94A2C" w:rsidRDefault="005825EA" w:rsidP="00A94A2C">
      <w:pPr>
        <w:spacing w:line="480" w:lineRule="auto"/>
        <w:rPr>
          <w:rFonts w:cstheme="minorHAnsi"/>
          <w:b/>
          <w:sz w:val="24"/>
          <w:szCs w:val="24"/>
          <w:u w:val="single"/>
        </w:rPr>
      </w:pPr>
      <w:r>
        <w:rPr>
          <w:rFonts w:cstheme="minorHAnsi"/>
          <w:b/>
          <w:sz w:val="24"/>
          <w:szCs w:val="24"/>
          <w:u w:val="single"/>
        </w:rPr>
        <w:lastRenderedPageBreak/>
        <w:t>Patient Data</w:t>
      </w:r>
    </w:p>
    <w:p w14:paraId="3254D240" w14:textId="199849DD" w:rsidR="00BB27E3" w:rsidRPr="00A94A2C" w:rsidRDefault="00BB27E3" w:rsidP="00A94A2C">
      <w:pPr>
        <w:spacing w:line="480" w:lineRule="auto"/>
        <w:rPr>
          <w:rFonts w:eastAsiaTheme="minorEastAsia" w:cstheme="minorHAnsi"/>
          <w:sz w:val="24"/>
          <w:szCs w:val="24"/>
        </w:rPr>
      </w:pPr>
      <w:r w:rsidRPr="007620DC">
        <w:rPr>
          <w:rFonts w:eastAsiaTheme="minorEastAsia" w:cstheme="minorHAnsi"/>
          <w:sz w:val="24"/>
          <w:szCs w:val="24"/>
        </w:rPr>
        <w:t>Patient data was based on the</w:t>
      </w:r>
      <w:r>
        <w:rPr>
          <w:rFonts w:eastAsiaTheme="minorEastAsia" w:cstheme="minorHAnsi"/>
          <w:sz w:val="24"/>
          <w:szCs w:val="24"/>
        </w:rPr>
        <w:t xml:space="preserve"> day of, or days/weeks prior to,</w:t>
      </w:r>
      <w:r w:rsidRPr="007620DC">
        <w:rPr>
          <w:rFonts w:eastAsiaTheme="minorEastAsia" w:cstheme="minorHAnsi"/>
          <w:sz w:val="24"/>
          <w:szCs w:val="24"/>
        </w:rPr>
        <w:t xml:space="preserve"> unit admission, and included the following: (a) demographic data</w:t>
      </w:r>
      <w:r w:rsidR="00215A65">
        <w:rPr>
          <w:rFonts w:eastAsiaTheme="minorEastAsia" w:cstheme="minorHAnsi"/>
          <w:sz w:val="24"/>
          <w:szCs w:val="24"/>
        </w:rPr>
        <w:t xml:space="preserve"> (e.g., age, sex, race)</w:t>
      </w:r>
      <w:r w:rsidRPr="007620DC">
        <w:rPr>
          <w:rFonts w:eastAsiaTheme="minorEastAsia" w:cstheme="minorHAnsi"/>
          <w:sz w:val="24"/>
          <w:szCs w:val="24"/>
        </w:rPr>
        <w:t>; (b) hospitalizat</w:t>
      </w:r>
      <w:r>
        <w:rPr>
          <w:rFonts w:eastAsiaTheme="minorEastAsia" w:cstheme="minorHAnsi"/>
          <w:sz w:val="24"/>
          <w:szCs w:val="24"/>
        </w:rPr>
        <w:t>ion encounter-level data</w:t>
      </w:r>
      <w:r w:rsidR="005825EA">
        <w:rPr>
          <w:rFonts w:eastAsiaTheme="minorEastAsia" w:cstheme="minorHAnsi"/>
          <w:sz w:val="24"/>
          <w:szCs w:val="24"/>
        </w:rPr>
        <w:t xml:space="preserve"> </w:t>
      </w:r>
      <w:r w:rsidR="005825EA" w:rsidRPr="005825EA">
        <w:rPr>
          <w:rFonts w:eastAsiaTheme="minorEastAsia" w:cstheme="minorHAnsi"/>
          <w:sz w:val="24"/>
          <w:szCs w:val="24"/>
        </w:rPr>
        <w:t>(e.g., admission type, pre-admission location)</w:t>
      </w:r>
      <w:r w:rsidRPr="007620DC">
        <w:rPr>
          <w:rFonts w:eastAsiaTheme="minorEastAsia" w:cstheme="minorHAnsi"/>
          <w:sz w:val="24"/>
          <w:szCs w:val="24"/>
        </w:rPr>
        <w:t>; (c) pre-existing medical conditions and co-morbidities; (d) multidrug-resistant organism (MDRO) colonization or i</w:t>
      </w:r>
      <w:r>
        <w:rPr>
          <w:rFonts w:eastAsiaTheme="minorEastAsia" w:cstheme="minorHAnsi"/>
          <w:sz w:val="24"/>
          <w:szCs w:val="24"/>
        </w:rPr>
        <w:t>nfection (≤ 6 mos.)</w:t>
      </w:r>
      <w:r w:rsidRPr="007620DC">
        <w:rPr>
          <w:rFonts w:eastAsiaTheme="minorEastAsia" w:cstheme="minorHAnsi"/>
          <w:sz w:val="24"/>
          <w:szCs w:val="24"/>
        </w:rPr>
        <w:t>, and contact precautions and VRE colonization status at unit admission; (e) days of  inpatient and/or ICU hospita</w:t>
      </w:r>
      <w:r>
        <w:rPr>
          <w:rFonts w:eastAsiaTheme="minorEastAsia" w:cstheme="minorHAnsi"/>
          <w:sz w:val="24"/>
          <w:szCs w:val="24"/>
        </w:rPr>
        <w:t>lization (≤ 6 mos.);</w:t>
      </w:r>
      <w:r w:rsidRPr="007620DC">
        <w:rPr>
          <w:rFonts w:eastAsiaTheme="minorEastAsia" w:cstheme="minorHAnsi"/>
          <w:sz w:val="24"/>
          <w:szCs w:val="24"/>
        </w:rPr>
        <w:t xml:space="preserve"> (f) discharge to a post-acute care facility (long-term acute care hospital, skilled nursing or rehabilitation f</w:t>
      </w:r>
      <w:r>
        <w:rPr>
          <w:rFonts w:eastAsiaTheme="minorEastAsia" w:cstheme="minorHAnsi"/>
          <w:sz w:val="24"/>
          <w:szCs w:val="24"/>
        </w:rPr>
        <w:t>acility) (≤ 6 mos.)</w:t>
      </w:r>
      <w:r w:rsidRPr="007620DC">
        <w:rPr>
          <w:rFonts w:eastAsiaTheme="minorEastAsia" w:cstheme="minorHAnsi"/>
          <w:sz w:val="24"/>
          <w:szCs w:val="24"/>
        </w:rPr>
        <w:t>;</w:t>
      </w:r>
      <w:r>
        <w:rPr>
          <w:rFonts w:eastAsiaTheme="minorEastAsia" w:cstheme="minorHAnsi"/>
          <w:sz w:val="24"/>
          <w:szCs w:val="24"/>
        </w:rPr>
        <w:t xml:space="preserve"> (g) indwelling hardware (≤ 3 mos.)</w:t>
      </w:r>
      <w:r w:rsidRPr="007620DC">
        <w:rPr>
          <w:rFonts w:eastAsiaTheme="minorEastAsia" w:cstheme="minorHAnsi"/>
          <w:sz w:val="24"/>
          <w:szCs w:val="24"/>
        </w:rPr>
        <w:t xml:space="preserve">; (h) days and </w:t>
      </w:r>
      <w:r>
        <w:rPr>
          <w:rFonts w:eastAsiaTheme="minorEastAsia" w:cstheme="minorHAnsi"/>
          <w:sz w:val="24"/>
          <w:szCs w:val="24"/>
        </w:rPr>
        <w:t>total defined daily dose (DDD</w:t>
      </w:r>
      <w:r w:rsidRPr="007620DC">
        <w:rPr>
          <w:rFonts w:eastAsiaTheme="minorEastAsia" w:cstheme="minorHAnsi"/>
          <w:sz w:val="24"/>
          <w:szCs w:val="24"/>
        </w:rPr>
        <w:t>)</w:t>
      </w:r>
      <w:r>
        <w:rPr>
          <w:rFonts w:eastAsiaTheme="minorEastAsia" w:cstheme="minorHAnsi"/>
          <w:sz w:val="24"/>
          <w:szCs w:val="24"/>
        </w:rPr>
        <w:t xml:space="preserve">-adjusted doses </w:t>
      </w:r>
      <w:r>
        <w:rPr>
          <w:rFonts w:eastAsiaTheme="minorEastAsia" w:cstheme="minorHAnsi"/>
          <w:sz w:val="24"/>
          <w:szCs w:val="24"/>
        </w:rPr>
        <w:fldChar w:fldCharType="begin"/>
      </w:r>
      <w:r w:rsidR="00D06FA1">
        <w:rPr>
          <w:rFonts w:eastAsiaTheme="minorEastAsia" w:cstheme="minorHAnsi"/>
          <w:sz w:val="24"/>
          <w:szCs w:val="24"/>
        </w:rPr>
        <w:instrText xml:space="preserve"> ADDIN EN.CITE &lt;EndNote&gt;&lt;Cite&gt;&lt;Author&gt;World Health Organization&lt;/Author&gt;&lt;Year&gt;2018&lt;/Year&gt;&lt;RecNum&gt;141&lt;/RecNum&gt;&lt;DisplayText&gt;[5]&lt;/DisplayText&gt;&lt;record&gt;&lt;rec-number&gt;141&lt;/rec-number&gt;&lt;foreign-keys&gt;&lt;key app="EN" db-id="vdpt29t5rzxfpmedrwrvdvsixsps5wdee9rs" timestamp="1534796286"&gt;141&lt;/key&gt;&lt;/foreign-keys&gt;&lt;ref-type name="Web Page"&gt;12&lt;/ref-type&gt;&lt;contributors&gt;&lt;authors&gt;&lt;author&gt;World Health Organization,&lt;/author&gt;&lt;/authors&gt;&lt;/contributors&gt;&lt;titles&gt;&lt;title&gt;Defined Daily Dose (DDD)&lt;/title&gt;&lt;/titles&gt;&lt;dates&gt;&lt;year&gt;2018&lt;/year&gt;&lt;/dates&gt;&lt;urls&gt;&lt;related-urls&gt;&lt;url&gt;http://www.who.int/medicines/regulation/medicines-safety/toolkit_ddd/en/&lt;/url&gt;&lt;/related-urls&gt;&lt;/urls&gt;&lt;/record&gt;&lt;/Cite&gt;&lt;/EndNote&gt;</w:instrText>
      </w:r>
      <w:r>
        <w:rPr>
          <w:rFonts w:eastAsiaTheme="minorEastAsia" w:cstheme="minorHAnsi"/>
          <w:sz w:val="24"/>
          <w:szCs w:val="24"/>
        </w:rPr>
        <w:fldChar w:fldCharType="separate"/>
      </w:r>
      <w:r w:rsidR="00D06FA1">
        <w:rPr>
          <w:rFonts w:eastAsiaTheme="minorEastAsia" w:cstheme="minorHAnsi"/>
          <w:noProof/>
          <w:sz w:val="24"/>
          <w:szCs w:val="24"/>
        </w:rPr>
        <w:t>[5]</w:t>
      </w:r>
      <w:r>
        <w:rPr>
          <w:rFonts w:eastAsiaTheme="minorEastAsia" w:cstheme="minorHAnsi"/>
          <w:sz w:val="24"/>
          <w:szCs w:val="24"/>
        </w:rPr>
        <w:fldChar w:fldCharType="end"/>
      </w:r>
      <w:r>
        <w:rPr>
          <w:rFonts w:eastAsiaTheme="minorEastAsia" w:cstheme="minorHAnsi"/>
          <w:sz w:val="24"/>
          <w:szCs w:val="24"/>
        </w:rPr>
        <w:t xml:space="preserve"> </w:t>
      </w:r>
      <w:r w:rsidRPr="007620DC">
        <w:rPr>
          <w:rFonts w:eastAsiaTheme="minorEastAsia" w:cstheme="minorHAnsi"/>
          <w:sz w:val="24"/>
          <w:szCs w:val="24"/>
        </w:rPr>
        <w:t>of immunosuppr</w:t>
      </w:r>
      <w:r>
        <w:rPr>
          <w:rFonts w:eastAsiaTheme="minorEastAsia" w:cstheme="minorHAnsi"/>
          <w:sz w:val="24"/>
          <w:szCs w:val="24"/>
        </w:rPr>
        <w:t>essive therapy</w:t>
      </w:r>
      <w:r w:rsidRPr="007620DC">
        <w:rPr>
          <w:rFonts w:eastAsiaTheme="minorEastAsia" w:cstheme="minorHAnsi"/>
          <w:sz w:val="24"/>
          <w:szCs w:val="24"/>
        </w:rPr>
        <w:t xml:space="preserve">, proton-pump inhibitors (PPIs), or histamine H2-receptor antagonists (H2-blockers) </w:t>
      </w:r>
      <w:r>
        <w:rPr>
          <w:rFonts w:eastAsiaTheme="minorEastAsia" w:cstheme="minorHAnsi"/>
          <w:sz w:val="24"/>
          <w:szCs w:val="24"/>
        </w:rPr>
        <w:t>(≤ 3 mos.)</w:t>
      </w:r>
      <w:r w:rsidRPr="007620DC">
        <w:rPr>
          <w:rFonts w:eastAsiaTheme="minorEastAsia" w:cstheme="minorHAnsi"/>
          <w:sz w:val="24"/>
          <w:szCs w:val="24"/>
        </w:rPr>
        <w:t>; (i) days and</w:t>
      </w:r>
      <w:r>
        <w:rPr>
          <w:rFonts w:eastAsiaTheme="minorEastAsia" w:cstheme="minorHAnsi"/>
          <w:sz w:val="24"/>
          <w:szCs w:val="24"/>
        </w:rPr>
        <w:t xml:space="preserve"> total DDD-adjusted doses</w:t>
      </w:r>
      <w:r w:rsidRPr="007620DC">
        <w:rPr>
          <w:rFonts w:eastAsiaTheme="minorEastAsia" w:cstheme="minorHAnsi"/>
          <w:sz w:val="24"/>
          <w:szCs w:val="24"/>
        </w:rPr>
        <w:t xml:space="preserve"> of Gram-negative active antibiotic t</w:t>
      </w:r>
      <w:r>
        <w:rPr>
          <w:rFonts w:eastAsiaTheme="minorEastAsia" w:cstheme="minorHAnsi"/>
          <w:sz w:val="24"/>
          <w:szCs w:val="24"/>
        </w:rPr>
        <w:t>herapy (≤ 3 mos.)</w:t>
      </w:r>
      <w:r w:rsidRPr="007620DC">
        <w:rPr>
          <w:rFonts w:eastAsiaTheme="minorEastAsia" w:cstheme="minorHAnsi"/>
          <w:sz w:val="24"/>
          <w:szCs w:val="24"/>
        </w:rPr>
        <w:t>; (j) invasive abdominal procedures or sur</w:t>
      </w:r>
      <w:r>
        <w:rPr>
          <w:rFonts w:eastAsiaTheme="minorEastAsia" w:cstheme="minorHAnsi"/>
          <w:sz w:val="24"/>
          <w:szCs w:val="24"/>
        </w:rPr>
        <w:t>geries (≤ 3 mos.)</w:t>
      </w:r>
      <w:r w:rsidRPr="007620DC">
        <w:rPr>
          <w:rFonts w:eastAsiaTheme="minorEastAsia" w:cstheme="minorHAnsi"/>
          <w:sz w:val="24"/>
          <w:szCs w:val="24"/>
        </w:rPr>
        <w:t>; and (k) recent international exposure, including hospitalization in another country in the prior six months and/or foreign travel</w:t>
      </w:r>
      <w:r>
        <w:rPr>
          <w:rFonts w:eastAsiaTheme="minorEastAsia" w:cstheme="minorHAnsi"/>
          <w:sz w:val="24"/>
          <w:szCs w:val="24"/>
        </w:rPr>
        <w:t xml:space="preserve"> of the patient or a partner</w:t>
      </w:r>
      <w:r w:rsidRPr="007620DC">
        <w:rPr>
          <w:rFonts w:eastAsiaTheme="minorEastAsia" w:cstheme="minorHAnsi"/>
          <w:sz w:val="24"/>
          <w:szCs w:val="24"/>
        </w:rPr>
        <w:t xml:space="preserve"> in the prior 21 days, both assessed by standard</w:t>
      </w:r>
      <w:r>
        <w:rPr>
          <w:rFonts w:eastAsiaTheme="minorEastAsia" w:cstheme="minorHAnsi"/>
          <w:sz w:val="24"/>
          <w:szCs w:val="24"/>
        </w:rPr>
        <w:t xml:space="preserve"> nursing intake questionnaire</w:t>
      </w:r>
      <w:r w:rsidRPr="007620DC">
        <w:rPr>
          <w:rFonts w:eastAsiaTheme="minorEastAsia" w:cstheme="minorHAnsi"/>
          <w:sz w:val="24"/>
          <w:szCs w:val="24"/>
        </w:rPr>
        <w:t xml:space="preserve">. </w:t>
      </w:r>
      <w:r>
        <w:rPr>
          <w:rFonts w:eastAsiaTheme="minorEastAsia" w:cstheme="minorHAnsi"/>
          <w:sz w:val="24"/>
          <w:szCs w:val="24"/>
        </w:rPr>
        <w:t xml:space="preserve">Consistent with CDC guidance </w:t>
      </w:r>
      <w:r>
        <w:rPr>
          <w:rFonts w:eastAsiaTheme="minorEastAsia" w:cstheme="minorHAnsi"/>
          <w:sz w:val="24"/>
          <w:szCs w:val="24"/>
        </w:rPr>
        <w:fldChar w:fldCharType="begin"/>
      </w:r>
      <w:r w:rsidR="00D06FA1">
        <w:rPr>
          <w:rFonts w:eastAsiaTheme="minorEastAsia" w:cstheme="minorHAnsi"/>
          <w:sz w:val="24"/>
          <w:szCs w:val="24"/>
        </w:rPr>
        <w:instrText xml:space="preserve"> ADDIN EN.CITE &lt;EndNote&gt;&lt;Cite&gt;&lt;Author&gt;CDC&lt;/Author&gt;&lt;Year&gt;2015&lt;/Year&gt;&lt;RecNum&gt;42&lt;/RecNum&gt;&lt;DisplayText&gt;[6]&lt;/DisplayText&gt;&lt;record&gt;&lt;rec-number&gt;42&lt;/rec-number&gt;&lt;foreign-keys&gt;&lt;key app="EN" db-id="fz25ds0wbstdz3e09sspawtxtx5xavxvvpz9" timestamp="1534523045"&gt;42&lt;/key&gt;&lt;/foreign-keys&gt;&lt;ref-type name="Government Document"&gt;46&lt;/ref-type&gt;&lt;contributors&gt;&lt;authors&gt;&lt;author&gt;CDC&lt;/author&gt;&lt;/authors&gt;&lt;/contributors&gt;&lt;titles&gt;&lt;title&gt;Facility Guidance for Control of Carbapenem-resistant Enterobacteriaceae (CRE) – November 2015 Update CRE Toolkit&lt;/title&gt;&lt;/titles&gt;&lt;dates&gt;&lt;year&gt;2015&lt;/year&gt;&lt;/dates&gt;&lt;pub-location&gt;Atlanta, Georgia&lt;/pub-location&gt;&lt;publisher&gt;CDC&lt;/publisher&gt;&lt;urls&gt;&lt;/urls&gt;&lt;/record&gt;&lt;/Cite&gt;&lt;/EndNote&gt;</w:instrText>
      </w:r>
      <w:r>
        <w:rPr>
          <w:rFonts w:eastAsiaTheme="minorEastAsia" w:cstheme="minorHAnsi"/>
          <w:sz w:val="24"/>
          <w:szCs w:val="24"/>
        </w:rPr>
        <w:fldChar w:fldCharType="separate"/>
      </w:r>
      <w:r w:rsidR="00D06FA1">
        <w:rPr>
          <w:rFonts w:eastAsiaTheme="minorEastAsia" w:cstheme="minorHAnsi"/>
          <w:noProof/>
          <w:sz w:val="24"/>
          <w:szCs w:val="24"/>
        </w:rPr>
        <w:t>[6]</w:t>
      </w:r>
      <w:r>
        <w:rPr>
          <w:rFonts w:eastAsiaTheme="minorEastAsia" w:cstheme="minorHAnsi"/>
          <w:sz w:val="24"/>
          <w:szCs w:val="24"/>
        </w:rPr>
        <w:fldChar w:fldCharType="end"/>
      </w:r>
      <w:r w:rsidR="00A94A2C">
        <w:rPr>
          <w:rFonts w:eastAsiaTheme="minorEastAsia" w:cstheme="minorHAnsi"/>
          <w:sz w:val="24"/>
          <w:szCs w:val="24"/>
        </w:rPr>
        <w:t>, Johns Hopkins Healthcare S</w:t>
      </w:r>
      <w:r>
        <w:rPr>
          <w:rFonts w:eastAsiaTheme="minorEastAsia" w:cstheme="minorHAnsi"/>
          <w:sz w:val="24"/>
          <w:szCs w:val="24"/>
        </w:rPr>
        <w:t xml:space="preserve">ystem policy refers patients with recent international hospitalization (&lt;6 mos.) for CRE peri-rectal colonization surveillance screening. We also calculated </w:t>
      </w:r>
      <w:r w:rsidRPr="007620DC">
        <w:rPr>
          <w:rFonts w:cstheme="minorHAnsi"/>
          <w:sz w:val="24"/>
          <w:szCs w:val="24"/>
        </w:rPr>
        <w:t xml:space="preserve">a 30-category, unweighted Elixhauser Comorbidity Index score </w:t>
      </w:r>
      <w:r>
        <w:rPr>
          <w:rFonts w:cstheme="minorHAnsi"/>
          <w:sz w:val="24"/>
          <w:szCs w:val="24"/>
        </w:rPr>
        <w:t xml:space="preserve">(including both </w:t>
      </w:r>
      <w:r w:rsidRPr="007620DC">
        <w:rPr>
          <w:rFonts w:cstheme="minorHAnsi"/>
          <w:sz w:val="24"/>
          <w:szCs w:val="24"/>
        </w:rPr>
        <w:t>primary diagnoses</w:t>
      </w:r>
      <w:r>
        <w:rPr>
          <w:rFonts w:cstheme="minorHAnsi"/>
          <w:sz w:val="24"/>
          <w:szCs w:val="24"/>
        </w:rPr>
        <w:t xml:space="preserve"> and comorbidities) from the EMR </w:t>
      </w:r>
      <w:r>
        <w:rPr>
          <w:rFonts w:cstheme="minorHAnsi"/>
          <w:sz w:val="24"/>
          <w:szCs w:val="24"/>
        </w:rPr>
        <w:fldChar w:fldCharType="begin"/>
      </w:r>
      <w:r w:rsidR="00D06FA1">
        <w:rPr>
          <w:rFonts w:cstheme="minorHAnsi"/>
          <w:sz w:val="24"/>
          <w:szCs w:val="24"/>
        </w:rPr>
        <w:instrText xml:space="preserve"> ADDIN EN.CITE &lt;EndNote&gt;&lt;Cite&gt;&lt;Author&gt;Elixhauser&lt;/Author&gt;&lt;Year&gt;1998&lt;/Year&gt;&lt;RecNum&gt;142&lt;/RecNum&gt;&lt;DisplayText&gt;[7]&lt;/DisplayText&gt;&lt;record&gt;&lt;rec-number&gt;142&lt;/rec-number&gt;&lt;foreign-keys&gt;&lt;key app="EN" db-id="vdpt29t5rzxfpmedrwrvdvsixsps5wdee9rs" timestamp="1534796418"&gt;142&lt;/key&gt;&lt;/foreign-keys&gt;&lt;ref-type name="Journal Article"&gt;17&lt;/ref-type&gt;&lt;contributors&gt;&lt;authors&gt;&lt;author&gt;Elixhauser, A.&lt;/author&gt;&lt;author&gt;Steiner, C.&lt;/author&gt;&lt;author&gt;Harris, D. R.&lt;/author&gt;&lt;author&gt;Coffey, R. M.&lt;/author&gt;&lt;/authors&gt;&lt;/contributors&gt;&lt;auth-address&gt;MEDTAP International, Inc., Bethesda, MD 20814, USA. elix@medtap.com&lt;/auth-address&gt;&lt;titles&gt;&lt;title&gt;Comorbidity measures for use with administrative data&lt;/title&gt;&lt;secondary-title&gt;Med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8-27&lt;/pages&gt;&lt;volume&gt;36&lt;/volume&gt;&lt;number&gt;1&lt;/number&gt;&lt;edition&gt;1998/02/07&lt;/edition&gt;&lt;keywords&gt;&lt;keyword&gt;Adult&lt;/keyword&gt;&lt;keyword&gt;*Algorithms&lt;/keyword&gt;&lt;keyword&gt;California&lt;/keyword&gt;&lt;keyword&gt;*Comorbidity&lt;/keyword&gt;&lt;keyword&gt;*Data Interpretation, Statistical&lt;/keyword&gt;&lt;keyword&gt;Diagnosis-Related Groups&lt;/keyword&gt;&lt;keyword&gt;Health Services Research/*methods&lt;/keyword&gt;&lt;keyword&gt;Hospital Charges&lt;/keyword&gt;&lt;keyword&gt;Hospital Mortality&lt;/keyword&gt;&lt;keyword&gt;Humans&lt;/keyword&gt;&lt;keyword&gt;Length of Stay&lt;/keyword&gt;&lt;keyword&gt;Middle Aged&lt;/keyword&gt;&lt;keyword&gt;*Outcome and Process Assessment (Health Care)&lt;/keyword&gt;&lt;keyword&gt;Reproducibility of Results&lt;/keyword&gt;&lt;/keywords&gt;&lt;dates&gt;&lt;year&gt;1998&lt;/year&gt;&lt;pub-dates&gt;&lt;date&gt;Jan&lt;/date&gt;&lt;/pub-dates&gt;&lt;/dates&gt;&lt;isbn&gt;0025-7079 (Print)&amp;#xD;0025-7079&lt;/isbn&gt;&lt;accession-num&gt;9431328&lt;/accession-num&gt;&lt;urls&gt;&lt;/urls&gt;&lt;remote-database-provider&gt;NLM&lt;/remote-database-provider&gt;&lt;language&gt;eng&lt;/language&gt;&lt;/record&gt;&lt;/Cite&gt;&lt;/EndNote&gt;</w:instrText>
      </w:r>
      <w:r>
        <w:rPr>
          <w:rFonts w:cstheme="minorHAnsi"/>
          <w:sz w:val="24"/>
          <w:szCs w:val="24"/>
        </w:rPr>
        <w:fldChar w:fldCharType="separate"/>
      </w:r>
      <w:r w:rsidR="00D06FA1">
        <w:rPr>
          <w:rFonts w:cstheme="minorHAnsi"/>
          <w:noProof/>
          <w:sz w:val="24"/>
          <w:szCs w:val="24"/>
        </w:rPr>
        <w:t>[7]</w:t>
      </w:r>
      <w:r>
        <w:rPr>
          <w:rFonts w:cstheme="minorHAnsi"/>
          <w:sz w:val="24"/>
          <w:szCs w:val="24"/>
        </w:rPr>
        <w:fldChar w:fldCharType="end"/>
      </w:r>
      <w:r>
        <w:rPr>
          <w:rFonts w:cstheme="minorHAnsi"/>
          <w:sz w:val="24"/>
          <w:szCs w:val="24"/>
        </w:rPr>
        <w:t>.</w:t>
      </w:r>
    </w:p>
    <w:p w14:paraId="14BAB048" w14:textId="77777777" w:rsidR="00BB27E3" w:rsidRDefault="00BB27E3" w:rsidP="00BB27E3">
      <w:pPr>
        <w:spacing w:line="480" w:lineRule="auto"/>
        <w:rPr>
          <w:rFonts w:cstheme="minorHAnsi"/>
          <w:b/>
          <w:sz w:val="24"/>
          <w:szCs w:val="24"/>
        </w:rPr>
      </w:pPr>
    </w:p>
    <w:p w14:paraId="590972BA" w14:textId="77777777" w:rsidR="00BB27E3" w:rsidRDefault="00BB27E3" w:rsidP="00BB27E3">
      <w:pPr>
        <w:spacing w:line="480" w:lineRule="auto"/>
        <w:rPr>
          <w:rFonts w:cstheme="minorHAnsi"/>
          <w:b/>
          <w:sz w:val="24"/>
          <w:szCs w:val="24"/>
        </w:rPr>
      </w:pPr>
    </w:p>
    <w:p w14:paraId="7A66F1C9" w14:textId="5BEC1F23" w:rsidR="00E87D09" w:rsidRDefault="00E87D09" w:rsidP="00BB27E3">
      <w:pPr>
        <w:rPr>
          <w:rFonts w:cstheme="minorHAnsi"/>
          <w:b/>
          <w:sz w:val="24"/>
          <w:szCs w:val="24"/>
        </w:rPr>
      </w:pPr>
    </w:p>
    <w:p w14:paraId="0C7368BF" w14:textId="03F293ED" w:rsidR="005825EA" w:rsidRPr="005825EA" w:rsidRDefault="005825EA" w:rsidP="00BB27E3">
      <w:pPr>
        <w:rPr>
          <w:rFonts w:cstheme="minorHAnsi"/>
          <w:sz w:val="24"/>
          <w:szCs w:val="24"/>
          <w:u w:val="single"/>
        </w:rPr>
      </w:pPr>
      <w:r>
        <w:rPr>
          <w:rFonts w:cstheme="minorHAnsi"/>
          <w:b/>
          <w:sz w:val="24"/>
          <w:szCs w:val="24"/>
          <w:u w:val="single"/>
        </w:rPr>
        <w:lastRenderedPageBreak/>
        <w:t>Supplement</w:t>
      </w:r>
      <w:r w:rsidR="00215A65">
        <w:rPr>
          <w:rFonts w:cstheme="minorHAnsi"/>
          <w:b/>
          <w:sz w:val="24"/>
          <w:szCs w:val="24"/>
          <w:u w:val="single"/>
        </w:rPr>
        <w:t>al Material</w:t>
      </w:r>
      <w:r>
        <w:rPr>
          <w:rFonts w:cstheme="minorHAnsi"/>
          <w:b/>
          <w:sz w:val="24"/>
          <w:szCs w:val="24"/>
          <w:u w:val="single"/>
        </w:rPr>
        <w:t xml:space="preserve"> References</w:t>
      </w:r>
    </w:p>
    <w:p w14:paraId="71CF3D1B" w14:textId="77777777" w:rsidR="00E87D09" w:rsidRPr="00ED2A9A" w:rsidRDefault="00E87D09" w:rsidP="00ED2A9A">
      <w:pPr>
        <w:pStyle w:val="EndNoteBibliography"/>
        <w:spacing w:after="0" w:line="480" w:lineRule="auto"/>
        <w:ind w:left="720" w:hanging="720"/>
        <w:rPr>
          <w:sz w:val="24"/>
          <w:szCs w:val="24"/>
        </w:rPr>
      </w:pPr>
      <w:r w:rsidRPr="00ED2A9A">
        <w:rPr>
          <w:sz w:val="24"/>
          <w:szCs w:val="24"/>
        </w:rPr>
        <w:fldChar w:fldCharType="begin"/>
      </w:r>
      <w:r w:rsidRPr="00ED2A9A">
        <w:rPr>
          <w:sz w:val="24"/>
          <w:szCs w:val="24"/>
        </w:rPr>
        <w:instrText xml:space="preserve"> ADDIN EN.REFLIST </w:instrText>
      </w:r>
      <w:r w:rsidRPr="00ED2A9A">
        <w:rPr>
          <w:sz w:val="24"/>
          <w:szCs w:val="24"/>
        </w:rPr>
        <w:fldChar w:fldCharType="separate"/>
      </w:r>
      <w:r w:rsidRPr="00ED2A9A">
        <w:rPr>
          <w:sz w:val="24"/>
          <w:szCs w:val="24"/>
        </w:rPr>
        <w:t>1.</w:t>
      </w:r>
      <w:r w:rsidRPr="00ED2A9A">
        <w:rPr>
          <w:sz w:val="24"/>
          <w:szCs w:val="24"/>
        </w:rPr>
        <w:tab/>
        <w:t xml:space="preserve">Chen X, Ishwaran H: Pathway hunting by random survival forests. </w:t>
      </w:r>
      <w:r w:rsidRPr="00ED2A9A">
        <w:rPr>
          <w:i/>
          <w:sz w:val="24"/>
          <w:szCs w:val="24"/>
        </w:rPr>
        <w:t xml:space="preserve">Bioinformatics </w:t>
      </w:r>
      <w:r w:rsidRPr="00ED2A9A">
        <w:rPr>
          <w:sz w:val="24"/>
          <w:szCs w:val="24"/>
        </w:rPr>
        <w:t>2013, 29(1):99-105.</w:t>
      </w:r>
    </w:p>
    <w:p w14:paraId="79A21938" w14:textId="77777777" w:rsidR="00E87D09" w:rsidRPr="00ED2A9A" w:rsidRDefault="00E87D09" w:rsidP="00ED2A9A">
      <w:pPr>
        <w:pStyle w:val="EndNoteBibliography"/>
        <w:spacing w:after="0" w:line="480" w:lineRule="auto"/>
        <w:ind w:left="720" w:hanging="720"/>
        <w:rPr>
          <w:sz w:val="24"/>
          <w:szCs w:val="24"/>
        </w:rPr>
      </w:pPr>
      <w:r w:rsidRPr="00ED2A9A">
        <w:rPr>
          <w:sz w:val="24"/>
          <w:szCs w:val="24"/>
        </w:rPr>
        <w:t>2.</w:t>
      </w:r>
      <w:r w:rsidRPr="00ED2A9A">
        <w:rPr>
          <w:sz w:val="24"/>
          <w:szCs w:val="24"/>
        </w:rPr>
        <w:tab/>
        <w:t xml:space="preserve">Strobl C, Malley J, Tutz G: An introduction to recursive partitioning: rationale, application, and characteristics of classification and regression trees, bagging, and random forests. </w:t>
      </w:r>
      <w:r w:rsidRPr="00ED2A9A">
        <w:rPr>
          <w:i/>
          <w:sz w:val="24"/>
          <w:szCs w:val="24"/>
        </w:rPr>
        <w:t xml:space="preserve">Psychol Methods </w:t>
      </w:r>
      <w:r w:rsidRPr="00ED2A9A">
        <w:rPr>
          <w:sz w:val="24"/>
          <w:szCs w:val="24"/>
        </w:rPr>
        <w:t>2009, 14(4):323-348.</w:t>
      </w:r>
    </w:p>
    <w:p w14:paraId="3E125143" w14:textId="77777777" w:rsidR="00E87D09" w:rsidRPr="00ED2A9A" w:rsidRDefault="00E87D09" w:rsidP="00ED2A9A">
      <w:pPr>
        <w:pStyle w:val="EndNoteBibliography"/>
        <w:spacing w:after="0" w:line="480" w:lineRule="auto"/>
        <w:ind w:left="720" w:hanging="720"/>
        <w:rPr>
          <w:sz w:val="24"/>
          <w:szCs w:val="24"/>
        </w:rPr>
      </w:pPr>
      <w:r w:rsidRPr="00ED2A9A">
        <w:rPr>
          <w:sz w:val="24"/>
          <w:szCs w:val="24"/>
        </w:rPr>
        <w:t>3.</w:t>
      </w:r>
      <w:r w:rsidRPr="00ED2A9A">
        <w:rPr>
          <w:sz w:val="24"/>
          <w:szCs w:val="24"/>
        </w:rPr>
        <w:tab/>
        <w:t xml:space="preserve">Casanova R, Saldana S, Chew EY, Danis RP, Greven CM, Ambrosius WT: Application of random forests methods to diabetic retinopathy classification analyses. </w:t>
      </w:r>
      <w:r w:rsidRPr="00ED2A9A">
        <w:rPr>
          <w:i/>
          <w:sz w:val="24"/>
          <w:szCs w:val="24"/>
        </w:rPr>
        <w:t xml:space="preserve">PloS one </w:t>
      </w:r>
      <w:r w:rsidRPr="00ED2A9A">
        <w:rPr>
          <w:sz w:val="24"/>
          <w:szCs w:val="24"/>
        </w:rPr>
        <w:t>2014, 9(6):e98587.</w:t>
      </w:r>
    </w:p>
    <w:p w14:paraId="084BB052" w14:textId="77777777" w:rsidR="00E87D09" w:rsidRPr="00ED2A9A" w:rsidRDefault="00E87D09" w:rsidP="00ED2A9A">
      <w:pPr>
        <w:pStyle w:val="EndNoteBibliography"/>
        <w:spacing w:after="0" w:line="480" w:lineRule="auto"/>
        <w:ind w:left="720" w:hanging="720"/>
        <w:rPr>
          <w:sz w:val="24"/>
          <w:szCs w:val="24"/>
        </w:rPr>
      </w:pPr>
      <w:r w:rsidRPr="00ED2A9A">
        <w:rPr>
          <w:sz w:val="24"/>
          <w:szCs w:val="24"/>
        </w:rPr>
        <w:t>4.</w:t>
      </w:r>
      <w:r w:rsidRPr="00ED2A9A">
        <w:rPr>
          <w:sz w:val="24"/>
          <w:szCs w:val="24"/>
        </w:rPr>
        <w:tab/>
        <w:t xml:space="preserve">Rose S: Mortality risk score prediction in an elderly population using machine learning. </w:t>
      </w:r>
      <w:r w:rsidRPr="00ED2A9A">
        <w:rPr>
          <w:i/>
          <w:sz w:val="24"/>
          <w:szCs w:val="24"/>
        </w:rPr>
        <w:t xml:space="preserve">Am J Epidemiol </w:t>
      </w:r>
      <w:r w:rsidRPr="00ED2A9A">
        <w:rPr>
          <w:sz w:val="24"/>
          <w:szCs w:val="24"/>
        </w:rPr>
        <w:t>2013, 177(5):443-452.</w:t>
      </w:r>
    </w:p>
    <w:p w14:paraId="5B896D38" w14:textId="35C0C9B4" w:rsidR="00E87D09" w:rsidRPr="00ED2A9A" w:rsidRDefault="00E87D09" w:rsidP="00ED2A9A">
      <w:pPr>
        <w:pStyle w:val="EndNoteBibliography"/>
        <w:spacing w:after="0" w:line="480" w:lineRule="auto"/>
        <w:ind w:left="720" w:hanging="720"/>
        <w:rPr>
          <w:sz w:val="24"/>
          <w:szCs w:val="24"/>
        </w:rPr>
      </w:pPr>
      <w:r w:rsidRPr="00ED2A9A">
        <w:rPr>
          <w:sz w:val="24"/>
          <w:szCs w:val="24"/>
        </w:rPr>
        <w:t>5.</w:t>
      </w:r>
      <w:r w:rsidRPr="00ED2A9A">
        <w:rPr>
          <w:sz w:val="24"/>
          <w:szCs w:val="24"/>
        </w:rPr>
        <w:tab/>
        <w:t>Defined Daily Dose (DDD) [</w:t>
      </w:r>
      <w:hyperlink r:id="rId12" w:history="1">
        <w:r w:rsidRPr="00ED2A9A">
          <w:rPr>
            <w:rStyle w:val="Hyperlink"/>
            <w:sz w:val="24"/>
            <w:szCs w:val="24"/>
          </w:rPr>
          <w:t>http://www.who.int/medicines/regulation/medicines-safety/toolkit_ddd/en/</w:t>
        </w:r>
      </w:hyperlink>
      <w:r w:rsidRPr="00ED2A9A">
        <w:rPr>
          <w:sz w:val="24"/>
          <w:szCs w:val="24"/>
        </w:rPr>
        <w:t>]</w:t>
      </w:r>
    </w:p>
    <w:p w14:paraId="48BF464B" w14:textId="77777777" w:rsidR="00E87D09" w:rsidRPr="00ED2A9A" w:rsidRDefault="00E87D09" w:rsidP="00ED2A9A">
      <w:pPr>
        <w:pStyle w:val="EndNoteBibliography"/>
        <w:spacing w:after="0" w:line="480" w:lineRule="auto"/>
        <w:ind w:left="720" w:hanging="720"/>
        <w:rPr>
          <w:sz w:val="24"/>
          <w:szCs w:val="24"/>
        </w:rPr>
      </w:pPr>
      <w:r w:rsidRPr="00ED2A9A">
        <w:rPr>
          <w:sz w:val="24"/>
          <w:szCs w:val="24"/>
        </w:rPr>
        <w:t>6.</w:t>
      </w:r>
      <w:r w:rsidRPr="00ED2A9A">
        <w:rPr>
          <w:sz w:val="24"/>
          <w:szCs w:val="24"/>
        </w:rPr>
        <w:tab/>
        <w:t>CDC: Facility Guidance for Control of Carbapenem-resistant Enterobacteriaceae (CRE) – November 2015 Update CRE Toolkit. In</w:t>
      </w:r>
      <w:r w:rsidRPr="00ED2A9A">
        <w:rPr>
          <w:i/>
          <w:sz w:val="24"/>
          <w:szCs w:val="24"/>
        </w:rPr>
        <w:t>.</w:t>
      </w:r>
      <w:r w:rsidRPr="00ED2A9A">
        <w:rPr>
          <w:sz w:val="24"/>
          <w:szCs w:val="24"/>
        </w:rPr>
        <w:t xml:space="preserve"> Atlanta, Georgia: CDC; 2015.</w:t>
      </w:r>
    </w:p>
    <w:p w14:paraId="1CCB68AC" w14:textId="77777777" w:rsidR="00E87D09" w:rsidRPr="00ED2A9A" w:rsidRDefault="00E87D09" w:rsidP="00ED2A9A">
      <w:pPr>
        <w:pStyle w:val="EndNoteBibliography"/>
        <w:spacing w:line="480" w:lineRule="auto"/>
        <w:ind w:left="720" w:hanging="720"/>
        <w:rPr>
          <w:sz w:val="24"/>
          <w:szCs w:val="24"/>
        </w:rPr>
      </w:pPr>
      <w:r w:rsidRPr="00ED2A9A">
        <w:rPr>
          <w:sz w:val="24"/>
          <w:szCs w:val="24"/>
        </w:rPr>
        <w:t>7.</w:t>
      </w:r>
      <w:r w:rsidRPr="00ED2A9A">
        <w:rPr>
          <w:sz w:val="24"/>
          <w:szCs w:val="24"/>
        </w:rPr>
        <w:tab/>
        <w:t xml:space="preserve">Elixhauser A, Steiner C, Harris DR, Coffey RM: Comorbidity measures for use with administrative data. </w:t>
      </w:r>
      <w:r w:rsidRPr="00ED2A9A">
        <w:rPr>
          <w:i/>
          <w:sz w:val="24"/>
          <w:szCs w:val="24"/>
        </w:rPr>
        <w:t xml:space="preserve">Medical care </w:t>
      </w:r>
      <w:r w:rsidRPr="00ED2A9A">
        <w:rPr>
          <w:sz w:val="24"/>
          <w:szCs w:val="24"/>
        </w:rPr>
        <w:t>1998, 36(1):8-27.</w:t>
      </w:r>
    </w:p>
    <w:p w14:paraId="43B51877" w14:textId="10676298" w:rsidR="00A779A0" w:rsidRDefault="00E87D09" w:rsidP="00ED2A9A">
      <w:pPr>
        <w:spacing w:line="480" w:lineRule="auto"/>
      </w:pPr>
      <w:r w:rsidRPr="00ED2A9A">
        <w:rPr>
          <w:sz w:val="24"/>
          <w:szCs w:val="24"/>
        </w:rPr>
        <w:fldChar w:fldCharType="end"/>
      </w:r>
    </w:p>
    <w:sectPr w:rsidR="00A779A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0EA95" w14:textId="77777777" w:rsidR="00F30A5B" w:rsidRDefault="00F30A5B" w:rsidP="007E062C">
      <w:pPr>
        <w:spacing w:after="0" w:line="240" w:lineRule="auto"/>
      </w:pPr>
      <w:r>
        <w:separator/>
      </w:r>
    </w:p>
  </w:endnote>
  <w:endnote w:type="continuationSeparator" w:id="0">
    <w:p w14:paraId="43885433" w14:textId="77777777" w:rsidR="00F30A5B" w:rsidRDefault="00F30A5B" w:rsidP="007E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18977"/>
      <w:docPartObj>
        <w:docPartGallery w:val="Page Numbers (Bottom of Page)"/>
        <w:docPartUnique/>
      </w:docPartObj>
    </w:sdtPr>
    <w:sdtEndPr>
      <w:rPr>
        <w:noProof/>
      </w:rPr>
    </w:sdtEndPr>
    <w:sdtContent>
      <w:p w14:paraId="5BD29519" w14:textId="57FBAD52" w:rsidR="007E062C" w:rsidRDefault="007E062C">
        <w:pPr>
          <w:pStyle w:val="Footer"/>
          <w:jc w:val="right"/>
        </w:pPr>
        <w:r>
          <w:fldChar w:fldCharType="begin"/>
        </w:r>
        <w:r>
          <w:instrText xml:space="preserve"> PAGE   \* MERGEFORMAT </w:instrText>
        </w:r>
        <w:r>
          <w:fldChar w:fldCharType="separate"/>
        </w:r>
        <w:r w:rsidR="00B5005F">
          <w:rPr>
            <w:noProof/>
          </w:rPr>
          <w:t>17</w:t>
        </w:r>
        <w:r>
          <w:rPr>
            <w:noProof/>
          </w:rPr>
          <w:fldChar w:fldCharType="end"/>
        </w:r>
      </w:p>
    </w:sdtContent>
  </w:sdt>
  <w:p w14:paraId="33955347" w14:textId="77777777" w:rsidR="007E062C" w:rsidRDefault="007E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61E8" w14:textId="77777777" w:rsidR="00F30A5B" w:rsidRDefault="00F30A5B" w:rsidP="007E062C">
      <w:pPr>
        <w:spacing w:after="0" w:line="240" w:lineRule="auto"/>
      </w:pPr>
      <w:r>
        <w:separator/>
      </w:r>
    </w:p>
  </w:footnote>
  <w:footnote w:type="continuationSeparator" w:id="0">
    <w:p w14:paraId="132B0A48" w14:textId="77777777" w:rsidR="00F30A5B" w:rsidRDefault="00F30A5B" w:rsidP="007E0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96D"/>
    <w:multiLevelType w:val="hybridMultilevel"/>
    <w:tmpl w:val="61F09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62ED5"/>
    <w:multiLevelType w:val="hybridMultilevel"/>
    <w:tmpl w:val="79506D54"/>
    <w:lvl w:ilvl="0" w:tplc="8F181EA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pt29t5rzxfpmedrwrvdvsixsps5wdee9rs&quot;&gt;ESBLriskscore&lt;record-ids&gt;&lt;item&gt;16&lt;/item&gt;&lt;item&gt;17&lt;/item&gt;&lt;item&gt;30&lt;/item&gt;&lt;item&gt;103&lt;/item&gt;&lt;item&gt;141&lt;/item&gt;&lt;item&gt;142&lt;/item&gt;&lt;/record-ids&gt;&lt;/item&gt;&lt;/Libraries&gt;"/>
  </w:docVars>
  <w:rsids>
    <w:rsidRoot w:val="00BB27E3"/>
    <w:rsid w:val="00017185"/>
    <w:rsid w:val="00037548"/>
    <w:rsid w:val="00096AE6"/>
    <w:rsid w:val="000E35AA"/>
    <w:rsid w:val="00100F3F"/>
    <w:rsid w:val="00215A65"/>
    <w:rsid w:val="00222142"/>
    <w:rsid w:val="00234F87"/>
    <w:rsid w:val="002517BF"/>
    <w:rsid w:val="0035412C"/>
    <w:rsid w:val="00367798"/>
    <w:rsid w:val="003E6BE8"/>
    <w:rsid w:val="00420CA9"/>
    <w:rsid w:val="00507019"/>
    <w:rsid w:val="00554778"/>
    <w:rsid w:val="005825EA"/>
    <w:rsid w:val="00706497"/>
    <w:rsid w:val="007E062C"/>
    <w:rsid w:val="0086402D"/>
    <w:rsid w:val="008C13DC"/>
    <w:rsid w:val="008D3076"/>
    <w:rsid w:val="00A94A2C"/>
    <w:rsid w:val="00AD6C04"/>
    <w:rsid w:val="00B5005F"/>
    <w:rsid w:val="00B52274"/>
    <w:rsid w:val="00B8182B"/>
    <w:rsid w:val="00BB27E3"/>
    <w:rsid w:val="00D06FA1"/>
    <w:rsid w:val="00DA58A7"/>
    <w:rsid w:val="00DB0312"/>
    <w:rsid w:val="00E17DC3"/>
    <w:rsid w:val="00E620C1"/>
    <w:rsid w:val="00E87D09"/>
    <w:rsid w:val="00ED2A9A"/>
    <w:rsid w:val="00F01469"/>
    <w:rsid w:val="00F30A5B"/>
    <w:rsid w:val="00F64473"/>
    <w:rsid w:val="00F6628B"/>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3C52"/>
  <w15:chartTrackingRefBased/>
  <w15:docId w15:val="{3BBDA13C-3666-47C7-99A7-957ED651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7E3"/>
    <w:pPr>
      <w:ind w:left="720"/>
      <w:contextualSpacing/>
    </w:pPr>
  </w:style>
  <w:style w:type="character" w:styleId="CommentReference">
    <w:name w:val="annotation reference"/>
    <w:basedOn w:val="DefaultParagraphFont"/>
    <w:uiPriority w:val="99"/>
    <w:semiHidden/>
    <w:unhideWhenUsed/>
    <w:rsid w:val="00BB27E3"/>
    <w:rPr>
      <w:sz w:val="16"/>
      <w:szCs w:val="16"/>
    </w:rPr>
  </w:style>
  <w:style w:type="paragraph" w:styleId="CommentText">
    <w:name w:val="annotation text"/>
    <w:basedOn w:val="Normal"/>
    <w:link w:val="CommentTextChar"/>
    <w:uiPriority w:val="99"/>
    <w:unhideWhenUsed/>
    <w:rsid w:val="00BB27E3"/>
    <w:pPr>
      <w:spacing w:line="240" w:lineRule="auto"/>
    </w:pPr>
    <w:rPr>
      <w:sz w:val="20"/>
      <w:szCs w:val="20"/>
    </w:rPr>
  </w:style>
  <w:style w:type="character" w:customStyle="1" w:styleId="CommentTextChar">
    <w:name w:val="Comment Text Char"/>
    <w:basedOn w:val="DefaultParagraphFont"/>
    <w:link w:val="CommentText"/>
    <w:uiPriority w:val="99"/>
    <w:rsid w:val="00BB27E3"/>
    <w:rPr>
      <w:sz w:val="20"/>
      <w:szCs w:val="20"/>
    </w:rPr>
  </w:style>
  <w:style w:type="table" w:styleId="PlainTable3">
    <w:name w:val="Plain Table 3"/>
    <w:basedOn w:val="TableNormal"/>
    <w:uiPriority w:val="43"/>
    <w:rsid w:val="00BB27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BB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E3"/>
    <w:rPr>
      <w:rFonts w:ascii="Segoe UI" w:hAnsi="Segoe UI" w:cs="Segoe UI"/>
      <w:sz w:val="18"/>
      <w:szCs w:val="18"/>
    </w:rPr>
  </w:style>
  <w:style w:type="paragraph" w:customStyle="1" w:styleId="EndNoteBibliographyTitle">
    <w:name w:val="EndNote Bibliography Title"/>
    <w:basedOn w:val="Normal"/>
    <w:link w:val="EndNoteBibliographyTitleChar"/>
    <w:rsid w:val="00E87D0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87D09"/>
    <w:rPr>
      <w:rFonts w:ascii="Calibri" w:hAnsi="Calibri" w:cs="Calibri"/>
      <w:noProof/>
    </w:rPr>
  </w:style>
  <w:style w:type="paragraph" w:customStyle="1" w:styleId="EndNoteBibliography">
    <w:name w:val="EndNote Bibliography"/>
    <w:basedOn w:val="Normal"/>
    <w:link w:val="EndNoteBibliographyChar"/>
    <w:rsid w:val="00E87D0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87D09"/>
    <w:rPr>
      <w:rFonts w:ascii="Calibri" w:hAnsi="Calibri" w:cs="Calibri"/>
      <w:noProof/>
    </w:rPr>
  </w:style>
  <w:style w:type="character" w:styleId="Hyperlink">
    <w:name w:val="Hyperlink"/>
    <w:basedOn w:val="DefaultParagraphFont"/>
    <w:uiPriority w:val="99"/>
    <w:unhideWhenUsed/>
    <w:rsid w:val="00E87D09"/>
    <w:rPr>
      <w:color w:val="0563C1" w:themeColor="hyperlink"/>
      <w:u w:val="single"/>
    </w:rPr>
  </w:style>
  <w:style w:type="paragraph" w:styleId="Header">
    <w:name w:val="header"/>
    <w:basedOn w:val="Normal"/>
    <w:link w:val="HeaderChar"/>
    <w:uiPriority w:val="99"/>
    <w:unhideWhenUsed/>
    <w:rsid w:val="007E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2C"/>
  </w:style>
  <w:style w:type="paragraph" w:styleId="Footer">
    <w:name w:val="footer"/>
    <w:basedOn w:val="Normal"/>
    <w:link w:val="FooterChar"/>
    <w:uiPriority w:val="99"/>
    <w:unhideWhenUsed/>
    <w:rsid w:val="007E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2C"/>
  </w:style>
  <w:style w:type="paragraph" w:styleId="CommentSubject">
    <w:name w:val="annotation subject"/>
    <w:basedOn w:val="CommentText"/>
    <w:next w:val="CommentText"/>
    <w:link w:val="CommentSubjectChar"/>
    <w:uiPriority w:val="99"/>
    <w:semiHidden/>
    <w:unhideWhenUsed/>
    <w:rsid w:val="000E35AA"/>
    <w:rPr>
      <w:b/>
      <w:bCs/>
    </w:rPr>
  </w:style>
  <w:style w:type="character" w:customStyle="1" w:styleId="CommentSubjectChar">
    <w:name w:val="Comment Subject Char"/>
    <w:basedOn w:val="CommentTextChar"/>
    <w:link w:val="CommentSubject"/>
    <w:uiPriority w:val="99"/>
    <w:semiHidden/>
    <w:rsid w:val="000E35AA"/>
    <w:rPr>
      <w:b/>
      <w:bCs/>
      <w:sz w:val="20"/>
      <w:szCs w:val="20"/>
    </w:rPr>
  </w:style>
  <w:style w:type="table" w:styleId="PlainTable1">
    <w:name w:val="Plain Table 1"/>
    <w:basedOn w:val="TableNormal"/>
    <w:uiPriority w:val="41"/>
    <w:rsid w:val="00864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86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ho.int/medicines/regulation/medicines-safety/toolkit_dd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Goodman</dc:creator>
  <cp:keywords/>
  <dc:description/>
  <cp:lastModifiedBy>Katherine Goodman</cp:lastModifiedBy>
  <cp:revision>2</cp:revision>
  <dcterms:created xsi:type="dcterms:W3CDTF">2019-01-27T02:19:00Z</dcterms:created>
  <dcterms:modified xsi:type="dcterms:W3CDTF">2019-01-27T02:19:00Z</dcterms:modified>
</cp:coreProperties>
</file>