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FF9B" w14:textId="05927959" w:rsidR="00053610" w:rsidRPr="00C85101" w:rsidRDefault="00053610" w:rsidP="00856A7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Online </w:t>
      </w:r>
      <w:r w:rsidRPr="00C85101">
        <w:rPr>
          <w:sz w:val="20"/>
          <w:szCs w:val="20"/>
        </w:rPr>
        <w:t>Table 1. Tuberculin skin test and interferon gamma release assay results</w:t>
      </w:r>
      <w:r>
        <w:rPr>
          <w:sz w:val="20"/>
          <w:szCs w:val="20"/>
        </w:rPr>
        <w:t xml:space="preserve"> at diagnosis</w:t>
      </w:r>
      <w:r w:rsidRPr="00C85101">
        <w:rPr>
          <w:sz w:val="20"/>
          <w:szCs w:val="20"/>
        </w:rPr>
        <w:t xml:space="preserve"> </w:t>
      </w:r>
      <w:r w:rsidR="00743134">
        <w:rPr>
          <w:sz w:val="20"/>
          <w:szCs w:val="20"/>
        </w:rPr>
        <w:t xml:space="preserve">by healthcare personnel status and </w:t>
      </w:r>
      <w:r w:rsidRPr="00C85101">
        <w:rPr>
          <w:sz w:val="20"/>
          <w:szCs w:val="20"/>
        </w:rPr>
        <w:t xml:space="preserve">among healthcare </w:t>
      </w:r>
      <w:r>
        <w:rPr>
          <w:sz w:val="20"/>
          <w:szCs w:val="20"/>
        </w:rPr>
        <w:t>personnel</w:t>
      </w:r>
      <w:r w:rsidRPr="00C851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with tuberculosis </w:t>
      </w:r>
      <w:r w:rsidRPr="00C85101">
        <w:rPr>
          <w:sz w:val="20"/>
          <w:szCs w:val="20"/>
        </w:rPr>
        <w:t>in the United States, January 2010</w:t>
      </w:r>
      <w:r w:rsidR="00C70905">
        <w:rPr>
          <w:sz w:val="20"/>
          <w:szCs w:val="20"/>
        </w:rPr>
        <w:t>–</w:t>
      </w:r>
      <w:r w:rsidRPr="00C85101">
        <w:rPr>
          <w:sz w:val="20"/>
          <w:szCs w:val="20"/>
        </w:rPr>
        <w:t>December 2016</w:t>
      </w:r>
    </w:p>
    <w:tbl>
      <w:tblPr>
        <w:tblpPr w:leftFromText="180" w:rightFromText="180" w:vertAnchor="text" w:horzAnchor="margin" w:tblpXSpec="center" w:tblpY="292"/>
        <w:tblW w:w="5625" w:type="pct"/>
        <w:tblLook w:val="04A0" w:firstRow="1" w:lastRow="0" w:firstColumn="1" w:lastColumn="0" w:noHBand="0" w:noVBand="1"/>
      </w:tblPr>
      <w:tblGrid>
        <w:gridCol w:w="6119"/>
        <w:gridCol w:w="1440"/>
        <w:gridCol w:w="1168"/>
        <w:gridCol w:w="1622"/>
        <w:gridCol w:w="991"/>
      </w:tblGrid>
      <w:tr w:rsidR="007D10D8" w:rsidRPr="005F1554" w14:paraId="13961A1D" w14:textId="77777777" w:rsidTr="00743134">
        <w:tc>
          <w:tcPr>
            <w:tcW w:w="2698" w:type="pct"/>
            <w:tcBorders>
              <w:top w:val="single" w:sz="4" w:space="0" w:color="auto"/>
            </w:tcBorders>
            <w:vAlign w:val="bottom"/>
          </w:tcPr>
          <w:p w14:paraId="6A7FAE74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48D7B" w14:textId="77777777" w:rsidR="007D10D8" w:rsidRPr="005F1554" w:rsidRDefault="00C70905" w:rsidP="007D10D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Healthcare personnel (</w:t>
            </w:r>
            <w:r w:rsidR="007D10D8" w:rsidRPr="005F1554">
              <w:rPr>
                <w:sz w:val="20"/>
                <w:szCs w:val="20"/>
              </w:rPr>
              <w:t>HCP</w:t>
            </w:r>
            <w:r>
              <w:rPr>
                <w:sz w:val="20"/>
                <w:szCs w:val="20"/>
              </w:rPr>
              <w:t>)</w:t>
            </w:r>
            <w:r w:rsidR="007D10D8" w:rsidRPr="005F1554">
              <w:rPr>
                <w:sz w:val="20"/>
                <w:szCs w:val="20"/>
              </w:rPr>
              <w:t xml:space="preserve"> with TB</w:t>
            </w:r>
          </w:p>
          <w:p w14:paraId="29C46C65" w14:textId="77777777" w:rsidR="007D10D8" w:rsidRPr="005F1554" w:rsidRDefault="007D10D8" w:rsidP="007D10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(n = 2,460)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6F7F27D2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7C2787EA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7D10D8" w:rsidRPr="005F1554" w14:paraId="01CAE0D2" w14:textId="77777777" w:rsidTr="00743134">
        <w:tc>
          <w:tcPr>
            <w:tcW w:w="2698" w:type="pct"/>
            <w:tcBorders>
              <w:bottom w:val="single" w:sz="4" w:space="0" w:color="auto"/>
            </w:tcBorders>
            <w:vAlign w:val="center"/>
          </w:tcPr>
          <w:p w14:paraId="007498FD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Characteristic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DDC35" w14:textId="77777777" w:rsidR="007D10D8" w:rsidRPr="005F1554" w:rsidRDefault="007D10D8" w:rsidP="007D10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Non-U.S.-born</w:t>
            </w:r>
          </w:p>
          <w:p w14:paraId="58959CDE" w14:textId="77777777" w:rsidR="007D10D8" w:rsidRPr="005F1554" w:rsidRDefault="007D10D8" w:rsidP="007D10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(N = 1,833)</w:t>
            </w:r>
          </w:p>
          <w:p w14:paraId="7EAFDE27" w14:textId="77777777" w:rsidR="007D10D8" w:rsidRPr="005F1554" w:rsidRDefault="007D10D8" w:rsidP="007D10D8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5F1554">
              <w:rPr>
                <w:sz w:val="20"/>
                <w:szCs w:val="20"/>
              </w:rPr>
              <w:t>n</w:t>
            </w:r>
            <w:proofErr w:type="gramEnd"/>
            <w:r w:rsidRPr="005F1554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A7D19" w14:textId="77777777" w:rsidR="007D10D8" w:rsidRPr="005F1554" w:rsidRDefault="007D10D8" w:rsidP="007D10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U.S.-born</w:t>
            </w:r>
          </w:p>
          <w:p w14:paraId="2DCDF689" w14:textId="77777777" w:rsidR="007D10D8" w:rsidRPr="005F1554" w:rsidRDefault="007D10D8" w:rsidP="007D10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(N = 627)</w:t>
            </w:r>
          </w:p>
          <w:p w14:paraId="5177A010" w14:textId="77777777" w:rsidR="007D10D8" w:rsidRPr="005F1554" w:rsidRDefault="007D10D8" w:rsidP="007D10D8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5F1554">
              <w:rPr>
                <w:sz w:val="20"/>
                <w:szCs w:val="20"/>
              </w:rPr>
              <w:t>n</w:t>
            </w:r>
            <w:proofErr w:type="gramEnd"/>
            <w:r w:rsidRPr="005F1554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75446BC9" w14:textId="77777777" w:rsidR="007D10D8" w:rsidRPr="005F1554" w:rsidRDefault="007D10D8" w:rsidP="007D10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Odds Ratio</w:t>
            </w:r>
          </w:p>
          <w:p w14:paraId="5CE80663" w14:textId="529FDFF2" w:rsidR="007D10D8" w:rsidRPr="005F1554" w:rsidRDefault="007D10D8" w:rsidP="007D10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(95% CI) </w:t>
            </w:r>
            <w:r w:rsidR="004462A6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C49F448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C2D52B6" w14:textId="426D6EC6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P-value </w:t>
            </w:r>
            <w:r w:rsidR="004462A6">
              <w:rPr>
                <w:sz w:val="20"/>
                <w:szCs w:val="20"/>
                <w:vertAlign w:val="superscript"/>
              </w:rPr>
              <w:t>b</w:t>
            </w:r>
            <w:bookmarkStart w:id="0" w:name="_GoBack"/>
            <w:bookmarkEnd w:id="0"/>
          </w:p>
        </w:tc>
      </w:tr>
      <w:tr w:rsidR="007D10D8" w:rsidRPr="005F1554" w14:paraId="7B91A99B" w14:textId="77777777" w:rsidTr="00743134">
        <w:tc>
          <w:tcPr>
            <w:tcW w:w="2698" w:type="pct"/>
            <w:tcBorders>
              <w:top w:val="single" w:sz="4" w:space="0" w:color="auto"/>
              <w:bottom w:val="single" w:sz="4" w:space="0" w:color="auto"/>
            </w:tcBorders>
          </w:tcPr>
          <w:p w14:paraId="5F1F7D74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TST/IGRA test result</w:t>
            </w:r>
          </w:p>
          <w:p w14:paraId="561CA894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   TST positive / IGRA positive</w:t>
            </w:r>
          </w:p>
          <w:p w14:paraId="247C13A7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   TST negative / IGRA positive</w:t>
            </w:r>
          </w:p>
          <w:p w14:paraId="470AB7FF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   TST positive / IGRA negative</w:t>
            </w:r>
          </w:p>
          <w:p w14:paraId="014192AC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   TST negative / IGRA negative</w:t>
            </w:r>
          </w:p>
          <w:p w14:paraId="4BA48C94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   TST not done, unknown / IGRA positive</w:t>
            </w:r>
          </w:p>
          <w:p w14:paraId="02B1D72C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   TST not done, unknown / IGRA negative</w:t>
            </w:r>
          </w:p>
          <w:p w14:paraId="7B9863E9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   TST positive / IGRA not done, unknown, indeterminate</w:t>
            </w:r>
          </w:p>
          <w:p w14:paraId="203DD2F1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   TST negative / IGRA not done, unknown, indeterminate</w:t>
            </w:r>
          </w:p>
          <w:p w14:paraId="7ED22450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   TST not done, unknown / IGRA not done, unknown, indeterminate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14:paraId="5EC81D2D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E143AF6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158 (9)</w:t>
            </w:r>
          </w:p>
          <w:p w14:paraId="2926D39F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26 (1)</w:t>
            </w:r>
          </w:p>
          <w:p w14:paraId="519155F3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31 (2)</w:t>
            </w:r>
          </w:p>
          <w:p w14:paraId="4F9B274A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3 (&lt; 1)</w:t>
            </w:r>
          </w:p>
          <w:p w14:paraId="0E3F1DD3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539 (29)</w:t>
            </w:r>
          </w:p>
          <w:p w14:paraId="2667D642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63 (3)</w:t>
            </w:r>
          </w:p>
          <w:p w14:paraId="78937B10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516 (28)</w:t>
            </w:r>
          </w:p>
          <w:p w14:paraId="4CE513E4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49 (3)</w:t>
            </w:r>
          </w:p>
          <w:p w14:paraId="0B38EE12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448 (24)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2211CCA8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FE511A4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73 (12)</w:t>
            </w:r>
          </w:p>
          <w:p w14:paraId="31E2746E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12 (2)</w:t>
            </w:r>
          </w:p>
          <w:p w14:paraId="57996E1C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10 (2)</w:t>
            </w:r>
          </w:p>
          <w:p w14:paraId="34221352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17 (3)</w:t>
            </w:r>
          </w:p>
          <w:p w14:paraId="1A4C00E4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147 (23)</w:t>
            </w:r>
          </w:p>
          <w:p w14:paraId="70CAE4F8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27 (4)</w:t>
            </w:r>
          </w:p>
          <w:p w14:paraId="32BEFC80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186 (30)</w:t>
            </w:r>
          </w:p>
          <w:p w14:paraId="63E97E75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37 (6)</w:t>
            </w:r>
          </w:p>
          <w:p w14:paraId="0FA5450B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118 (19)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5256781C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A4A9E17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Reference</w:t>
            </w:r>
          </w:p>
          <w:p w14:paraId="7B9FC2FA" w14:textId="5F45FB36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1.00 (0.48</w:t>
            </w:r>
            <w:r w:rsidR="00C70905">
              <w:rPr>
                <w:sz w:val="20"/>
                <w:szCs w:val="20"/>
              </w:rPr>
              <w:t>–</w:t>
            </w:r>
            <w:r w:rsidRPr="005F1554">
              <w:rPr>
                <w:sz w:val="20"/>
                <w:szCs w:val="20"/>
              </w:rPr>
              <w:t>2.09)</w:t>
            </w:r>
          </w:p>
          <w:p w14:paraId="3B07DCDE" w14:textId="1AC32315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1.43 (0.67</w:t>
            </w:r>
            <w:r w:rsidR="00C70905">
              <w:rPr>
                <w:sz w:val="20"/>
                <w:szCs w:val="20"/>
              </w:rPr>
              <w:t>–</w:t>
            </w:r>
            <w:r w:rsidRPr="005F1554">
              <w:rPr>
                <w:sz w:val="20"/>
                <w:szCs w:val="20"/>
              </w:rPr>
              <w:t>3.08)</w:t>
            </w:r>
          </w:p>
          <w:p w14:paraId="37B107CA" w14:textId="4B2595A6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0.08 (0.02</w:t>
            </w:r>
            <w:r w:rsidR="00C70905">
              <w:rPr>
                <w:sz w:val="20"/>
                <w:szCs w:val="20"/>
              </w:rPr>
              <w:t>–</w:t>
            </w:r>
            <w:r w:rsidRPr="005F1554">
              <w:rPr>
                <w:sz w:val="20"/>
                <w:szCs w:val="20"/>
              </w:rPr>
              <w:t>0.30)</w:t>
            </w:r>
          </w:p>
          <w:p w14:paraId="1D84B3BD" w14:textId="7BEAE3E8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1.69 (1.22</w:t>
            </w:r>
            <w:r w:rsidR="00C70905">
              <w:rPr>
                <w:sz w:val="20"/>
                <w:szCs w:val="20"/>
              </w:rPr>
              <w:t>–</w:t>
            </w:r>
            <w:r w:rsidRPr="005F1554">
              <w:rPr>
                <w:sz w:val="20"/>
                <w:szCs w:val="20"/>
              </w:rPr>
              <w:t>2.36)</w:t>
            </w:r>
          </w:p>
          <w:p w14:paraId="06F02DF5" w14:textId="7D363CFB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1.08 (0.64</w:t>
            </w:r>
            <w:r w:rsidR="00C70905">
              <w:rPr>
                <w:sz w:val="20"/>
                <w:szCs w:val="20"/>
              </w:rPr>
              <w:t>–</w:t>
            </w:r>
            <w:r w:rsidRPr="005F1554">
              <w:rPr>
                <w:sz w:val="20"/>
                <w:szCs w:val="20"/>
              </w:rPr>
              <w:t>1.83)</w:t>
            </w:r>
          </w:p>
          <w:p w14:paraId="471FD0BE" w14:textId="24CE5336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1.28 (0.93</w:t>
            </w:r>
            <w:r w:rsidR="00C70905">
              <w:rPr>
                <w:sz w:val="20"/>
                <w:szCs w:val="20"/>
              </w:rPr>
              <w:t>–</w:t>
            </w:r>
            <w:r w:rsidRPr="005F1554">
              <w:rPr>
                <w:sz w:val="20"/>
                <w:szCs w:val="20"/>
              </w:rPr>
              <w:t>1.77)</w:t>
            </w:r>
          </w:p>
          <w:p w14:paraId="2A97E077" w14:textId="1A5AF2FF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0.61 (0.37</w:t>
            </w:r>
            <w:r w:rsidR="00C70905">
              <w:rPr>
                <w:sz w:val="20"/>
                <w:szCs w:val="20"/>
              </w:rPr>
              <w:t>–</w:t>
            </w:r>
            <w:r w:rsidRPr="005F1554">
              <w:rPr>
                <w:sz w:val="20"/>
                <w:szCs w:val="20"/>
              </w:rPr>
              <w:t>1.02)</w:t>
            </w:r>
          </w:p>
          <w:p w14:paraId="1F8B0E19" w14:textId="2E28D2D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1.75 (1.24</w:t>
            </w:r>
            <w:r w:rsidR="00C70905">
              <w:rPr>
                <w:sz w:val="20"/>
                <w:szCs w:val="20"/>
              </w:rPr>
              <w:t>–</w:t>
            </w:r>
            <w:r w:rsidRPr="005F1554">
              <w:rPr>
                <w:sz w:val="20"/>
                <w:szCs w:val="20"/>
              </w:rPr>
              <w:t>2.47)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14:paraId="34A898E5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2FE4B6E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0A08451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&gt; 0.9999</w:t>
            </w:r>
          </w:p>
          <w:p w14:paraId="1900EA99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0.4643</w:t>
            </w:r>
          </w:p>
          <w:p w14:paraId="5334BAE2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&lt; 0.0001</w:t>
            </w:r>
          </w:p>
          <w:p w14:paraId="28F25EFF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0.0028</w:t>
            </w:r>
          </w:p>
          <w:p w14:paraId="75332FE1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0.8912</w:t>
            </w:r>
          </w:p>
          <w:p w14:paraId="47C0C35F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0.1577</w:t>
            </w:r>
          </w:p>
          <w:p w14:paraId="4913FE6F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0.0790</w:t>
            </w:r>
          </w:p>
          <w:p w14:paraId="1F14C9E2" w14:textId="77777777" w:rsidR="007D10D8" w:rsidRPr="005F1554" w:rsidRDefault="007D10D8" w:rsidP="007D10D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>0.0020</w:t>
            </w:r>
          </w:p>
        </w:tc>
      </w:tr>
      <w:tr w:rsidR="007D10D8" w:rsidRPr="005F1554" w14:paraId="6FCD2DFF" w14:textId="77777777" w:rsidTr="00743134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1E249C97" w14:textId="1A85B4B9" w:rsidR="007D10D8" w:rsidRPr="005F1554" w:rsidRDefault="007D10D8" w:rsidP="007D10D8">
            <w:pPr>
              <w:spacing w:before="40"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NOTE. Data are </w:t>
            </w:r>
            <w:r w:rsidR="00C70905">
              <w:rPr>
                <w:sz w:val="20"/>
                <w:szCs w:val="20"/>
              </w:rPr>
              <w:t xml:space="preserve">number </w:t>
            </w:r>
            <w:r w:rsidRPr="005F1554">
              <w:rPr>
                <w:sz w:val="20"/>
                <w:szCs w:val="20"/>
              </w:rPr>
              <w:t xml:space="preserve">(#) or proportion (%) of persons with TB, unless otherwise indicated. </w:t>
            </w:r>
          </w:p>
          <w:p w14:paraId="7D981B4D" w14:textId="77777777" w:rsidR="007D10D8" w:rsidRPr="005F1554" w:rsidRDefault="007D10D8" w:rsidP="007D10D8">
            <w:pPr>
              <w:spacing w:before="40" w:line="480" w:lineRule="auto"/>
              <w:rPr>
                <w:sz w:val="20"/>
                <w:szCs w:val="20"/>
              </w:rPr>
            </w:pPr>
            <w:r w:rsidRPr="005F1554">
              <w:rPr>
                <w:sz w:val="20"/>
                <w:szCs w:val="20"/>
              </w:rPr>
              <w:t xml:space="preserve">TB, tuberculosis; TST, tuberculin skin test; IGRA, </w:t>
            </w:r>
            <w:proofErr w:type="gramStart"/>
            <w:r w:rsidRPr="005F1554">
              <w:rPr>
                <w:sz w:val="20"/>
                <w:szCs w:val="20"/>
              </w:rPr>
              <w:t>interferon gamma release assay</w:t>
            </w:r>
            <w:proofErr w:type="gramEnd"/>
            <w:r w:rsidRPr="005F1554">
              <w:rPr>
                <w:sz w:val="20"/>
                <w:szCs w:val="20"/>
              </w:rPr>
              <w:t>; HCP, healthcare personnel.</w:t>
            </w:r>
          </w:p>
          <w:p w14:paraId="4F5C5FFE" w14:textId="77777777" w:rsidR="007D10D8" w:rsidRPr="005F1554" w:rsidRDefault="007D10D8" w:rsidP="007D10D8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F1554">
              <w:rPr>
                <w:sz w:val="20"/>
                <w:szCs w:val="20"/>
                <w:vertAlign w:val="superscript"/>
              </w:rPr>
              <w:t>a</w:t>
            </w:r>
            <w:proofErr w:type="spellEnd"/>
            <w:proofErr w:type="gramEnd"/>
            <w:r w:rsidRPr="005F1554">
              <w:rPr>
                <w:sz w:val="20"/>
                <w:szCs w:val="20"/>
              </w:rPr>
              <w:t xml:space="preserve"> Unadjusted odds ratios and 95% confidence intervals (CI) comparing non-U.S.-born HCP vs U.S.-born HCP.</w:t>
            </w:r>
          </w:p>
          <w:p w14:paraId="25DB7967" w14:textId="77777777" w:rsidR="007D10D8" w:rsidRPr="005F1554" w:rsidRDefault="007D10D8" w:rsidP="007D10D8">
            <w:pPr>
              <w:spacing w:before="40" w:line="480" w:lineRule="auto"/>
              <w:rPr>
                <w:sz w:val="20"/>
                <w:szCs w:val="20"/>
              </w:rPr>
            </w:pPr>
            <w:proofErr w:type="gramStart"/>
            <w:r w:rsidRPr="005F1554">
              <w:rPr>
                <w:sz w:val="20"/>
                <w:szCs w:val="20"/>
                <w:vertAlign w:val="superscript"/>
              </w:rPr>
              <w:t>b</w:t>
            </w:r>
            <w:proofErr w:type="gramEnd"/>
            <w:r w:rsidRPr="005F1554">
              <w:rPr>
                <w:sz w:val="20"/>
                <w:szCs w:val="20"/>
              </w:rPr>
              <w:t xml:space="preserve"> P-values and confidence intervals were calculated using Fisher’s exact test when cell sizes were &lt;5.</w:t>
            </w:r>
          </w:p>
        </w:tc>
      </w:tr>
    </w:tbl>
    <w:p w14:paraId="2D6A77B7" w14:textId="77777777"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10"/>
    <w:rsid w:val="00053610"/>
    <w:rsid w:val="001E12C1"/>
    <w:rsid w:val="003F0772"/>
    <w:rsid w:val="004462A6"/>
    <w:rsid w:val="005F1554"/>
    <w:rsid w:val="006064CA"/>
    <w:rsid w:val="0072562C"/>
    <w:rsid w:val="00743134"/>
    <w:rsid w:val="007D10D8"/>
    <w:rsid w:val="00856A71"/>
    <w:rsid w:val="00B96610"/>
    <w:rsid w:val="00C36D87"/>
    <w:rsid w:val="00C70905"/>
    <w:rsid w:val="00D26908"/>
    <w:rsid w:val="00F276D9"/>
    <w:rsid w:val="00FA242C"/>
    <w:rsid w:val="00FC2F98"/>
    <w:rsid w:val="00FC70C6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9269"/>
  <w15:chartTrackingRefBased/>
  <w15:docId w15:val="{870D2953-44A6-425E-AC41-AB476179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2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0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9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9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0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Mongkolrattanothai, Thitipong (CDC/DDID/NCEZID/DHCPP)</dc:creator>
  <cp:keywords/>
  <dc:description/>
  <cp:lastModifiedBy>Winston, Carla (CDC/OID/NCHHSTP)</cp:lastModifiedBy>
  <cp:revision>2</cp:revision>
  <dcterms:created xsi:type="dcterms:W3CDTF">2019-03-01T19:01:00Z</dcterms:created>
  <dcterms:modified xsi:type="dcterms:W3CDTF">2019-03-01T19:01:00Z</dcterms:modified>
</cp:coreProperties>
</file>