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CF" w:rsidRPr="005B4B89" w:rsidRDefault="00955BCF" w:rsidP="00955BCF">
      <w:pPr>
        <w:rPr>
          <w:rFonts w:ascii="Times New Roman" w:hAnsi="Times New Roman" w:cs="Times New Roman"/>
          <w:sz w:val="24"/>
          <w:szCs w:val="24"/>
        </w:rPr>
      </w:pPr>
      <w:r w:rsidRPr="005B4B89">
        <w:rPr>
          <w:rFonts w:ascii="Times New Roman" w:hAnsi="Times New Roman" w:cs="Times New Roman"/>
          <w:sz w:val="24"/>
          <w:szCs w:val="24"/>
        </w:rPr>
        <w:t xml:space="preserve">Supplement 1. Initial candidate risk factors for central-line associated bloodstream infection in the pediatric intensive care unit, for inclusion in univariate 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Race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History of prematurity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CCC: neuromuscular disease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History of short gut syndrome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CCC: cardiovascular disease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Compromised skin integrity based on Braden-Q score*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CCC: respiratory disease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  <w:bookmarkStart w:id="0" w:name="_GoBack"/>
            <w:bookmarkEnd w:id="0"/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 language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Present of graft-vs-host-disease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CCC: renal disease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Interpreter required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Neutropenia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CCC: gastrointestinal disease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International medicine patient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History of CLABSI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CCC: hematologic/immunologic disease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Type of central venous catheter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Administration of total parenteral nutrition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CCC: malignancy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Number of central venous catheters present at time of CLABSI or end date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Administration of blood products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CCC: metabolic/endocrine disease 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Duration of central  venous catheter placement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Non-invasive mechanical ventilation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CCC: congenital anomalies 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Anatomic location of central venous catheter placement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Invasive mechanical ventilation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CCC: illness related to prematurity 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Month/year of central venous catheter placement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Administration of vasoactive medications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Presence of ostomy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Hospital location of central venous catheter placement 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Administration of </w:t>
            </w:r>
            <w:proofErr w:type="spellStart"/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alteplase</w:t>
            </w:r>
            <w:proofErr w:type="spellEnd"/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 for catheter clearance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 xml:space="preserve">Presence of tracheostomy </w:t>
            </w:r>
          </w:p>
        </w:tc>
      </w:tr>
      <w:tr w:rsidR="00955BCF" w:rsidRPr="005B4B89" w:rsidTr="0030191C">
        <w:tc>
          <w:tcPr>
            <w:tcW w:w="3116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Number of accesses into central venous catheter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89">
              <w:rPr>
                <w:rFonts w:ascii="Times New Roman" w:hAnsi="Times New Roman" w:cs="Times New Roman"/>
                <w:sz w:val="24"/>
                <w:szCs w:val="24"/>
              </w:rPr>
              <w:t>Acute behavioral health needs#</w:t>
            </w:r>
          </w:p>
        </w:tc>
        <w:tc>
          <w:tcPr>
            <w:tcW w:w="3117" w:type="dxa"/>
          </w:tcPr>
          <w:p w:rsidR="00955BCF" w:rsidRPr="005B4B89" w:rsidRDefault="00955BCF" w:rsidP="0030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BCF" w:rsidRPr="005B4B89" w:rsidRDefault="00955BCF" w:rsidP="00955BCF">
      <w:pPr>
        <w:rPr>
          <w:rFonts w:ascii="Times New Roman" w:hAnsi="Times New Roman" w:cs="Times New Roman"/>
          <w:sz w:val="24"/>
          <w:szCs w:val="24"/>
        </w:rPr>
      </w:pPr>
    </w:p>
    <w:p w:rsidR="00955BCF" w:rsidRPr="005B4B89" w:rsidRDefault="00955BCF" w:rsidP="00955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2738C">
        <w:rPr>
          <w:rFonts w:ascii="Times New Roman" w:hAnsi="Times New Roman" w:cs="Times New Roman"/>
          <w:sz w:val="20"/>
          <w:szCs w:val="20"/>
        </w:rPr>
        <w:t xml:space="preserve"> </w:t>
      </w:r>
      <w:r w:rsidRPr="00FC3B7B">
        <w:rPr>
          <w:rFonts w:ascii="Times New Roman" w:hAnsi="Times New Roman" w:cs="Times New Roman"/>
          <w:sz w:val="20"/>
          <w:szCs w:val="20"/>
        </w:rPr>
        <w:t xml:space="preserve">The </w:t>
      </w:r>
      <w:r w:rsidRPr="00FC3B7B">
        <w:rPr>
          <w:rStyle w:val="highlight"/>
          <w:rFonts w:ascii="Times New Roman" w:hAnsi="Times New Roman" w:cs="Times New Roman"/>
          <w:sz w:val="20"/>
          <w:szCs w:val="20"/>
          <w:lang w:val="en"/>
        </w:rPr>
        <w:t>Braden</w:t>
      </w:r>
      <w:r w:rsidRPr="00FC3B7B">
        <w:rPr>
          <w:rFonts w:ascii="Times New Roman" w:hAnsi="Times New Roman" w:cs="Times New Roman"/>
          <w:sz w:val="20"/>
          <w:szCs w:val="20"/>
          <w:lang w:val="en"/>
        </w:rPr>
        <w:t xml:space="preserve"> QD Scale reliably predicts both immobility-related and device-related pressure injuries in the </w:t>
      </w:r>
      <w:r w:rsidRPr="00FC3B7B">
        <w:rPr>
          <w:rStyle w:val="highlight"/>
          <w:rFonts w:ascii="Times New Roman" w:hAnsi="Times New Roman" w:cs="Times New Roman"/>
          <w:sz w:val="20"/>
          <w:szCs w:val="20"/>
          <w:lang w:val="en"/>
        </w:rPr>
        <w:t>pediatric</w:t>
      </w:r>
      <w:r w:rsidRPr="00FC3B7B">
        <w:rPr>
          <w:rFonts w:ascii="Times New Roman" w:hAnsi="Times New Roman" w:cs="Times New Roman"/>
          <w:sz w:val="20"/>
          <w:szCs w:val="20"/>
          <w:lang w:val="en"/>
        </w:rPr>
        <w:t xml:space="preserve"> acute care environment and here serves as a marker for skin integrity. </w:t>
      </w:r>
      <w:hyperlink r:id="rId4" w:history="1"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Curley MAQ</w:t>
        </w:r>
      </w:hyperlink>
      <w:r w:rsidRPr="00FC3B7B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proofErr w:type="spellStart"/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Hasbani</w:t>
        </w:r>
        <w:proofErr w:type="spellEnd"/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NR</w:t>
        </w:r>
      </w:hyperlink>
      <w:r w:rsidRPr="00FC3B7B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Quigley SM</w:t>
        </w:r>
      </w:hyperlink>
      <w:r w:rsidRPr="00FC3B7B">
        <w:rPr>
          <w:rFonts w:ascii="Times New Roman" w:hAnsi="Times New Roman" w:cs="Times New Roman"/>
          <w:sz w:val="20"/>
          <w:szCs w:val="20"/>
        </w:rPr>
        <w:t xml:space="preserve">, et al. Predicting Pressure Injury Risk in Pediatric Patients: The Braden QD Scale. </w:t>
      </w:r>
      <w:hyperlink r:id="rId7" w:tooltip="The Journal of pediatrics." w:history="1"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J </w:t>
        </w:r>
        <w:proofErr w:type="spellStart"/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Pediatr</w:t>
        </w:r>
        <w:proofErr w:type="spellEnd"/>
        <w:r w:rsidRPr="00FC3B7B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</w:hyperlink>
      <w:r w:rsidRPr="00FC3B7B">
        <w:rPr>
          <w:rFonts w:ascii="Times New Roman" w:hAnsi="Times New Roman" w:cs="Times New Roman"/>
          <w:sz w:val="20"/>
          <w:szCs w:val="20"/>
        </w:rPr>
        <w:t xml:space="preserve"> 2018 Jan</w:t>
      </w:r>
      <w:proofErr w:type="gramStart"/>
      <w:r w:rsidRPr="00FC3B7B">
        <w:rPr>
          <w:rFonts w:ascii="Times New Roman" w:hAnsi="Times New Roman" w:cs="Times New Roman"/>
          <w:sz w:val="20"/>
          <w:szCs w:val="20"/>
        </w:rPr>
        <w:t>;192:189</w:t>
      </w:r>
      <w:proofErr w:type="gramEnd"/>
      <w:r w:rsidRPr="00FC3B7B">
        <w:rPr>
          <w:rFonts w:ascii="Times New Roman" w:hAnsi="Times New Roman" w:cs="Times New Roman"/>
          <w:sz w:val="20"/>
          <w:szCs w:val="20"/>
        </w:rPr>
        <w:t xml:space="preserve">-195.e2. </w:t>
      </w:r>
      <w:proofErr w:type="spellStart"/>
      <w:proofErr w:type="gramStart"/>
      <w:r w:rsidRPr="00FC3B7B">
        <w:rPr>
          <w:rFonts w:ascii="Times New Roman" w:hAnsi="Times New Roman" w:cs="Times New Roman"/>
          <w:sz w:val="20"/>
          <w:szCs w:val="20"/>
        </w:rPr>
        <w:t>doi</w:t>
      </w:r>
      <w:proofErr w:type="spellEnd"/>
      <w:proofErr w:type="gramEnd"/>
      <w:r w:rsidRPr="00FC3B7B">
        <w:rPr>
          <w:rFonts w:ascii="Times New Roman" w:hAnsi="Times New Roman" w:cs="Times New Roman"/>
          <w:sz w:val="20"/>
          <w:szCs w:val="20"/>
        </w:rPr>
        <w:t>: 10.1016/j.jpeds.2017.09.045.</w:t>
      </w:r>
    </w:p>
    <w:p w:rsidR="00955BCF" w:rsidRPr="00E2738C" w:rsidRDefault="00955BCF" w:rsidP="00955BCF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2738C">
        <w:rPr>
          <w:rFonts w:ascii="Times New Roman" w:hAnsi="Times New Roman" w:cs="Times New Roman"/>
          <w:sz w:val="20"/>
          <w:szCs w:val="20"/>
        </w:rPr>
        <w:t xml:space="preserve"># Acute behavioral health needs were defined as: </w:t>
      </w:r>
      <w:r w:rsidRPr="00E2738C">
        <w:rPr>
          <w:rFonts w:ascii="Times New Roman" w:hAnsi="Times New Roman" w:cs="Times New Roman"/>
          <w:color w:val="000000"/>
          <w:sz w:val="20"/>
          <w:szCs w:val="20"/>
        </w:rPr>
        <w:t>1. Behavioral health consults that were ordered within 90 days o</w:t>
      </w:r>
      <w:r>
        <w:rPr>
          <w:rFonts w:ascii="Times New Roman" w:hAnsi="Times New Roman" w:cs="Times New Roman"/>
          <w:color w:val="000000"/>
          <w:sz w:val="20"/>
          <w:szCs w:val="20"/>
        </w:rPr>
        <w:t>f the CLABSI date or end date (</w:t>
      </w:r>
      <w:r w:rsidRPr="00E2738C">
        <w:rPr>
          <w:rFonts w:ascii="Times New Roman" w:hAnsi="Times New Roman" w:cs="Times New Roman"/>
          <w:color w:val="000000"/>
          <w:sz w:val="20"/>
          <w:szCs w:val="20"/>
        </w:rPr>
        <w:t>Consults included: consult to psychiatry, consult to psycholog</w:t>
      </w:r>
      <w:r>
        <w:rPr>
          <w:rFonts w:ascii="Times New Roman" w:hAnsi="Times New Roman" w:cs="Times New Roman"/>
          <w:color w:val="000000"/>
          <w:sz w:val="20"/>
          <w:szCs w:val="20"/>
        </w:rPr>
        <w:t>y, consult to behavioral health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E2738C">
        <w:rPr>
          <w:rFonts w:ascii="Times New Roman" w:hAnsi="Times New Roman" w:cs="Times New Roman"/>
          <w:color w:val="000000"/>
          <w:sz w:val="20"/>
          <w:szCs w:val="20"/>
        </w:rPr>
        <w:t xml:space="preserve"> OR</w:t>
      </w:r>
      <w:proofErr w:type="gramEnd"/>
      <w:r w:rsidRPr="00E2738C">
        <w:rPr>
          <w:rFonts w:ascii="Times New Roman" w:hAnsi="Times New Roman" w:cs="Times New Roman"/>
          <w:color w:val="000000"/>
          <w:sz w:val="20"/>
          <w:szCs w:val="20"/>
        </w:rPr>
        <w:t xml:space="preserve"> 2. The following medications administered or ordered "PRN" in the days prior (day 0</w:t>
      </w:r>
      <w:proofErr w:type="gramStart"/>
      <w:r w:rsidRPr="00E2738C">
        <w:rPr>
          <w:rFonts w:ascii="Times New Roman" w:hAnsi="Times New Roman" w:cs="Times New Roman"/>
          <w:color w:val="000000"/>
          <w:sz w:val="20"/>
          <w:szCs w:val="20"/>
        </w:rPr>
        <w:t>,1,2</w:t>
      </w:r>
      <w:proofErr w:type="gramEnd"/>
      <w:r w:rsidRPr="00E2738C">
        <w:rPr>
          <w:rFonts w:ascii="Times New Roman" w:hAnsi="Times New Roman" w:cs="Times New Roman"/>
          <w:color w:val="000000"/>
          <w:sz w:val="20"/>
          <w:szCs w:val="20"/>
        </w:rPr>
        <w:t>, or 3) to the CLABSI date or end date: risperidone, olanzapine, haloperidol, quetiapine.</w:t>
      </w:r>
    </w:p>
    <w:p w:rsidR="00955BCF" w:rsidRPr="00E2738C" w:rsidRDefault="00955BCF" w:rsidP="00955BCF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2738C">
        <w:rPr>
          <w:rFonts w:ascii="Times New Roman" w:hAnsi="Times New Roman" w:cs="Times New Roman"/>
          <w:color w:val="000000"/>
          <w:sz w:val="20"/>
          <w:szCs w:val="20"/>
        </w:rPr>
        <w:t xml:space="preserve">CCC: complex chronic condition, see primary text and references </w:t>
      </w:r>
    </w:p>
    <w:p w:rsidR="00955BCF" w:rsidRDefault="00955BCF" w:rsidP="00955BCF"/>
    <w:p w:rsidR="00BD2CCA" w:rsidRDefault="00BD2CCA"/>
    <w:sectPr w:rsidR="00BD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CF"/>
    <w:rsid w:val="00955BCF"/>
    <w:rsid w:val="00B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9773"/>
  <w15:chartTrackingRefBased/>
  <w15:docId w15:val="{B5F34210-AA7B-475C-BB95-4C8B422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955BCF"/>
  </w:style>
  <w:style w:type="character" w:styleId="Hyperlink">
    <w:name w:val="Hyperlink"/>
    <w:basedOn w:val="DefaultParagraphFont"/>
    <w:uiPriority w:val="99"/>
    <w:unhideWhenUsed/>
    <w:rsid w:val="0095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xy.library.upenn.edu:2065/pubmed/29246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y.library.upenn.edu:2065/pubmed/?term=Quigley%20SM%5BAuthor%5D&amp;cauthor=true&amp;cauthor_uid=29246340" TargetMode="External"/><Relationship Id="rId5" Type="http://schemas.openxmlformats.org/officeDocument/2006/relationships/hyperlink" Target="https://proxy.library.upenn.edu:2065/pubmed/?term=Hasbani%20NR%5BAuthor%5D&amp;cauthor=true&amp;cauthor_uid=29246340" TargetMode="External"/><Relationship Id="rId4" Type="http://schemas.openxmlformats.org/officeDocument/2006/relationships/hyperlink" Target="https://proxy.library.upenn.edu:2065/pubmed/?term=Curley%20MAQ%5BAuthor%5D&amp;cauthor=true&amp;cauthor_uid=292463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 of Philadelphia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Woods-hill, Charlotte Z</dc:creator>
  <cp:keywords/>
  <dc:description/>
  <cp:lastModifiedBy>Woods-hill, Charlotte Z</cp:lastModifiedBy>
  <cp:revision>1</cp:revision>
  <dcterms:created xsi:type="dcterms:W3CDTF">2019-09-12T16:16:00Z</dcterms:created>
  <dcterms:modified xsi:type="dcterms:W3CDTF">2019-09-12T16:17:00Z</dcterms:modified>
</cp:coreProperties>
</file>