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546" w:rsidRPr="009A4819" w:rsidRDefault="00B31546" w:rsidP="00B31546">
      <w:pPr>
        <w:spacing w:line="480" w:lineRule="auto"/>
      </w:pPr>
      <w:r>
        <w:rPr>
          <w:b/>
        </w:rPr>
        <w:t xml:space="preserve">Supplementary </w:t>
      </w:r>
      <w:r w:rsidRPr="00141293">
        <w:rPr>
          <w:b/>
        </w:rPr>
        <w:t>Table 1</w:t>
      </w:r>
      <w:r w:rsidRPr="009A4819">
        <w:t xml:space="preserve">. Characteristics of Patients with </w:t>
      </w:r>
      <w:r w:rsidRPr="009A4819">
        <w:rPr>
          <w:i/>
        </w:rPr>
        <w:t>Clostridioides difficile</w:t>
      </w:r>
      <w:r w:rsidRPr="009A4819">
        <w:t xml:space="preserve"> infection (CDI) in the pre-intervention versus intervention periods</w:t>
      </w:r>
    </w:p>
    <w:p w:rsidR="00B31546" w:rsidRDefault="00B31546" w:rsidP="00B31546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070"/>
        <w:gridCol w:w="1890"/>
        <w:gridCol w:w="985"/>
      </w:tblGrid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Characteristic</w:t>
            </w:r>
          </w:p>
        </w:tc>
        <w:tc>
          <w:tcPr>
            <w:tcW w:w="2070" w:type="dxa"/>
          </w:tcPr>
          <w:p w:rsidR="00B31546" w:rsidRDefault="00B31546" w:rsidP="00E0443B">
            <w:pPr>
              <w:spacing w:line="480" w:lineRule="auto"/>
            </w:pPr>
            <w:r w:rsidRPr="009A4819">
              <w:t xml:space="preserve">Pre-intervention </w:t>
            </w:r>
          </w:p>
          <w:p w:rsidR="00B31546" w:rsidRPr="009A4819" w:rsidRDefault="00B31546" w:rsidP="00E0443B">
            <w:pPr>
              <w:spacing w:line="480" w:lineRule="auto"/>
            </w:pPr>
            <w:r>
              <w:t>(N=103)</w:t>
            </w:r>
          </w:p>
        </w:tc>
        <w:tc>
          <w:tcPr>
            <w:tcW w:w="1890" w:type="dxa"/>
          </w:tcPr>
          <w:p w:rsidR="00B31546" w:rsidRDefault="00B31546" w:rsidP="00E0443B">
            <w:pPr>
              <w:spacing w:line="480" w:lineRule="auto"/>
            </w:pPr>
            <w:r w:rsidRPr="009A4819">
              <w:t>Intervention</w:t>
            </w:r>
          </w:p>
          <w:p w:rsidR="00B31546" w:rsidRPr="009A4819" w:rsidRDefault="00B31546" w:rsidP="00E0443B">
            <w:pPr>
              <w:spacing w:line="480" w:lineRule="auto"/>
            </w:pPr>
            <w:r>
              <w:t>(N=105)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rPr>
                <w:i/>
              </w:rPr>
              <w:t>P</w:t>
            </w:r>
            <w:r w:rsidRPr="009A4819">
              <w:t xml:space="preserve"> value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Age, mean years (</w:t>
            </w:r>
            <w:r>
              <w:t>standard deviation</w:t>
            </w:r>
            <w:r w:rsidRPr="009A4819">
              <w:t>)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56 (18)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57 (18)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0.78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Male sex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48 (47)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50 (48)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0.67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Nursing home resident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5 (5)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6 (6)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0.96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Clinical conditions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Diabetes mellitus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29 (28)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35 (33)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0.51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End-stage renal disease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7 (7)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10 (10)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0.64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Chronic liver disease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5 (5)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2 (2)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0.31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Immune suppression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16 (16)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27 (26)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0.10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>Initial CDI episode</w:t>
            </w:r>
          </w:p>
        </w:tc>
        <w:tc>
          <w:tcPr>
            <w:tcW w:w="2070" w:type="dxa"/>
          </w:tcPr>
          <w:p w:rsidR="00B31546" w:rsidRDefault="00B31546" w:rsidP="00E0443B">
            <w:pPr>
              <w:spacing w:line="480" w:lineRule="auto"/>
            </w:pPr>
            <w:r>
              <w:t>91 (88)</w:t>
            </w:r>
          </w:p>
        </w:tc>
        <w:tc>
          <w:tcPr>
            <w:tcW w:w="1890" w:type="dxa"/>
          </w:tcPr>
          <w:p w:rsidR="00B31546" w:rsidRDefault="00B31546" w:rsidP="00E0443B">
            <w:pPr>
              <w:spacing w:line="480" w:lineRule="auto"/>
            </w:pPr>
            <w:r>
              <w:t>93 (89)</w:t>
            </w:r>
          </w:p>
        </w:tc>
        <w:tc>
          <w:tcPr>
            <w:tcW w:w="985" w:type="dxa"/>
          </w:tcPr>
          <w:p w:rsidR="00B31546" w:rsidRDefault="00B31546" w:rsidP="00E0443B">
            <w:pPr>
              <w:spacing w:line="480" w:lineRule="auto"/>
            </w:pPr>
            <w:r>
              <w:t>1.0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CDI severity</w:t>
            </w:r>
            <w:r>
              <w:t xml:space="preserve"> *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Non-severe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82 (80)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80 (76)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0.62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Severe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18 (18)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17 (16)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0.85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     Fulminant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3 (3)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8 (8)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0.32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>CDI treatment regimen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 xml:space="preserve">     Metronidazole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55 (53)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54 (51)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0.78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 xml:space="preserve">     Vancomycin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33 (32)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34 (32)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1.00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 xml:space="preserve">     Metronidazole plus vancomycin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12 (12)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14 (13)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0.83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 xml:space="preserve">     Fidaxomicin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2 (2)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2 (2)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1.00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Default="00B31546" w:rsidP="00E0443B">
            <w:pPr>
              <w:spacing w:line="480" w:lineRule="auto"/>
            </w:pPr>
            <w:r>
              <w:lastRenderedPageBreak/>
              <w:t xml:space="preserve">     No treatment</w:t>
            </w:r>
          </w:p>
        </w:tc>
        <w:tc>
          <w:tcPr>
            <w:tcW w:w="2070" w:type="dxa"/>
          </w:tcPr>
          <w:p w:rsidR="00B31546" w:rsidRDefault="00B31546" w:rsidP="00E0443B">
            <w:pPr>
              <w:spacing w:line="480" w:lineRule="auto"/>
            </w:pPr>
            <w:r>
              <w:t>1 (1)</w:t>
            </w:r>
          </w:p>
        </w:tc>
        <w:tc>
          <w:tcPr>
            <w:tcW w:w="1890" w:type="dxa"/>
          </w:tcPr>
          <w:p w:rsidR="00B31546" w:rsidRDefault="00B31546" w:rsidP="00E0443B">
            <w:pPr>
              <w:spacing w:line="480" w:lineRule="auto"/>
            </w:pPr>
            <w:r>
              <w:t>1 (1)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1.00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>Proton pump inhibitor therapy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41 (40)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50 (48)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0.32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 w:rsidRPr="009A4819">
              <w:t xml:space="preserve">Non-CDI antibiotics within </w:t>
            </w:r>
            <w:r>
              <w:t>2 months prior to CDI diagnosis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71 (69)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77 (73)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0.44</w:t>
            </w:r>
          </w:p>
        </w:tc>
      </w:tr>
      <w:tr w:rsidR="00B31546" w:rsidRPr="009A4819" w:rsidTr="00A33DA3">
        <w:tc>
          <w:tcPr>
            <w:tcW w:w="4405" w:type="dxa"/>
          </w:tcPr>
          <w:p w:rsidR="00B31546" w:rsidRPr="009A4819" w:rsidRDefault="00B31546" w:rsidP="00E0443B">
            <w:pPr>
              <w:spacing w:line="480" w:lineRule="auto"/>
            </w:pPr>
            <w:r>
              <w:t xml:space="preserve">Nursing home stay within 2 months </w:t>
            </w:r>
            <w:r w:rsidRPr="00666394">
              <w:t>after</w:t>
            </w:r>
            <w:r>
              <w:t xml:space="preserve"> discharge</w:t>
            </w:r>
          </w:p>
        </w:tc>
        <w:tc>
          <w:tcPr>
            <w:tcW w:w="2070" w:type="dxa"/>
          </w:tcPr>
          <w:p w:rsidR="00B31546" w:rsidRPr="009A4819" w:rsidRDefault="00B31546" w:rsidP="00E0443B">
            <w:pPr>
              <w:spacing w:line="480" w:lineRule="auto"/>
            </w:pPr>
            <w:r>
              <w:t>22 (21)</w:t>
            </w:r>
          </w:p>
        </w:tc>
        <w:tc>
          <w:tcPr>
            <w:tcW w:w="1890" w:type="dxa"/>
          </w:tcPr>
          <w:p w:rsidR="00B31546" w:rsidRPr="009A4819" w:rsidRDefault="00B31546" w:rsidP="00E0443B">
            <w:pPr>
              <w:spacing w:line="480" w:lineRule="auto"/>
            </w:pPr>
            <w:r>
              <w:t>35 (33)</w:t>
            </w:r>
          </w:p>
        </w:tc>
        <w:tc>
          <w:tcPr>
            <w:tcW w:w="985" w:type="dxa"/>
          </w:tcPr>
          <w:p w:rsidR="00B31546" w:rsidRPr="009A4819" w:rsidRDefault="00B31546" w:rsidP="00E0443B">
            <w:pPr>
              <w:spacing w:line="480" w:lineRule="auto"/>
            </w:pPr>
            <w:r>
              <w:t>0.08</w:t>
            </w:r>
          </w:p>
        </w:tc>
        <w:bookmarkStart w:id="0" w:name="_GoBack"/>
        <w:bookmarkEnd w:id="0"/>
      </w:tr>
    </w:tbl>
    <w:p w:rsidR="00B31546" w:rsidRDefault="00B31546" w:rsidP="00B31546"/>
    <w:p w:rsidR="00B31546" w:rsidRDefault="00B31546" w:rsidP="00B31546">
      <w:pPr>
        <w:spacing w:line="480" w:lineRule="auto"/>
      </w:pPr>
      <w:r w:rsidRPr="005C3C5A">
        <w:t>Data are no. (%) unless otherwise specified</w:t>
      </w:r>
      <w:r>
        <w:t xml:space="preserve">.  </w:t>
      </w:r>
      <w:bookmarkStart w:id="1" w:name="_Hlk20124835"/>
      <w:r>
        <w:t>Non-severe = white blood cell count &lt;15,000 cells/mL and serum creatinine &lt;1.5 mg/dL; Severe = white blood cell count &gt;15,000 cells/mL or serum creatinine &gt;1.5 mg/dL; Fulminant = hypotension or shock, ileus, megacolon.</w:t>
      </w:r>
      <w:r w:rsidRPr="005C3C5A">
        <w:t xml:space="preserve">   </w:t>
      </w:r>
      <w:bookmarkEnd w:id="1"/>
    </w:p>
    <w:p w:rsidR="00B31546" w:rsidRDefault="00B31546"/>
    <w:sectPr w:rsidR="00B3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46"/>
    <w:rsid w:val="00A33DA3"/>
    <w:rsid w:val="00B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AB7A9-2B4C-491D-A06E-3C388DE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Donskey, Curtis J. (VHACLE)</dc:creator>
  <cp:keywords/>
  <dc:description/>
  <cp:lastModifiedBy>Koganti, Sreelatha (VHACLE)</cp:lastModifiedBy>
  <cp:revision>2</cp:revision>
  <dcterms:created xsi:type="dcterms:W3CDTF">2019-11-02T17:30:00Z</dcterms:created>
  <dcterms:modified xsi:type="dcterms:W3CDTF">2019-11-08T15:30:00Z</dcterms:modified>
</cp:coreProperties>
</file>