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F9" w:rsidRDefault="00F317F9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32485">
        <w:rPr>
          <w:rFonts w:ascii="Times New Roman" w:hAnsi="Times New Roman"/>
          <w:noProof/>
          <w:sz w:val="24"/>
        </w:rPr>
        <w:drawing>
          <wp:inline distT="0" distB="0" distL="0" distR="0" wp14:anchorId="21B9E000" wp14:editId="72D31F76">
            <wp:extent cx="5857530" cy="2897579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art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696" cy="29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7F9" w:rsidRDefault="00F317F9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17F9" w:rsidRDefault="00990200" w:rsidP="00F317F9">
      <w:pPr>
        <w:spacing w:after="200" w:line="240" w:lineRule="auto"/>
        <w:rPr>
          <w:rFonts w:ascii="Times New Roman" w:hAnsi="Times New Roman" w:cs="Times New Roman"/>
          <w:iCs/>
          <w:sz w:val="20"/>
          <w:szCs w:val="20"/>
        </w:rPr>
      </w:pPr>
      <w:bookmarkStart w:id="0" w:name="_Toc6054265"/>
      <w:bookmarkStart w:id="1" w:name="_Toc6324773"/>
      <w:r>
        <w:rPr>
          <w:rFonts w:ascii="Times New Roman" w:hAnsi="Times New Roman" w:cs="Times New Roman"/>
          <w:b/>
          <w:iCs/>
          <w:sz w:val="20"/>
          <w:szCs w:val="20"/>
        </w:rPr>
        <w:t xml:space="preserve">Supplemental </w:t>
      </w:r>
      <w:r w:rsidR="00F317F9" w:rsidRPr="00532485">
        <w:rPr>
          <w:rFonts w:ascii="Times New Roman" w:hAnsi="Times New Roman" w:cs="Times New Roman"/>
          <w:b/>
          <w:iCs/>
          <w:sz w:val="20"/>
          <w:szCs w:val="20"/>
        </w:rPr>
        <w:t>Figure</w:t>
      </w:r>
      <w:r w:rsidR="00F317F9">
        <w:rPr>
          <w:rFonts w:ascii="Times New Roman" w:hAnsi="Times New Roman" w:cs="Times New Roman"/>
          <w:b/>
          <w:iCs/>
          <w:noProof/>
          <w:sz w:val="20"/>
          <w:szCs w:val="20"/>
        </w:rPr>
        <w:t xml:space="preserve"> 1</w:t>
      </w:r>
      <w:r w:rsidR="00F317F9" w:rsidRPr="00532485">
        <w:rPr>
          <w:rFonts w:ascii="Times New Roman" w:hAnsi="Times New Roman" w:cs="Times New Roman"/>
          <w:b/>
          <w:iCs/>
          <w:sz w:val="20"/>
          <w:szCs w:val="20"/>
        </w:rPr>
        <w:t>: Diagram of Sampling Cart:</w:t>
      </w:r>
      <w:r w:rsidR="00F317F9" w:rsidRPr="00532485">
        <w:rPr>
          <w:rFonts w:ascii="Times New Roman" w:hAnsi="Times New Roman" w:cs="Times New Roman"/>
          <w:iCs/>
          <w:sz w:val="20"/>
          <w:szCs w:val="20"/>
        </w:rPr>
        <w:t xml:space="preserve"> A. Three bioaerosol samplers (silver) and their distance from the toilet rim. B. Pump and flow valve to maintain constant flow rate across the three bioaerosol compactors</w:t>
      </w:r>
      <w:bookmarkEnd w:id="0"/>
      <w:bookmarkEnd w:id="1"/>
    </w:p>
    <w:p w:rsidR="00F317F9" w:rsidRDefault="00F317F9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17F9" w:rsidRDefault="00F317F9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17F9" w:rsidRDefault="00F317F9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Pr="00532485" w:rsidRDefault="00990200" w:rsidP="00990200">
      <w:pPr>
        <w:keepNext/>
        <w:keepLines/>
        <w:spacing w:before="40" w:after="0" w:line="480" w:lineRule="auto"/>
        <w:outlineLvl w:val="2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2" w:name="_Toc6391539"/>
      <w:r w:rsidRPr="00532485">
        <w:rPr>
          <w:rFonts w:ascii="Times New Roman" w:eastAsiaTheme="majorEastAsia" w:hAnsi="Times New Roman" w:cstheme="majorBidi"/>
          <w:b/>
          <w:sz w:val="24"/>
          <w:szCs w:val="24"/>
        </w:rPr>
        <w:t xml:space="preserve">Patient and </w:t>
      </w:r>
      <w:proofErr w:type="spellStart"/>
      <w:r w:rsidRPr="00532485">
        <w:rPr>
          <w:rFonts w:ascii="Times New Roman" w:eastAsiaTheme="majorEastAsia" w:hAnsi="Times New Roman" w:cstheme="majorBidi"/>
          <w:b/>
          <w:sz w:val="24"/>
          <w:szCs w:val="24"/>
        </w:rPr>
        <w:t>HCW</w:t>
      </w:r>
      <w:proofErr w:type="spellEnd"/>
      <w:r w:rsidRPr="00532485">
        <w:rPr>
          <w:rFonts w:ascii="Times New Roman" w:eastAsiaTheme="majorEastAsia" w:hAnsi="Times New Roman" w:cstheme="majorBidi"/>
          <w:b/>
          <w:sz w:val="24"/>
          <w:szCs w:val="24"/>
        </w:rPr>
        <w:t xml:space="preserve"> Activity Measurements</w:t>
      </w:r>
      <w:bookmarkEnd w:id="2"/>
    </w:p>
    <w:p w:rsidR="00990200" w:rsidRPr="00532485" w:rsidRDefault="00990200" w:rsidP="0099020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 xml:space="preserve">It was hypothesized that activities in the patient room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532485">
        <w:rPr>
          <w:rFonts w:ascii="Times New Roman" w:hAnsi="Times New Roman" w:cs="Times New Roman"/>
          <w:sz w:val="24"/>
          <w:szCs w:val="24"/>
        </w:rPr>
        <w:t xml:space="preserve"> contribute to the amount of bioaerosols in the air.</w:t>
      </w:r>
      <w:r>
        <w:rPr>
          <w:rFonts w:ascii="Times New Roman" w:hAnsi="Times New Roman" w:cs="Times New Roman"/>
          <w:sz w:val="24"/>
          <w:szCs w:val="24"/>
        </w:rPr>
        <w:t xml:space="preserve"> To account for this, the duration</w:t>
      </w:r>
      <w:r w:rsidRPr="00532485">
        <w:rPr>
          <w:rFonts w:ascii="Times New Roman" w:hAnsi="Times New Roman" w:cs="Times New Roman"/>
          <w:sz w:val="24"/>
          <w:szCs w:val="24"/>
        </w:rPr>
        <w:t xml:space="preserve"> and type of activit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532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performed by healthcare workers and patient family/friends </w:t>
      </w:r>
      <w:r w:rsidRPr="00532485">
        <w:rPr>
          <w:rFonts w:ascii="Times New Roman" w:hAnsi="Times New Roman" w:cs="Times New Roman"/>
          <w:sz w:val="24"/>
          <w:szCs w:val="24"/>
        </w:rPr>
        <w:t>in patients’ rooms during the entire trial w</w:t>
      </w:r>
      <w:r>
        <w:rPr>
          <w:rFonts w:ascii="Times New Roman" w:hAnsi="Times New Roman" w:cs="Times New Roman"/>
          <w:sz w:val="24"/>
          <w:szCs w:val="24"/>
        </w:rPr>
        <w:t>ere</w:t>
      </w:r>
      <w:r w:rsidRPr="00532485">
        <w:rPr>
          <w:rFonts w:ascii="Times New Roman" w:hAnsi="Times New Roman" w:cs="Times New Roman"/>
          <w:sz w:val="24"/>
          <w:szCs w:val="24"/>
        </w:rPr>
        <w:t xml:space="preserve"> recorded. Activity level was </w:t>
      </w:r>
      <w:r>
        <w:rPr>
          <w:rFonts w:ascii="Times New Roman" w:hAnsi="Times New Roman" w:cs="Times New Roman"/>
          <w:sz w:val="24"/>
          <w:szCs w:val="24"/>
        </w:rPr>
        <w:t>classified</w:t>
      </w:r>
      <w:r w:rsidRPr="00532485">
        <w:rPr>
          <w:rFonts w:ascii="Times New Roman" w:hAnsi="Times New Roman" w:cs="Times New Roman"/>
          <w:sz w:val="24"/>
          <w:szCs w:val="24"/>
        </w:rPr>
        <w:t xml:space="preserve"> according to </w:t>
      </w:r>
      <w:r>
        <w:rPr>
          <w:rFonts w:ascii="Times New Roman" w:hAnsi="Times New Roman" w:cs="Times New Roman"/>
          <w:sz w:val="24"/>
          <w:szCs w:val="24"/>
        </w:rPr>
        <w:t>potential for</w:t>
      </w:r>
      <w:r w:rsidRPr="00532485">
        <w:rPr>
          <w:rFonts w:ascii="Times New Roman" w:hAnsi="Times New Roman" w:cs="Times New Roman"/>
          <w:sz w:val="24"/>
          <w:szCs w:val="24"/>
        </w:rPr>
        <w:t xml:space="preserve"> bioaerosol </w:t>
      </w:r>
      <w:r>
        <w:rPr>
          <w:rFonts w:ascii="Times New Roman" w:hAnsi="Times New Roman" w:cs="Times New Roman"/>
          <w:sz w:val="24"/>
          <w:szCs w:val="24"/>
        </w:rPr>
        <w:t>generation</w:t>
      </w:r>
      <w:r w:rsidRPr="00532485">
        <w:rPr>
          <w:rFonts w:ascii="Times New Roman" w:hAnsi="Times New Roman" w:cs="Times New Roman"/>
          <w:sz w:val="24"/>
          <w:szCs w:val="24"/>
        </w:rPr>
        <w:t>. Low activit</w:t>
      </w:r>
      <w:r>
        <w:rPr>
          <w:rFonts w:ascii="Times New Roman" w:hAnsi="Times New Roman" w:cs="Times New Roman"/>
          <w:sz w:val="24"/>
          <w:szCs w:val="24"/>
        </w:rPr>
        <w:t>y level</w:t>
      </w:r>
      <w:r w:rsidRPr="00532485">
        <w:rPr>
          <w:rFonts w:ascii="Times New Roman" w:hAnsi="Times New Roman" w:cs="Times New Roman"/>
          <w:sz w:val="24"/>
          <w:szCs w:val="24"/>
        </w:rPr>
        <w:t xml:space="preserve"> included </w:t>
      </w:r>
      <w:r>
        <w:rPr>
          <w:rFonts w:ascii="Times New Roman" w:hAnsi="Times New Roman" w:cs="Times New Roman"/>
          <w:sz w:val="24"/>
          <w:szCs w:val="24"/>
        </w:rPr>
        <w:t xml:space="preserve">activities such as </w:t>
      </w:r>
      <w:r w:rsidRPr="00532485">
        <w:rPr>
          <w:rFonts w:ascii="Times New Roman" w:hAnsi="Times New Roman" w:cs="Times New Roman"/>
          <w:sz w:val="24"/>
          <w:szCs w:val="24"/>
        </w:rPr>
        <w:t>patient/doctor consultations and food delivery that lasted less than four minutes. Moderate activit</w:t>
      </w:r>
      <w:r>
        <w:rPr>
          <w:rFonts w:ascii="Times New Roman" w:hAnsi="Times New Roman" w:cs="Times New Roman"/>
          <w:sz w:val="24"/>
          <w:szCs w:val="24"/>
        </w:rPr>
        <w:t>y level</w:t>
      </w:r>
      <w:r w:rsidRPr="00532485">
        <w:rPr>
          <w:rFonts w:ascii="Times New Roman" w:hAnsi="Times New Roman" w:cs="Times New Roman"/>
          <w:sz w:val="24"/>
          <w:szCs w:val="24"/>
        </w:rPr>
        <w:t xml:space="preserve"> included extended patient consultations (over four minutes), multiple entrances and exits from the patient room, and short medical procedures under three</w:t>
      </w:r>
      <w:r>
        <w:rPr>
          <w:rFonts w:ascii="Times New Roman" w:hAnsi="Times New Roman" w:cs="Times New Roman"/>
          <w:sz w:val="24"/>
          <w:szCs w:val="24"/>
        </w:rPr>
        <w:t xml:space="preserve"> minutes</w:t>
      </w:r>
      <w:r w:rsidRPr="00532485">
        <w:rPr>
          <w:rFonts w:ascii="Times New Roman" w:hAnsi="Times New Roman" w:cs="Times New Roman"/>
          <w:sz w:val="24"/>
          <w:szCs w:val="24"/>
        </w:rPr>
        <w:t xml:space="preserve">. A high level of activity was determined to be medical procedures over three minutes, patient bathing or adult diaper changing, and activities that involved cleaning the patient room. A score value was created by assigning a numerical value to the activity level from </w:t>
      </w:r>
      <w:r w:rsidRPr="00532485">
        <w:rPr>
          <w:rFonts w:ascii="Times New Roman" w:hAnsi="Times New Roman" w:cs="Times New Roman"/>
          <w:sz w:val="24"/>
          <w:szCs w:val="24"/>
        </w:rPr>
        <w:lastRenderedPageBreak/>
        <w:t>0 to 3, where zero is no activity and three is the highest level of activity and multiplying it by the duration of the activity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7F9" w:rsidRP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200">
        <w:rPr>
          <w:rFonts w:ascii="Times New Roman" w:hAnsi="Times New Roman" w:cs="Times New Roman"/>
          <w:b/>
          <w:sz w:val="24"/>
          <w:szCs w:val="24"/>
        </w:rPr>
        <w:t>HCW</w:t>
      </w:r>
      <w:proofErr w:type="spellEnd"/>
      <w:r w:rsidRPr="00990200">
        <w:rPr>
          <w:rFonts w:ascii="Times New Roman" w:hAnsi="Times New Roman" w:cs="Times New Roman"/>
          <w:b/>
          <w:sz w:val="24"/>
          <w:szCs w:val="24"/>
        </w:rPr>
        <w:t xml:space="preserve"> Results</w:t>
      </w:r>
    </w:p>
    <w:p w:rsidR="00F317F9" w:rsidRDefault="00F317F9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Pr="00990200" w:rsidRDefault="00990200" w:rsidP="0099020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485">
        <w:rPr>
          <w:rFonts w:ascii="Times New Roman" w:hAnsi="Times New Roman" w:cs="Times New Roman"/>
          <w:sz w:val="24"/>
          <w:szCs w:val="24"/>
        </w:rPr>
        <w:t xml:space="preserve">No association was found between activity level and </w:t>
      </w:r>
      <w:r>
        <w:rPr>
          <w:rFonts w:ascii="Times New Roman" w:hAnsi="Times New Roman" w:cs="Times New Roman"/>
          <w:sz w:val="24"/>
          <w:szCs w:val="24"/>
        </w:rPr>
        <w:t>culture positivity</w:t>
      </w:r>
      <w:r w:rsidRPr="00532485">
        <w:rPr>
          <w:rFonts w:ascii="Times New Roman" w:hAnsi="Times New Roman" w:cs="Times New Roman"/>
          <w:sz w:val="24"/>
          <w:szCs w:val="24"/>
        </w:rPr>
        <w:t> (p</w:t>
      </w:r>
      <w:r w:rsidRPr="00532485">
        <w:rPr>
          <w:rFonts w:ascii="Times New Roman" w:hAnsi="Times New Roman" w:cs="Times New Roman"/>
          <w:sz w:val="24"/>
          <w:szCs w:val="24"/>
        </w:rPr>
        <w:noBreakHyphen/>
        <w:t>value= 0.</w:t>
      </w:r>
      <w:r>
        <w:rPr>
          <w:rFonts w:ascii="Times New Roman" w:hAnsi="Times New Roman" w:cs="Times New Roman"/>
          <w:sz w:val="24"/>
          <w:szCs w:val="24"/>
        </w:rPr>
        <w:t>8636</w:t>
      </w:r>
      <w:r w:rsidRPr="0053248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There was no association observed between duration of activity and culture positivity </w:t>
      </w:r>
      <w:r w:rsidRPr="00532485">
        <w:rPr>
          <w:rFonts w:ascii="Times New Roman" w:hAnsi="Times New Roman" w:cs="Times New Roman"/>
          <w:sz w:val="24"/>
          <w:szCs w:val="24"/>
        </w:rPr>
        <w:t>(p</w:t>
      </w:r>
      <w:r w:rsidRPr="00532485">
        <w:rPr>
          <w:rFonts w:ascii="Times New Roman" w:hAnsi="Times New Roman" w:cs="Times New Roman"/>
          <w:sz w:val="24"/>
          <w:szCs w:val="24"/>
        </w:rPr>
        <w:noBreakHyphen/>
        <w:t xml:space="preserve">value= 0.5265). </w:t>
      </w:r>
      <w:r>
        <w:rPr>
          <w:rFonts w:ascii="Times New Roman" w:hAnsi="Times New Roman" w:cs="Times New Roman"/>
          <w:sz w:val="24"/>
          <w:szCs w:val="24"/>
        </w:rPr>
        <w:t>Similarly,</w:t>
      </w:r>
      <w:r w:rsidRPr="00532485">
        <w:rPr>
          <w:rFonts w:ascii="Times New Roman" w:hAnsi="Times New Roman" w:cs="Times New Roman"/>
          <w:sz w:val="24"/>
          <w:szCs w:val="24"/>
        </w:rPr>
        <w:t xml:space="preserve"> there was no difference between the type of activity and whether the culture was positive </w:t>
      </w:r>
      <w:r>
        <w:rPr>
          <w:rFonts w:ascii="Times New Roman" w:hAnsi="Times New Roman" w:cs="Times New Roman"/>
          <w:sz w:val="24"/>
          <w:szCs w:val="24"/>
        </w:rPr>
        <w:t xml:space="preserve">test </w:t>
      </w:r>
      <w:r w:rsidRPr="00532485">
        <w:rPr>
          <w:rFonts w:ascii="Times New Roman" w:hAnsi="Times New Roman" w:cs="Times New Roman"/>
          <w:sz w:val="24"/>
          <w:szCs w:val="24"/>
        </w:rPr>
        <w:t>(p</w:t>
      </w:r>
      <w:r w:rsidRPr="00532485">
        <w:rPr>
          <w:rFonts w:ascii="Times New Roman" w:hAnsi="Times New Roman" w:cs="Times New Roman"/>
          <w:sz w:val="24"/>
          <w:szCs w:val="24"/>
        </w:rPr>
        <w:noBreakHyphen/>
        <w:t>value= 0.</w:t>
      </w:r>
      <w:r>
        <w:rPr>
          <w:rFonts w:ascii="Times New Roman" w:hAnsi="Times New Roman" w:cs="Times New Roman"/>
          <w:sz w:val="24"/>
          <w:szCs w:val="24"/>
        </w:rPr>
        <w:t>4339</w:t>
      </w:r>
      <w:r w:rsidRPr="0053248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No difference in positive culture rate was found across the three activity levels</w:t>
      </w:r>
      <w:r w:rsidRPr="00532485">
        <w:rPr>
          <w:rFonts w:ascii="Times New Roman" w:hAnsi="Times New Roman" w:cs="Times New Roman"/>
          <w:sz w:val="24"/>
          <w:szCs w:val="24"/>
        </w:rPr>
        <w:t xml:space="preserve"> (p-value=0.6052)</w:t>
      </w:r>
      <w:r w:rsidRPr="00A00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Supp. Table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2485">
        <w:rPr>
          <w:rFonts w:ascii="Times New Roman" w:hAnsi="Times New Roman" w:cs="Times New Roman"/>
          <w:sz w:val="24"/>
          <w:szCs w:val="24"/>
        </w:rPr>
        <w:t>.</w:t>
      </w:r>
    </w:p>
    <w:p w:rsidR="00F317F9" w:rsidRDefault="00F317F9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90200" w:rsidRDefault="00990200" w:rsidP="002876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762A" w:rsidRPr="00532485" w:rsidRDefault="0028762A" w:rsidP="002876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485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Pr="00532485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32485">
        <w:rPr>
          <w:rFonts w:ascii="Times New Roman" w:hAnsi="Times New Roman" w:cs="Times New Roman"/>
          <w:b/>
          <w:sz w:val="20"/>
          <w:szCs w:val="20"/>
        </w:rPr>
        <w:instrText xml:space="preserve"> SEQ Table \* ARABIC </w:instrText>
      </w:r>
      <w:r w:rsidRPr="00532485">
        <w:rPr>
          <w:rFonts w:ascii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noProof/>
          <w:sz w:val="20"/>
          <w:szCs w:val="20"/>
        </w:rPr>
        <w:t>4</w:t>
      </w:r>
      <w:r w:rsidRPr="0053248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532485">
        <w:rPr>
          <w:rFonts w:ascii="Times New Roman" w:hAnsi="Times New Roman" w:cs="Times New Roman"/>
          <w:b/>
          <w:sz w:val="20"/>
          <w:szCs w:val="20"/>
        </w:rPr>
        <w:t>: Healthcare Worker Activity by Culture Type</w:t>
      </w:r>
    </w:p>
    <w:p w:rsidR="0028762A" w:rsidRPr="00532485" w:rsidRDefault="0028762A" w:rsidP="0028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11"/>
        <w:tblW w:w="5305" w:type="pct"/>
        <w:tblLayout w:type="fixed"/>
        <w:tblLook w:val="04A0" w:firstRow="1" w:lastRow="0" w:firstColumn="1" w:lastColumn="0" w:noHBand="0" w:noVBand="1"/>
      </w:tblPr>
      <w:tblGrid>
        <w:gridCol w:w="3325"/>
        <w:gridCol w:w="2887"/>
        <w:gridCol w:w="2559"/>
        <w:gridCol w:w="1149"/>
      </w:tblGrid>
      <w:tr w:rsidR="0028762A" w:rsidRPr="00532485" w:rsidTr="00474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532485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 xml:space="preserve">Positively Cultured </w:t>
            </w:r>
            <w:proofErr w:type="gramStart"/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Rooms  (</w:t>
            </w:r>
            <w:proofErr w:type="gramEnd"/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n=8)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Negatively Cultured Rooms (n=16)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32485">
              <w:rPr>
                <w:rFonts w:ascii="Times New Roman" w:hAnsi="Times New Roman" w:cs="Times New Roman"/>
                <w:sz w:val="24"/>
                <w:szCs w:val="24"/>
              </w:rPr>
              <w:noBreakHyphen/>
              <w:t>value</w:t>
            </w:r>
          </w:p>
        </w:tc>
      </w:tr>
      <w:tr w:rsidR="0028762A" w:rsidRPr="00532485" w:rsidTr="0047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532485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Activity Level</w:t>
            </w:r>
          </w:p>
        </w:tc>
        <w:tc>
          <w:tcPr>
            <w:tcW w:w="2745" w:type="pct"/>
            <w:gridSpan w:val="2"/>
          </w:tcPr>
          <w:p w:rsidR="0028762A" w:rsidRPr="00532485" w:rsidRDefault="0028762A" w:rsidP="00474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N (%)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0.8636</w:t>
            </w:r>
          </w:p>
        </w:tc>
      </w:tr>
      <w:tr w:rsidR="0028762A" w:rsidRPr="00532485" w:rsidTr="00474B0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None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(25%)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6 (33%)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Low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1 (13%)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1 (6%)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Moderate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(25%)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(13%)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High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3 (38%)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5 (38%)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Missing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(13%)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532485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Activity Type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0.4339</w:t>
            </w:r>
          </w:p>
        </w:tc>
      </w:tr>
      <w:tr w:rsidR="0028762A" w:rsidRPr="00532485" w:rsidTr="00474B0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Missing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(13%)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No Activity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(25%)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6 (33%)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Medical Procedure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3 (19%)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Patient Bathing/Cleaning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1 (13%)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(13%)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Patient Consultation/Food Delivery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(25%)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1 (6%)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CC3B63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664">
              <w:rPr>
                <w:rFonts w:ascii="Times New Roman" w:hAnsi="Times New Roman" w:cs="Times New Roman"/>
                <w:sz w:val="24"/>
                <w:szCs w:val="24"/>
              </w:rPr>
              <w:t xml:space="preserve">   HCW Enters and Exits, Performing Small Tasks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3 (38%)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2 (13%)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532485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pct"/>
            <w:gridSpan w:val="2"/>
          </w:tcPr>
          <w:p w:rsidR="0028762A" w:rsidRPr="00532485" w:rsidRDefault="0028762A" w:rsidP="00474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dian (IQR)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2A" w:rsidRPr="00532485" w:rsidTr="00474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532485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Activity Duration (minutes)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 (0.00-14.00)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 (0.00-15.00</w:t>
            </w: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0.5265</w:t>
            </w:r>
          </w:p>
        </w:tc>
      </w:tr>
      <w:tr w:rsidR="0028762A" w:rsidRPr="00532485" w:rsidTr="00474B0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pct"/>
          </w:tcPr>
          <w:p w:rsidR="0028762A" w:rsidRPr="00532485" w:rsidRDefault="0028762A" w:rsidP="0047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Activity Score</w:t>
            </w:r>
          </w:p>
        </w:tc>
        <w:tc>
          <w:tcPr>
            <w:tcW w:w="1455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0.00-42.00</w:t>
            </w: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0.00-45.00</w:t>
            </w: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" w:type="pct"/>
          </w:tcPr>
          <w:p w:rsidR="0028762A" w:rsidRPr="00532485" w:rsidRDefault="0028762A" w:rsidP="00474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485">
              <w:rPr>
                <w:rFonts w:ascii="Times New Roman" w:hAnsi="Times New Roman" w:cs="Times New Roman"/>
                <w:sz w:val="24"/>
                <w:szCs w:val="24"/>
              </w:rPr>
              <w:t>0.6052</w:t>
            </w:r>
          </w:p>
        </w:tc>
      </w:tr>
    </w:tbl>
    <w:p w:rsidR="0028762A" w:rsidRPr="00532485" w:rsidRDefault="0028762A" w:rsidP="0028762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32485">
        <w:rPr>
          <w:rFonts w:ascii="Times New Roman" w:hAnsi="Times New Roman" w:cs="Times New Roman"/>
          <w:sz w:val="20"/>
          <w:szCs w:val="20"/>
        </w:rPr>
        <w:t>Fisher Exact test used for categorical variables and Wilcoxon sig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532485">
        <w:rPr>
          <w:rFonts w:ascii="Times New Roman" w:hAnsi="Times New Roman" w:cs="Times New Roman"/>
          <w:sz w:val="20"/>
          <w:szCs w:val="20"/>
        </w:rPr>
        <w:t>ed rank used for continuous variables</w:t>
      </w:r>
    </w:p>
    <w:p w:rsidR="0028762A" w:rsidRPr="00532485" w:rsidRDefault="0028762A" w:rsidP="0028762A">
      <w:pPr>
        <w:rPr>
          <w:rFonts w:ascii="Times New Roman" w:hAnsi="Times New Roman" w:cs="Times New Roman"/>
          <w:sz w:val="24"/>
          <w:szCs w:val="24"/>
        </w:rPr>
      </w:pPr>
    </w:p>
    <w:p w:rsidR="0028762A" w:rsidRPr="00532485" w:rsidRDefault="0028762A" w:rsidP="0028762A">
      <w:pPr>
        <w:rPr>
          <w:rFonts w:ascii="Times New Roman" w:hAnsi="Times New Roman" w:cs="Times New Roman"/>
          <w:sz w:val="24"/>
          <w:szCs w:val="24"/>
        </w:rPr>
      </w:pPr>
    </w:p>
    <w:p w:rsidR="007C2CD9" w:rsidRDefault="00990200"/>
    <w:sectPr w:rsidR="007C2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200" w:rsidRDefault="00990200" w:rsidP="00990200">
      <w:pPr>
        <w:spacing w:after="0" w:line="240" w:lineRule="auto"/>
      </w:pPr>
      <w:r>
        <w:separator/>
      </w:r>
    </w:p>
  </w:endnote>
  <w:endnote w:type="continuationSeparator" w:id="0">
    <w:p w:rsidR="00990200" w:rsidRDefault="00990200" w:rsidP="0099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200" w:rsidRDefault="00990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200" w:rsidRDefault="00990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200" w:rsidRDefault="00990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200" w:rsidRDefault="00990200" w:rsidP="00990200">
      <w:pPr>
        <w:spacing w:after="0" w:line="240" w:lineRule="auto"/>
      </w:pPr>
      <w:r>
        <w:separator/>
      </w:r>
    </w:p>
  </w:footnote>
  <w:footnote w:type="continuationSeparator" w:id="0">
    <w:p w:rsidR="00990200" w:rsidRDefault="00990200" w:rsidP="0099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200" w:rsidRDefault="00990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200" w:rsidRDefault="00990200">
    <w:pPr>
      <w:pStyle w:val="Header"/>
    </w:pPr>
    <w:proofErr w:type="spellStart"/>
    <w:r>
      <w:t>ICHE</w:t>
    </w:r>
    <w:proofErr w:type="spellEnd"/>
    <w:r>
      <w:t xml:space="preserve">- Bioaerosol Revised Submission Supplemental Materials </w:t>
    </w:r>
  </w:p>
  <w:p w:rsidR="00990200" w:rsidRDefault="00990200">
    <w:pPr>
      <w:pStyle w:val="Header"/>
    </w:pPr>
    <w:r>
      <w:t>11/27/19</w:t>
    </w:r>
    <w:bookmarkStart w:id="3" w:name="_GoBack"/>
    <w:bookmarkEnd w:id="3"/>
  </w:p>
  <w:p w:rsidR="00990200" w:rsidRDefault="00990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200" w:rsidRDefault="009902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2A"/>
    <w:rsid w:val="00032374"/>
    <w:rsid w:val="0021268F"/>
    <w:rsid w:val="0028762A"/>
    <w:rsid w:val="00625CA7"/>
    <w:rsid w:val="00990200"/>
    <w:rsid w:val="00F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70F4"/>
  <w15:chartTrackingRefBased/>
  <w15:docId w15:val="{0FAF54B5-B217-4563-9430-C607DC49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11">
    <w:name w:val="Grid Table 411"/>
    <w:basedOn w:val="TableNormal"/>
    <w:uiPriority w:val="49"/>
    <w:rsid w:val="002876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00"/>
  </w:style>
  <w:style w:type="paragraph" w:styleId="Footer">
    <w:name w:val="footer"/>
    <w:basedOn w:val="Normal"/>
    <w:link w:val="FooterChar"/>
    <w:uiPriority w:val="99"/>
    <w:unhideWhenUsed/>
    <w:rsid w:val="0099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Geneva M. (HIN)</dc:creator>
  <cp:keywords/>
  <dc:description/>
  <cp:lastModifiedBy>Wilson, Geneva M. (HIN)</cp:lastModifiedBy>
  <cp:revision>2</cp:revision>
  <dcterms:created xsi:type="dcterms:W3CDTF">2019-11-19T13:51:00Z</dcterms:created>
  <dcterms:modified xsi:type="dcterms:W3CDTF">2019-11-27T18:56:00Z</dcterms:modified>
</cp:coreProperties>
</file>