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Appendix 1. Antimicrobial Stewardship Worksheet Blank Template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>Antimicrobial Stewardship Worksheet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Patient Case Identifier: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bCs/>
          <w:color w:val="000000"/>
        </w:rPr>
        <w:t>AGE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Sex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color w:val="000000"/>
        </w:rPr>
        <w:t>Length of Stay:</w:t>
      </w:r>
      <w:r>
        <w:rPr>
          <w:rFonts w:ascii="Arial" w:hAnsi="Arial" w:cs="Arial"/>
        </w:rPr>
        <w:t xml:space="preserve">        </w:t>
      </w:r>
    </w:p>
    <w:p w:rsidR="006A26CE" w:rsidRPr="002A4ADB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Allergies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F0F0F"/>
        </w:rPr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F0F0F"/>
        </w:rPr>
        <w:t>Readmission Risk %:</w:t>
      </w:r>
      <w:r>
        <w:rPr>
          <w:rFonts w:ascii="Arial" w:hAnsi="Arial" w:cs="Arial"/>
          <w:color w:val="0F0F0F"/>
        </w:rPr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Diabetic? (Y/N)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PMH: </w:t>
      </w:r>
      <w:r>
        <w:rPr>
          <w:rFonts w:ascii="Arial" w:hAnsi="Arial" w:cs="Arial"/>
          <w:bCs/>
          <w:color w:val="0F0F0F"/>
        </w:rPr>
        <w:t xml:space="preserve">   </w:t>
      </w:r>
    </w:p>
    <w:p w:rsidR="006A26CE" w:rsidRPr="002A4ADB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F0F0F"/>
        </w:rPr>
      </w:pPr>
      <w:r w:rsidRPr="00B36E7C">
        <w:rPr>
          <w:rFonts w:ascii="Arial" w:hAnsi="Arial" w:cs="Arial"/>
          <w:b/>
        </w:rPr>
        <w:t>Infectious Diagnosis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F0F0F"/>
        </w:rPr>
        <w:t>CC/Comments on clinical course:</w:t>
      </w:r>
      <w:r>
        <w:rPr>
          <w:rFonts w:ascii="Arial" w:hAnsi="Arial" w:cs="Arial"/>
          <w:color w:val="0F0F0F"/>
        </w:rPr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F0F0F"/>
        </w:rPr>
        <w:t>CrCl:</w:t>
      </w:r>
      <w:r>
        <w:rPr>
          <w:rFonts w:ascii="Arial" w:hAnsi="Arial" w:cs="Arial"/>
          <w:color w:val="0F0F0F"/>
        </w:rPr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Vital Signs: </w:t>
      </w:r>
      <w:r>
        <w:rPr>
          <w:rFonts w:ascii="Arial" w:hAnsi="Arial" w:cs="Arial"/>
        </w:rPr>
        <w:tab/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F0F0F"/>
        </w:rPr>
        <w:t>Temp Trend:</w:t>
      </w:r>
      <w:r>
        <w:rPr>
          <w:rFonts w:ascii="Arial" w:hAnsi="Arial" w:cs="Arial"/>
          <w:color w:val="0F0F0F"/>
        </w:rPr>
        <w:t xml:space="preserve"> </w:t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</w:r>
      <w:r>
        <w:rPr>
          <w:rFonts w:ascii="Arial" w:hAnsi="Arial" w:cs="Arial"/>
          <w:color w:val="0F0F0F"/>
        </w:rPr>
        <w:tab/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0F0F"/>
        </w:rPr>
      </w:pPr>
      <w:r>
        <w:rPr>
          <w:rFonts w:ascii="Arial" w:hAnsi="Arial" w:cs="Arial"/>
          <w:b/>
          <w:color w:val="0F0F0F"/>
        </w:rPr>
        <w:t>ASP Intervention this admission?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F0F0F"/>
        </w:rPr>
      </w:pPr>
      <w:r>
        <w:rPr>
          <w:rFonts w:ascii="Arial" w:hAnsi="Arial" w:cs="Arial"/>
          <w:b/>
          <w:bCs/>
          <w:color w:val="0F0F0F"/>
        </w:rPr>
        <w:t xml:space="preserve">Antimicrobials received this admission: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Steroids received this admission: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Antimicrobials Prescribed on Discharge: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5076"/>
      </w:tblGrid>
      <w:tr w:rsidR="006A26CE" w:rsidTr="0006426D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Recent Labs – Shows over past 3 days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Date/Time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WBC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HGB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PLT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5076"/>
      </w:tblGrid>
      <w:tr w:rsidR="006A26CE" w:rsidTr="0006426D"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Recent Labs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Date/Time</w:t>
            </w: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BUN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26CE" w:rsidTr="0006426D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CREATININE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836"/>
        <w:gridCol w:w="4320"/>
        <w:gridCol w:w="2592"/>
      </w:tblGrid>
      <w:tr w:rsidR="006A26CE" w:rsidTr="0006426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Lab Results</w:t>
            </w:r>
          </w:p>
        </w:tc>
      </w:tr>
      <w:tr w:rsidR="006A26CE" w:rsidTr="0006426D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Component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Value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Date</w:t>
            </w:r>
          </w:p>
        </w:tc>
      </w:tr>
      <w:tr w:rsidR="006A26CE" w:rsidTr="0006426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PROCAL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6A26CE" w:rsidRDefault="006A26CE" w:rsidP="0006426D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Arial" w:hAnsi="Arial" w:cs="Arial"/>
              </w:rPr>
            </w:pPr>
          </w:p>
        </w:tc>
      </w:tr>
    </w:tbl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Culture Data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</w:rPr>
        <w:t xml:space="preserve"> 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A26CE" w:rsidRPr="00892A35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Imaging Data: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Other Pertinent Labs/Procedures (i.e. EKG for QTc):</w:t>
      </w: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A26CE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Appropriate? (Y/N): </w:t>
      </w:r>
    </w:p>
    <w:p w:rsidR="006A26CE" w:rsidRPr="00620926" w:rsidRDefault="006A26CE" w:rsidP="006A2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Recommendation:</w:t>
      </w: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6CE" w:rsidRPr="00FA7E0D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Supplementary Appendix 2</w:t>
      </w:r>
      <w:r w:rsidRPr="00FA7E0D">
        <w:rPr>
          <w:rFonts w:ascii="Times New Roman" w:eastAsia="Times New Roman" w:hAnsi="Times New Roman" w:cs="Times New Roman"/>
          <w:b/>
          <w:sz w:val="24"/>
          <w:szCs w:val="24"/>
        </w:rPr>
        <w:t>. Factors Considered in Readmission Risk Score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Number of active Rx orders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Imaging order is present in last 6 months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Latest calcium is low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Number of hospitalizations in last year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Latest hemoglobin is low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Latest creatinine is high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Number of ED visits in last six months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Charleston Comorbidity Index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Phosphorous result is present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ECG/EKG order is present in last 6 months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Active anticoagulant Rx order is present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Active NSAID Rx order is present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Latest BUN is high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Active corticosteroid Rx order is present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Active antipsychotic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Encounter of ten days or longer in last year is present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Age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Diagnosis of cancer is present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Diagnosis of electrolyte disorder is present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Future appointment is scheduled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Diagnosis of deficiency anemia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Restraint order is present in last 6 months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Current length of stay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Diagnosis of renal failure</w:t>
            </w:r>
          </w:p>
        </w:tc>
      </w:tr>
      <w:tr w:rsidR="006A26CE" w:rsidRPr="00FA7E0D" w:rsidTr="0006426D">
        <w:tc>
          <w:tcPr>
            <w:tcW w:w="3116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Latest INR is high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Active ulcer medication Rx order is present</w:t>
            </w:r>
          </w:p>
        </w:tc>
        <w:tc>
          <w:tcPr>
            <w:tcW w:w="3117" w:type="dxa"/>
          </w:tcPr>
          <w:p w:rsidR="006A26CE" w:rsidRPr="00FA7E0D" w:rsidRDefault="006A26CE" w:rsidP="0006426D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Diagnosis of drug abuse</w:t>
            </w:r>
          </w:p>
        </w:tc>
      </w:tr>
    </w:tbl>
    <w:p w:rsidR="006A26CE" w:rsidRPr="00FA7E0D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E0D">
        <w:rPr>
          <w:rFonts w:ascii="Times New Roman" w:eastAsia="Times New Roman" w:hAnsi="Times New Roman" w:cs="Times New Roman"/>
          <w:sz w:val="24"/>
          <w:szCs w:val="24"/>
        </w:rPr>
        <w:t>Readmission Risk Score is a tool present within the institution’</w:t>
      </w:r>
      <w:r>
        <w:rPr>
          <w:rFonts w:ascii="Times New Roman" w:eastAsia="Times New Roman" w:hAnsi="Times New Roman" w:cs="Times New Roman"/>
          <w:sz w:val="24"/>
          <w:szCs w:val="24"/>
        </w:rPr>
        <w:t>s electronic medical record</w:t>
      </w:r>
      <w:r w:rsidRPr="00FA7E0D">
        <w:rPr>
          <w:rFonts w:ascii="Times New Roman" w:eastAsia="Times New Roman" w:hAnsi="Times New Roman" w:cs="Times New Roman"/>
          <w:sz w:val="24"/>
          <w:szCs w:val="24"/>
        </w:rPr>
        <w:t xml:space="preserve"> to estimate the unplanned risk for readmission within the next 30 days. The factors listed above are taken into account in the model for risk score calculation.</w:t>
      </w:r>
      <w:r w:rsidRPr="00B31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E0D">
        <w:rPr>
          <w:rFonts w:ascii="Times New Roman" w:eastAsia="Times New Roman" w:hAnsi="Times New Roman" w:cs="Times New Roman"/>
          <w:sz w:val="24"/>
          <w:szCs w:val="24"/>
        </w:rPr>
        <w:t xml:space="preserve">A score greater than or equal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14%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was</w:t>
      </w:r>
      <w:r w:rsidRPr="00FA7E0D">
        <w:rPr>
          <w:rFonts w:ascii="Times New Roman" w:eastAsia="Times New Roman" w:hAnsi="Times New Roman" w:cs="Times New Roman"/>
          <w:sz w:val="24"/>
          <w:szCs w:val="24"/>
        </w:rPr>
        <w:t xml:space="preserve"> considered to be high risk for readmission, 10 to 13% is medium risk, and less than 10% is low risk.</w:t>
      </w: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Pr="00FA7E0D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Default="006A26CE" w:rsidP="006A26CE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26CE" w:rsidRPr="00FE4301" w:rsidRDefault="006A26CE" w:rsidP="006A26CE">
      <w:pPr>
        <w:spacing w:line="480" w:lineRule="auto"/>
        <w:contextualSpacing/>
        <w:rPr>
          <w:rFonts w:cstheme="minorHAnsi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12349" w:rsidRDefault="006A26CE">
      <w:bookmarkStart w:id="0" w:name="_GoBack"/>
      <w:bookmarkEnd w:id="0"/>
    </w:p>
    <w:sectPr w:rsidR="00512349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FA" w:rsidRDefault="006A26CE" w:rsidP="00596B8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E"/>
    <w:rsid w:val="00656C1B"/>
    <w:rsid w:val="006A26CE"/>
    <w:rsid w:val="00C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0634-5D91-48B6-B33E-4C567AC4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6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Koppes</dc:creator>
  <cp:keywords/>
  <dc:description/>
  <cp:lastModifiedBy>Stephanie Koppes</cp:lastModifiedBy>
  <cp:revision>1</cp:revision>
  <dcterms:created xsi:type="dcterms:W3CDTF">2020-04-28T14:36:00Z</dcterms:created>
  <dcterms:modified xsi:type="dcterms:W3CDTF">2020-04-28T14:37:00Z</dcterms:modified>
</cp:coreProperties>
</file>