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1CFA">
        <w:rPr>
          <w:rFonts w:ascii="Times New Roman" w:hAnsi="Times New Roman" w:cs="Times New Roman"/>
          <w:b/>
          <w:sz w:val="24"/>
          <w:szCs w:val="24"/>
        </w:rPr>
        <w:t xml:space="preserve">SUPPLEMENTAL FIGURE TITLES </w:t>
      </w:r>
    </w:p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CFA">
        <w:rPr>
          <w:rFonts w:ascii="Times New Roman" w:hAnsi="Times New Roman" w:cs="Times New Roman"/>
          <w:b/>
          <w:sz w:val="24"/>
          <w:szCs w:val="24"/>
        </w:rPr>
        <w:t>Supplemental Figure 1.</w:t>
      </w:r>
      <w:r w:rsidRPr="001E1CFA">
        <w:rPr>
          <w:rFonts w:ascii="Times New Roman" w:hAnsi="Times New Roman" w:cs="Times New Roman"/>
          <w:sz w:val="24"/>
          <w:szCs w:val="24"/>
        </w:rPr>
        <w:t xml:space="preserve"> Number of outbreaks by season (A) and by month (B) for 121 norovirus outbreaks reported to the PDPH between November 2009 and May 2018.</w:t>
      </w:r>
    </w:p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1CFA">
        <w:rPr>
          <w:rFonts w:ascii="Times New Roman" w:hAnsi="Times New Roman" w:cs="Times New Roman"/>
          <w:b/>
          <w:sz w:val="24"/>
          <w:szCs w:val="24"/>
        </w:rPr>
        <w:t>Supplemental Figure 2.</w:t>
      </w:r>
      <w:r w:rsidRPr="001E1CFA">
        <w:rPr>
          <w:rFonts w:ascii="Times New Roman" w:hAnsi="Times New Roman" w:cs="Times New Roman"/>
          <w:sz w:val="24"/>
          <w:szCs w:val="24"/>
        </w:rPr>
        <w:t xml:space="preserve"> Patient attack rate (A), outbreak duration (B), and time to resolution (C) for 121 norovirus outbreaks reported to the PDPH between November 2009 and May 2018. </w:t>
      </w:r>
      <w:r w:rsidRPr="001E1CFA">
        <w:rPr>
          <w:rFonts w:ascii="Times New Roman" w:hAnsi="Times New Roman" w:cs="Times New Roman"/>
          <w:sz w:val="20"/>
          <w:szCs w:val="20"/>
        </w:rPr>
        <w:br w:type="page"/>
      </w:r>
    </w:p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1CFA">
        <w:rPr>
          <w:rFonts w:ascii="Times New Roman" w:hAnsi="Times New Roman" w:cs="Times New Roman"/>
          <w:noProof/>
        </w:rPr>
        <w:drawing>
          <wp:inline distT="0" distB="0" distL="0" distR="0" wp14:anchorId="3B680AFA" wp14:editId="2179E134">
            <wp:extent cx="4048125" cy="22002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E1910" w:rsidRPr="001E1CFA" w:rsidRDefault="006E1910" w:rsidP="006E1910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1CFA">
        <w:rPr>
          <w:rFonts w:ascii="Times New Roman" w:hAnsi="Times New Roman" w:cs="Times New Roman"/>
          <w:noProof/>
        </w:rPr>
        <w:drawing>
          <wp:inline distT="0" distB="0" distL="0" distR="0" wp14:anchorId="5BC14D33" wp14:editId="21BB780B">
            <wp:extent cx="4209691" cy="2286000"/>
            <wp:effectExtent l="0" t="0" r="63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E1CFA">
        <w:rPr>
          <w:rFonts w:ascii="Times New Roman" w:hAnsi="Times New Roman" w:cs="Times New Roman"/>
          <w:sz w:val="20"/>
          <w:szCs w:val="20"/>
        </w:rPr>
        <w:br w:type="page"/>
      </w:r>
    </w:p>
    <w:p w:rsidR="006E1910" w:rsidRPr="001E1CFA" w:rsidRDefault="006E1910" w:rsidP="006E1910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1CF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FF901A8" wp14:editId="7EC164B1">
            <wp:extent cx="3619500" cy="21431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1910" w:rsidRPr="001E1CFA" w:rsidRDefault="006E1910" w:rsidP="006E1910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1CFA">
        <w:rPr>
          <w:rFonts w:ascii="Times New Roman" w:hAnsi="Times New Roman" w:cs="Times New Roman"/>
          <w:noProof/>
        </w:rPr>
        <w:drawing>
          <wp:inline distT="0" distB="0" distL="0" distR="0" wp14:anchorId="5C40D242" wp14:editId="3DCF26D6">
            <wp:extent cx="3619500" cy="21431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7CB" w:rsidRPr="006E1910" w:rsidRDefault="006E1910" w:rsidP="006E1910">
      <w:pPr>
        <w:tabs>
          <w:tab w:val="left" w:pos="1060"/>
        </w:tabs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E1CFA">
        <w:rPr>
          <w:rFonts w:ascii="Times New Roman" w:hAnsi="Times New Roman" w:cs="Times New Roman"/>
          <w:noProof/>
        </w:rPr>
        <w:drawing>
          <wp:inline distT="0" distB="0" distL="0" distR="0" wp14:anchorId="4F11B90E" wp14:editId="75F53BB4">
            <wp:extent cx="3619500" cy="21431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4E77CB" w:rsidRPr="006E1910" w:rsidSect="006E22B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10"/>
    <w:rsid w:val="00456262"/>
    <w:rsid w:val="005F7A28"/>
    <w:rsid w:val="006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F1B47"/>
  <w15:chartTrackingRefBased/>
  <w15:docId w15:val="{34960D63-F834-124F-84D5-23C8DDA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/DPH-DDC-FS2\aShared$\DDC\HAI\Staff%20folders\Interns\Hansol%20Kang\LTCF_Variable_Summar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/DPH-DDC-FS2\aShared$\DDC\HAI\Staff%20folders\Interns\Hansol%20Kang\LTCF_Variable_Summar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/DPH-DDC-FS2\aShared$\DDC\HAI\Staff%20folders\Interns\Hansol%20Kang\LTCF_Variable_Summar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/DPH-DDC-FS2\aShared$\DDC\HAI\Staff%20folders\Interns\Hansol%20Kang\LTCF_Variable_Summary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/DPH-DDC-FS2\aShared$\DDC\HAI\Staff%20folders\Interns\Hansol%20Kang\LTCF_Variable_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26820827724397E-2"/>
          <c:y val="3.4599389362044E-2"/>
          <c:w val="0.91687621014586296"/>
          <c:h val="0.84942053671862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Figures!$C$3</c:f>
              <c:strCache>
                <c:ptCount val="1"/>
                <c:pt idx="0">
                  <c:v>Frequency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Figures!$B$4:$B$12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Figures!$C$4:$C$12</c:f>
              <c:numCache>
                <c:formatCode>General</c:formatCode>
                <c:ptCount val="9"/>
                <c:pt idx="0">
                  <c:v>14</c:v>
                </c:pt>
                <c:pt idx="1">
                  <c:v>19</c:v>
                </c:pt>
                <c:pt idx="2">
                  <c:v>17</c:v>
                </c:pt>
                <c:pt idx="3">
                  <c:v>15</c:v>
                </c:pt>
                <c:pt idx="4">
                  <c:v>13</c:v>
                </c:pt>
                <c:pt idx="5">
                  <c:v>16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C-864B-BCA5-7CD8AEFA1F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94"/>
        <c:axId val="2140859104"/>
        <c:axId val="2146758304"/>
      </c:barChart>
      <c:catAx>
        <c:axId val="214085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46758304"/>
        <c:crosses val="autoZero"/>
        <c:auto val="1"/>
        <c:lblAlgn val="ctr"/>
        <c:lblOffset val="100"/>
        <c:noMultiLvlLbl val="0"/>
      </c:catAx>
      <c:valAx>
        <c:axId val="21467583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Counts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one"/>
        <c:crossAx val="2140859104"/>
        <c:crosses val="autoZero"/>
        <c:crossBetween val="between"/>
      </c:valAx>
      <c:spPr>
        <a:solidFill>
          <a:schemeClr val="lt1"/>
        </a:solidFill>
        <a:ln w="12700" cap="flat" cmpd="sng" algn="ctr">
          <a:noFill/>
          <a:prstDash val="solid"/>
        </a:ln>
        <a:effectLst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061817378424298E-2"/>
          <c:y val="2.7063599458728001E-2"/>
          <c:w val="0.88775067319330603"/>
          <c:h val="0.837338817086294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Figures!$C$19</c:f>
              <c:strCache>
                <c:ptCount val="1"/>
                <c:pt idx="0">
                  <c:v>Frequency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Figures!$B$20:$B$31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Figures!$C$20:$C$31</c:f>
              <c:numCache>
                <c:formatCode>General</c:formatCode>
                <c:ptCount val="12"/>
                <c:pt idx="0">
                  <c:v>32</c:v>
                </c:pt>
                <c:pt idx="1">
                  <c:v>39</c:v>
                </c:pt>
                <c:pt idx="2">
                  <c:v>23</c:v>
                </c:pt>
                <c:pt idx="3">
                  <c:v>7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CD-6E40-8D54-51F1F30793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5"/>
        <c:axId val="2059067888"/>
        <c:axId val="2058777808"/>
      </c:barChart>
      <c:catAx>
        <c:axId val="205906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58777808"/>
        <c:crosses val="autoZero"/>
        <c:auto val="1"/>
        <c:lblAlgn val="ctr"/>
        <c:lblOffset val="100"/>
        <c:noMultiLvlLbl val="0"/>
      </c:catAx>
      <c:valAx>
        <c:axId val="20587778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Counts</a:t>
                </a:r>
              </a:p>
            </c:rich>
          </c:tx>
          <c:overlay val="0"/>
          <c:spPr>
            <a:ln>
              <a:noFill/>
            </a:ln>
          </c:spPr>
        </c:title>
        <c:numFmt formatCode="General" sourceLinked="1"/>
        <c:majorTickMark val="none"/>
        <c:minorTickMark val="none"/>
        <c:tickLblPos val="none"/>
        <c:crossAx val="2059067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44812075132901"/>
          <c:y val="4.2231058591168998E-2"/>
          <c:w val="0.815091222658481"/>
          <c:h val="0.76082076407115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Figures!$F$57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cat>
            <c:numRef>
              <c:f>Figures!$E$58:$E$78</c:f>
              <c:numCache>
                <c:formatCode>General</c:formatCode>
                <c:ptCount val="21"/>
                <c:pt idx="0">
                  <c:v>0</c:v>
                </c:pt>
                <c:pt idx="1">
                  <c:v>0.5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0.25</c:v>
                </c:pt>
                <c:pt idx="8">
                  <c:v>0.4</c:v>
                </c:pt>
                <c:pt idx="9">
                  <c:v>0.45</c:v>
                </c:pt>
                <c:pt idx="10">
                  <c:v>0.5</c:v>
                </c:pt>
                <c:pt idx="11">
                  <c:v>0.55000000000000004</c:v>
                </c:pt>
                <c:pt idx="12">
                  <c:v>0.6</c:v>
                </c:pt>
                <c:pt idx="13">
                  <c:v>0.65</c:v>
                </c:pt>
                <c:pt idx="14">
                  <c:v>0.7</c:v>
                </c:pt>
                <c:pt idx="15">
                  <c:v>0.75</c:v>
                </c:pt>
                <c:pt idx="16">
                  <c:v>0.8</c:v>
                </c:pt>
                <c:pt idx="17">
                  <c:v>0.85</c:v>
                </c:pt>
                <c:pt idx="18">
                  <c:v>0.9</c:v>
                </c:pt>
                <c:pt idx="19">
                  <c:v>0.95</c:v>
                </c:pt>
                <c:pt idx="20">
                  <c:v>1</c:v>
                </c:pt>
              </c:numCache>
            </c:numRef>
          </c:cat>
          <c:val>
            <c:numRef>
              <c:f>Figures!$F$58:$F$78</c:f>
              <c:numCache>
                <c:formatCode>General</c:formatCode>
                <c:ptCount val="21"/>
                <c:pt idx="0">
                  <c:v>0</c:v>
                </c:pt>
                <c:pt idx="1">
                  <c:v>14</c:v>
                </c:pt>
                <c:pt idx="2">
                  <c:v>21</c:v>
                </c:pt>
                <c:pt idx="3">
                  <c:v>18</c:v>
                </c:pt>
                <c:pt idx="4">
                  <c:v>18</c:v>
                </c:pt>
                <c:pt idx="5">
                  <c:v>16</c:v>
                </c:pt>
                <c:pt idx="6">
                  <c:v>7</c:v>
                </c:pt>
                <c:pt idx="7">
                  <c:v>9</c:v>
                </c:pt>
                <c:pt idx="8">
                  <c:v>4</c:v>
                </c:pt>
                <c:pt idx="9">
                  <c:v>6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0-F24B-A50D-A1B9BA0FB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095595408"/>
        <c:axId val="-2146034432"/>
      </c:barChart>
      <c:catAx>
        <c:axId val="2095595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Patient Attack Rate</a:t>
                </a:r>
              </a:p>
            </c:rich>
          </c:tx>
          <c:layout>
            <c:manualLayout>
              <c:xMode val="edge"/>
              <c:yMode val="edge"/>
              <c:x val="0.39265398075240598"/>
              <c:y val="0.9267592592592589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-2146034432"/>
        <c:crosses val="autoZero"/>
        <c:auto val="1"/>
        <c:lblAlgn val="ctr"/>
        <c:lblOffset val="100"/>
        <c:tickLblSkip val="2"/>
        <c:noMultiLvlLbl val="0"/>
      </c:catAx>
      <c:valAx>
        <c:axId val="-2146034432"/>
        <c:scaling>
          <c:orientation val="minMax"/>
          <c:max val="3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Counts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chemeClr val="tx1">
                <a:lumMod val="50000"/>
                <a:lumOff val="50000"/>
              </a:schemeClr>
            </a:solidFill>
          </a:ln>
        </c:spPr>
        <c:crossAx val="2095595408"/>
        <c:crosses val="autoZero"/>
        <c:crossBetween val="between"/>
        <c:majorUnit val="10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84596962109801"/>
          <c:y val="3.8725286409823902E-2"/>
          <c:w val="0.799138904331683"/>
          <c:h val="0.763271752249629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Figures!$F$136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cat>
            <c:numRef>
              <c:f>Figures!$E$137:$E$150</c:f>
              <c:numCache>
                <c:formatCode>General</c:formatCode>
                <c:ptCount val="14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</c:numCache>
            </c:numRef>
          </c:cat>
          <c:val>
            <c:numRef>
              <c:f>Figures!$F$137:$F$150</c:f>
              <c:numCache>
                <c:formatCode>General</c:formatCode>
                <c:ptCount val="14"/>
                <c:pt idx="0">
                  <c:v>1</c:v>
                </c:pt>
                <c:pt idx="1">
                  <c:v>21</c:v>
                </c:pt>
                <c:pt idx="2">
                  <c:v>34</c:v>
                </c:pt>
                <c:pt idx="3">
                  <c:v>28</c:v>
                </c:pt>
                <c:pt idx="4">
                  <c:v>11</c:v>
                </c:pt>
                <c:pt idx="5">
                  <c:v>9</c:v>
                </c:pt>
                <c:pt idx="6">
                  <c:v>6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DF-894A-8751-CE5CA41BE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46656720"/>
        <c:axId val="2147069984"/>
      </c:barChart>
      <c:catAx>
        <c:axId val="2146656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Outbreak duration (days)</a:t>
                </a:r>
              </a:p>
            </c:rich>
          </c:tx>
          <c:layout>
            <c:manualLayout>
              <c:xMode val="edge"/>
              <c:yMode val="edge"/>
              <c:x val="0.35733647032956201"/>
              <c:y val="0.903490705362877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7069984"/>
        <c:crosses val="autoZero"/>
        <c:auto val="1"/>
        <c:lblAlgn val="ctr"/>
        <c:lblOffset val="100"/>
        <c:tickLblSkip val="2"/>
        <c:noMultiLvlLbl val="0"/>
      </c:catAx>
      <c:valAx>
        <c:axId val="2147069984"/>
        <c:scaling>
          <c:orientation val="minMax"/>
          <c:max val="3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Counts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46656720"/>
        <c:crosses val="autoZero"/>
        <c:crossBetween val="between"/>
        <c:majorUnit val="10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85791413378999"/>
          <c:y val="3.1537569431728002E-2"/>
          <c:w val="0.80614554009764305"/>
          <c:h val="0.76133916593759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Figures!$E$203:$E$216</c:f>
              <c:strCache>
                <c:ptCount val="1"/>
                <c:pt idx="0">
                  <c:v>0 5 10 15 20 25 30 35 40 45 50 55 60 65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cat>
            <c:numRef>
              <c:f>Figures!$E$203:$E$216</c:f>
              <c:numCache>
                <c:formatCode>General</c:formatCode>
                <c:ptCount val="14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</c:numCache>
            </c:numRef>
          </c:cat>
          <c:val>
            <c:numRef>
              <c:f>Figures!$F$203:$F$216</c:f>
              <c:numCache>
                <c:formatCode>General</c:formatCode>
                <c:ptCount val="14"/>
                <c:pt idx="0">
                  <c:v>22</c:v>
                </c:pt>
                <c:pt idx="1">
                  <c:v>28</c:v>
                </c:pt>
                <c:pt idx="2">
                  <c:v>33</c:v>
                </c:pt>
                <c:pt idx="3">
                  <c:v>13</c:v>
                </c:pt>
                <c:pt idx="4">
                  <c:v>11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B-4148-93BB-0AC12272D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40895488"/>
        <c:axId val="2143794160"/>
      </c:barChart>
      <c:catAx>
        <c:axId val="2140895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Time to Resolution (days)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43794160"/>
        <c:crosses val="autoZero"/>
        <c:auto val="1"/>
        <c:lblAlgn val="ctr"/>
        <c:lblOffset val="100"/>
        <c:tickLblSkip val="2"/>
        <c:noMultiLvlLbl val="0"/>
      </c:catAx>
      <c:valAx>
        <c:axId val="2143794160"/>
        <c:scaling>
          <c:orientation val="minMax"/>
          <c:max val="3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sz="1000" b="0"/>
                  <a:t>Counts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40895488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0.07548</cdr:x>
      <cdr:y>0.11171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-3228975"/>
          <a:ext cx="306993" cy="30645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1200" b="1"/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0.074</cdr:x>
      <cdr:y>0.13603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0"/>
          <a:ext cx="301924" cy="31917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1200" b="1"/>
            <a:t>B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0.08354</cdr:x>
      <cdr:y>0.16376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-457200" y="0"/>
          <a:ext cx="306988" cy="30645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1200" b="1"/>
            <a:t>A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0.08354</cdr:x>
      <cdr:y>0.15315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0"/>
          <a:ext cx="306972" cy="30644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1200" b="1"/>
            <a:t>B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0.0835</cdr:x>
      <cdr:y>0.13349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0"/>
          <a:ext cx="306988" cy="30643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b="1"/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Coffin</dc:creator>
  <cp:keywords/>
  <dc:description/>
  <cp:lastModifiedBy>Susan Coffin</cp:lastModifiedBy>
  <cp:revision>1</cp:revision>
  <dcterms:created xsi:type="dcterms:W3CDTF">2020-01-21T01:18:00Z</dcterms:created>
  <dcterms:modified xsi:type="dcterms:W3CDTF">2020-01-21T01:18:00Z</dcterms:modified>
</cp:coreProperties>
</file>