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51871" w14:textId="766C0D67" w:rsidR="00E50F00" w:rsidRDefault="00C4320D" w:rsidP="00AD5D9C">
      <w:pPr>
        <w:rPr>
          <w:rFonts w:ascii="Times New Roman" w:hAnsi="Times New Roman"/>
        </w:rPr>
      </w:pPr>
      <w:r>
        <w:rPr>
          <w:rFonts w:ascii="Times New Roman" w:hAnsi="Times New Roman"/>
        </w:rPr>
        <w:t xml:space="preserve">Supplementary </w:t>
      </w:r>
      <w:r w:rsidR="00052FD1">
        <w:rPr>
          <w:rFonts w:ascii="Times New Roman" w:hAnsi="Times New Roman"/>
        </w:rPr>
        <w:t>File</w:t>
      </w:r>
      <w:r w:rsidR="00052FD1">
        <w:rPr>
          <w:rFonts w:ascii="Times New Roman" w:hAnsi="Times New Roman"/>
        </w:rPr>
        <w:t xml:space="preserve"> </w:t>
      </w:r>
      <w:r>
        <w:rPr>
          <w:rFonts w:ascii="Times New Roman" w:hAnsi="Times New Roman"/>
        </w:rPr>
        <w:t>1</w:t>
      </w:r>
      <w:bookmarkStart w:id="0" w:name="_GoBack"/>
      <w:bookmarkEnd w:id="0"/>
      <w:r>
        <w:rPr>
          <w:rFonts w:ascii="Times New Roman" w:hAnsi="Times New Roman"/>
        </w:rPr>
        <w:t xml:space="preserve"> </w:t>
      </w:r>
    </w:p>
    <w:p w14:paraId="36878742" w14:textId="77777777" w:rsidR="00E50F00" w:rsidRDefault="00E50F00" w:rsidP="00E50F00">
      <w:pPr>
        <w:jc w:val="center"/>
        <w:rPr>
          <w:rFonts w:ascii="Times New Roman" w:hAnsi="Times New Roman"/>
        </w:rPr>
      </w:pPr>
    </w:p>
    <w:p w14:paraId="085CD183" w14:textId="77777777" w:rsidR="00E50F00" w:rsidRPr="00E50F00" w:rsidRDefault="00A14988" w:rsidP="00E50F00">
      <w:pPr>
        <w:rPr>
          <w:rFonts w:ascii="Times New Roman" w:hAnsi="Times New Roman"/>
          <w:i/>
        </w:rPr>
      </w:pPr>
      <w:r>
        <w:rPr>
          <w:rFonts w:ascii="Times New Roman" w:hAnsi="Times New Roman"/>
          <w:i/>
          <w:lang w:eastAsia="zh-HK"/>
        </w:rPr>
        <w:t>Viral load assay</w:t>
      </w:r>
    </w:p>
    <w:p w14:paraId="6BDE3C98" w14:textId="77777777" w:rsidR="00E50F00" w:rsidRDefault="00E50F00" w:rsidP="00E50F00">
      <w:pPr>
        <w:spacing w:line="480" w:lineRule="auto"/>
        <w:ind w:firstLine="720"/>
        <w:jc w:val="both"/>
        <w:rPr>
          <w:rFonts w:ascii="Times New Roman" w:hAnsi="Times New Roman"/>
          <w:lang w:eastAsia="zh-HK"/>
        </w:rPr>
      </w:pPr>
      <w:r w:rsidRPr="003F0BDB">
        <w:rPr>
          <w:rFonts w:ascii="Times New Roman" w:hAnsi="Times New Roman"/>
          <w:lang w:eastAsia="zh-HK"/>
        </w:rPr>
        <w:t>The viral load</w:t>
      </w:r>
      <w:r>
        <w:rPr>
          <w:rFonts w:ascii="Times New Roman" w:hAnsi="Times New Roman"/>
          <w:lang w:eastAsia="zh-HK"/>
        </w:rPr>
        <w:t>s</w:t>
      </w:r>
      <w:r w:rsidRPr="003F0BDB">
        <w:rPr>
          <w:rFonts w:ascii="Times New Roman" w:hAnsi="Times New Roman"/>
          <w:lang w:eastAsia="zh-HK"/>
        </w:rPr>
        <w:t xml:space="preserve"> of the samples </w:t>
      </w:r>
      <w:r>
        <w:rPr>
          <w:rFonts w:ascii="Times New Roman" w:hAnsi="Times New Roman"/>
          <w:lang w:eastAsia="zh-HK"/>
        </w:rPr>
        <w:t>were</w:t>
      </w:r>
      <w:r w:rsidRPr="003F0BDB">
        <w:rPr>
          <w:rFonts w:ascii="Times New Roman" w:hAnsi="Times New Roman"/>
          <w:lang w:eastAsia="zh-HK"/>
        </w:rPr>
        <w:t xml:space="preserve"> determined by the SARS-CoV-2 </w:t>
      </w:r>
      <w:proofErr w:type="spellStart"/>
      <w:r w:rsidRPr="003F0BDB">
        <w:rPr>
          <w:rFonts w:ascii="Times New Roman" w:hAnsi="Times New Roman"/>
          <w:lang w:eastAsia="zh-HK"/>
        </w:rPr>
        <w:t>RdRp</w:t>
      </w:r>
      <w:proofErr w:type="spellEnd"/>
      <w:r w:rsidRPr="003F0BDB">
        <w:rPr>
          <w:rFonts w:ascii="Times New Roman" w:hAnsi="Times New Roman"/>
          <w:lang w:eastAsia="zh-HK"/>
        </w:rPr>
        <w:t>/Hel real-time RT-PCR as</w:t>
      </w:r>
      <w:r>
        <w:rPr>
          <w:rFonts w:ascii="Times New Roman" w:hAnsi="Times New Roman"/>
          <w:lang w:eastAsia="zh-HK"/>
        </w:rPr>
        <w:t xml:space="preserve"> we</w:t>
      </w:r>
      <w:r w:rsidRPr="003F0BDB">
        <w:rPr>
          <w:rFonts w:ascii="Times New Roman" w:hAnsi="Times New Roman"/>
          <w:lang w:eastAsia="zh-HK"/>
        </w:rPr>
        <w:t xml:space="preserve"> described previously</w:t>
      </w:r>
      <w:r>
        <w:rPr>
          <w:rFonts w:ascii="Times New Roman" w:hAnsi="Times New Roman"/>
          <w:lang w:eastAsia="zh-HK"/>
        </w:rPr>
        <w:t>.</w:t>
      </w:r>
      <w:r w:rsidRPr="00BD0FB3">
        <w:rPr>
          <w:rFonts w:ascii="Times New Roman" w:hAnsi="Times New Roman"/>
          <w:noProof/>
          <w:vertAlign w:val="superscript"/>
          <w:lang w:eastAsia="zh-HK"/>
        </w:rPr>
        <w:t>1</w:t>
      </w:r>
      <w:r w:rsidRPr="003F0BDB">
        <w:rPr>
          <w:rFonts w:ascii="Times New Roman" w:hAnsi="Times New Roman"/>
          <w:lang w:eastAsia="zh-HK"/>
        </w:rPr>
        <w:t xml:space="preserve"> </w:t>
      </w:r>
      <w:proofErr w:type="gramStart"/>
      <w:r>
        <w:rPr>
          <w:rFonts w:ascii="Times New Roman" w:hAnsi="Times New Roman"/>
          <w:lang w:eastAsia="zh-HK"/>
        </w:rPr>
        <w:t>To</w:t>
      </w:r>
      <w:proofErr w:type="gramEnd"/>
      <w:r>
        <w:rPr>
          <w:rFonts w:ascii="Times New Roman" w:hAnsi="Times New Roman"/>
          <w:lang w:eastAsia="zh-HK"/>
        </w:rPr>
        <w:t xml:space="preserve"> monitor for</w:t>
      </w:r>
      <w:r w:rsidRPr="003F0BDB">
        <w:rPr>
          <w:rFonts w:ascii="Times New Roman" w:hAnsi="Times New Roman"/>
          <w:lang w:eastAsia="zh-HK"/>
        </w:rPr>
        <w:t xml:space="preserve"> PCR inhibito</w:t>
      </w:r>
      <w:r>
        <w:rPr>
          <w:rFonts w:ascii="Times New Roman" w:hAnsi="Times New Roman"/>
          <w:lang w:eastAsia="zh-HK"/>
        </w:rPr>
        <w:t>rs</w:t>
      </w:r>
      <w:r w:rsidRPr="003F0BDB">
        <w:rPr>
          <w:rFonts w:ascii="Times New Roman" w:hAnsi="Times New Roman"/>
          <w:lang w:eastAsia="zh-HK"/>
        </w:rPr>
        <w:t xml:space="preserve"> in the gelatin filter samples, an </w:t>
      </w:r>
      <w:r>
        <w:rPr>
          <w:rFonts w:ascii="Times New Roman" w:hAnsi="Times New Roman"/>
          <w:lang w:eastAsia="zh-HK"/>
        </w:rPr>
        <w:t xml:space="preserve">inhibitor control </w:t>
      </w:r>
      <w:r w:rsidRPr="003F0BDB">
        <w:rPr>
          <w:rFonts w:ascii="Times New Roman" w:hAnsi="Times New Roman"/>
          <w:lang w:eastAsia="zh-HK"/>
        </w:rPr>
        <w:t>with 1 µ</w:t>
      </w:r>
      <w:r>
        <w:rPr>
          <w:rFonts w:ascii="Times New Roman" w:hAnsi="Times New Roman"/>
          <w:lang w:eastAsia="zh-HK"/>
        </w:rPr>
        <w:t>l</w:t>
      </w:r>
      <w:r w:rsidRPr="003F0BDB">
        <w:rPr>
          <w:rFonts w:ascii="Times New Roman" w:hAnsi="Times New Roman"/>
          <w:lang w:eastAsia="zh-HK"/>
        </w:rPr>
        <w:t xml:space="preserve"> of SARS-CoV-2 control RNA was spiked into</w:t>
      </w:r>
      <w:r>
        <w:rPr>
          <w:rFonts w:ascii="Times New Roman" w:hAnsi="Times New Roman"/>
          <w:lang w:eastAsia="zh-HK"/>
        </w:rPr>
        <w:t xml:space="preserve"> each</w:t>
      </w:r>
      <w:r w:rsidRPr="003F0BDB">
        <w:rPr>
          <w:rFonts w:ascii="Times New Roman" w:hAnsi="Times New Roman"/>
          <w:lang w:eastAsia="zh-HK"/>
        </w:rPr>
        <w:t xml:space="preserve"> </w:t>
      </w:r>
      <w:r>
        <w:rPr>
          <w:rFonts w:ascii="Times New Roman" w:hAnsi="Times New Roman"/>
          <w:lang w:eastAsia="zh-HK"/>
        </w:rPr>
        <w:t xml:space="preserve">additional </w:t>
      </w:r>
      <w:r w:rsidRPr="003F0BDB">
        <w:rPr>
          <w:rFonts w:ascii="Times New Roman" w:hAnsi="Times New Roman"/>
          <w:lang w:eastAsia="zh-HK"/>
        </w:rPr>
        <w:t xml:space="preserve">reaction. </w:t>
      </w:r>
      <w:r>
        <w:rPr>
          <w:rFonts w:ascii="Times New Roman" w:hAnsi="Times New Roman"/>
          <w:lang w:eastAsia="zh-HK"/>
        </w:rPr>
        <w:t>A c</w:t>
      </w:r>
      <w:r w:rsidRPr="003F0BDB">
        <w:rPr>
          <w:rFonts w:ascii="Times New Roman" w:hAnsi="Times New Roman"/>
          <w:lang w:eastAsia="zh-HK"/>
        </w:rPr>
        <w:t>ycle threshold</w:t>
      </w:r>
      <w:r>
        <w:rPr>
          <w:rFonts w:ascii="Times New Roman" w:hAnsi="Times New Roman"/>
          <w:lang w:eastAsia="zh-HK"/>
        </w:rPr>
        <w:t xml:space="preserve"> value of less than</w:t>
      </w:r>
      <w:r w:rsidRPr="003F0BDB">
        <w:rPr>
          <w:rFonts w:ascii="Times New Roman" w:hAnsi="Times New Roman"/>
          <w:lang w:eastAsia="zh-HK"/>
        </w:rPr>
        <w:t xml:space="preserve"> 28 was expected for the spiked </w:t>
      </w:r>
      <w:r>
        <w:rPr>
          <w:rFonts w:ascii="Times New Roman" w:hAnsi="Times New Roman"/>
          <w:lang w:eastAsia="zh-HK"/>
        </w:rPr>
        <w:t xml:space="preserve">control </w:t>
      </w:r>
      <w:r w:rsidRPr="003F0BDB">
        <w:rPr>
          <w:rFonts w:ascii="Times New Roman" w:hAnsi="Times New Roman"/>
          <w:lang w:eastAsia="zh-HK"/>
        </w:rPr>
        <w:t xml:space="preserve">reaction. The viral loads of COVID-19 confirmed patients were </w:t>
      </w:r>
      <w:r>
        <w:rPr>
          <w:rFonts w:ascii="Times New Roman" w:hAnsi="Times New Roman"/>
          <w:lang w:eastAsia="zh-HK"/>
        </w:rPr>
        <w:t>determined</w:t>
      </w:r>
      <w:r w:rsidRPr="003F0BDB">
        <w:rPr>
          <w:rFonts w:ascii="Times New Roman" w:hAnsi="Times New Roman"/>
          <w:lang w:eastAsia="zh-HK"/>
        </w:rPr>
        <w:t xml:space="preserve"> from routine clinical </w:t>
      </w:r>
      <w:r>
        <w:rPr>
          <w:rFonts w:ascii="Times New Roman" w:hAnsi="Times New Roman"/>
          <w:lang w:eastAsia="zh-HK"/>
        </w:rPr>
        <w:t>samples</w:t>
      </w:r>
      <w:r w:rsidRPr="003F0BDB">
        <w:rPr>
          <w:rFonts w:ascii="Times New Roman" w:hAnsi="Times New Roman"/>
          <w:lang w:eastAsia="zh-HK"/>
        </w:rPr>
        <w:t xml:space="preserve"> (nasopharyngeal swab, throat swab, and deep throat saliva) on the same day </w:t>
      </w:r>
      <w:r>
        <w:rPr>
          <w:rFonts w:ascii="Times New Roman" w:hAnsi="Times New Roman"/>
          <w:lang w:eastAsia="zh-HK"/>
        </w:rPr>
        <w:t>of the collected air sample.</w:t>
      </w:r>
    </w:p>
    <w:p w14:paraId="47C7814A" w14:textId="77777777" w:rsidR="00E50F00" w:rsidRDefault="00E50F00" w:rsidP="00E50F00">
      <w:pPr>
        <w:jc w:val="center"/>
        <w:rPr>
          <w:rFonts w:ascii="Times New Roman" w:hAnsi="Times New Roman"/>
        </w:rPr>
      </w:pPr>
    </w:p>
    <w:p w14:paraId="4BB7C747" w14:textId="77777777" w:rsidR="00E50F00" w:rsidRPr="00E50F00" w:rsidRDefault="00E50F00" w:rsidP="00E50F00">
      <w:pPr>
        <w:rPr>
          <w:rFonts w:ascii="Times New Roman" w:hAnsi="Times New Roman"/>
          <w:i/>
        </w:rPr>
      </w:pPr>
      <w:r w:rsidRPr="00E50F00">
        <w:rPr>
          <w:rFonts w:ascii="Times New Roman" w:hAnsi="Times New Roman"/>
          <w:i/>
        </w:rPr>
        <w:t>Correlation between viral load and plaque forming unit of SARS-CoV-2</w:t>
      </w:r>
    </w:p>
    <w:p w14:paraId="6464CF00" w14:textId="34161646" w:rsidR="00E50F00" w:rsidRPr="00DC502F" w:rsidRDefault="00E50F00" w:rsidP="00E50F00">
      <w:pPr>
        <w:spacing w:line="480" w:lineRule="auto"/>
        <w:ind w:firstLine="480"/>
        <w:jc w:val="both"/>
        <w:rPr>
          <w:rFonts w:ascii="Times New Roman" w:hAnsi="Times New Roman"/>
          <w:lang w:eastAsia="zh-HK"/>
        </w:rPr>
      </w:pPr>
      <w:r>
        <w:rPr>
          <w:rFonts w:ascii="Times New Roman" w:hAnsi="Times New Roman"/>
          <w:lang w:eastAsia="zh-HK"/>
        </w:rPr>
        <w:t>As we did not determine the infectiousness of the air sample by cell culture, we tr</w:t>
      </w:r>
      <w:r w:rsidR="00A920C1">
        <w:rPr>
          <w:rFonts w:ascii="Times New Roman" w:hAnsi="Times New Roman"/>
          <w:lang w:eastAsia="zh-HK"/>
        </w:rPr>
        <w:t>ied</w:t>
      </w:r>
      <w:r>
        <w:rPr>
          <w:rFonts w:ascii="Times New Roman" w:hAnsi="Times New Roman"/>
          <w:lang w:eastAsia="zh-HK"/>
        </w:rPr>
        <w:t xml:space="preserve"> to correlate the viral load results with the plaque forming units of SARS-CoV-2 in cell culture for comparison of our findings with previous reports. The same volume of virus stock harvested at 24 hours of growth from infected Vero E6 cell line was simultaneously assayed for viral load and plaque forming units. Briefly, </w:t>
      </w:r>
      <w:r w:rsidRPr="00DC502F">
        <w:rPr>
          <w:rFonts w:ascii="Times New Roman" w:hAnsi="Times New Roman"/>
          <w:lang w:eastAsia="zh-HK"/>
        </w:rPr>
        <w:t xml:space="preserve">Vero E6 cells were maintained in Dulbecco’s Modified Eagle’s Medium (DMEM) with 10% </w:t>
      </w:r>
      <w:r w:rsidRPr="001F2923">
        <w:rPr>
          <w:rFonts w:ascii="Times New Roman" w:hAnsi="Times New Roman"/>
          <w:lang w:eastAsia="zh-HK"/>
        </w:rPr>
        <w:t xml:space="preserve">fetal bovine serum </w:t>
      </w:r>
      <w:r>
        <w:rPr>
          <w:rFonts w:ascii="Times New Roman" w:hAnsi="Times New Roman"/>
          <w:lang w:eastAsia="zh-HK"/>
        </w:rPr>
        <w:t>(</w:t>
      </w:r>
      <w:r w:rsidRPr="00DC502F">
        <w:rPr>
          <w:rFonts w:ascii="Times New Roman" w:hAnsi="Times New Roman"/>
          <w:lang w:eastAsia="zh-HK"/>
        </w:rPr>
        <w:t>FBS</w:t>
      </w:r>
      <w:r>
        <w:rPr>
          <w:rFonts w:ascii="Times New Roman" w:hAnsi="Times New Roman"/>
          <w:lang w:eastAsia="zh-HK"/>
        </w:rPr>
        <w:t>)</w:t>
      </w:r>
      <w:r w:rsidRPr="00DC502F">
        <w:rPr>
          <w:rFonts w:ascii="Times New Roman" w:hAnsi="Times New Roman"/>
          <w:lang w:eastAsia="zh-HK"/>
        </w:rPr>
        <w:t>, 1% penicillin, and 1% streptomycin. The cells were seeded one day before the experiment at 2×10</w:t>
      </w:r>
      <w:r w:rsidRPr="00DC502F">
        <w:rPr>
          <w:rFonts w:ascii="Times New Roman" w:hAnsi="Times New Roman"/>
          <w:vertAlign w:val="superscript"/>
          <w:lang w:eastAsia="zh-HK"/>
        </w:rPr>
        <w:t>5</w:t>
      </w:r>
      <w:r w:rsidRPr="00DC502F">
        <w:rPr>
          <w:rFonts w:ascii="Times New Roman" w:hAnsi="Times New Roman"/>
          <w:lang w:eastAsia="zh-HK"/>
        </w:rPr>
        <w:t xml:space="preserve"> cells per well in 12-well plates and were allowed to grow at 37</w:t>
      </w:r>
      <w:r w:rsidRPr="00DC502F">
        <w:rPr>
          <w:rFonts w:ascii="Times New Roman" w:hAnsi="Times New Roman"/>
          <w:vertAlign w:val="superscript"/>
          <w:lang w:eastAsia="zh-HK"/>
        </w:rPr>
        <w:t>o</w:t>
      </w:r>
      <w:r w:rsidRPr="00DC502F">
        <w:rPr>
          <w:rFonts w:ascii="Times New Roman" w:hAnsi="Times New Roman"/>
          <w:lang w:eastAsia="zh-HK"/>
        </w:rPr>
        <w:t xml:space="preserve">C overnight. For the plaque assay, serially diluted samples were </w:t>
      </w:r>
      <w:r w:rsidRPr="00DC502F">
        <w:rPr>
          <w:rFonts w:ascii="Times New Roman" w:hAnsi="Times New Roman"/>
          <w:lang w:eastAsia="zh-HK"/>
        </w:rPr>
        <w:lastRenderedPageBreak/>
        <w:t>inoculated on the cells for 1 hour. Afterwards, 3% agarose/</w:t>
      </w:r>
      <w:r>
        <w:rPr>
          <w:rFonts w:ascii="Times New Roman" w:hAnsi="Times New Roman"/>
          <w:lang w:eastAsia="zh-HK"/>
        </w:rPr>
        <w:t>phosphate buffered saline (</w:t>
      </w:r>
      <w:r w:rsidRPr="00DC502F">
        <w:rPr>
          <w:rFonts w:ascii="Times New Roman" w:hAnsi="Times New Roman"/>
          <w:lang w:eastAsia="zh-HK"/>
        </w:rPr>
        <w:t>PBS</w:t>
      </w:r>
      <w:r>
        <w:rPr>
          <w:rFonts w:ascii="Times New Roman" w:hAnsi="Times New Roman"/>
          <w:lang w:eastAsia="zh-HK"/>
        </w:rPr>
        <w:t>)</w:t>
      </w:r>
      <w:r w:rsidRPr="00DC502F">
        <w:rPr>
          <w:rFonts w:ascii="Times New Roman" w:hAnsi="Times New Roman"/>
          <w:lang w:eastAsia="zh-HK"/>
        </w:rPr>
        <w:t xml:space="preserve"> was mixed with DMEM with 1.5% </w:t>
      </w:r>
      <w:r>
        <w:rPr>
          <w:rFonts w:ascii="Times New Roman" w:hAnsi="Times New Roman"/>
          <w:lang w:eastAsia="zh-HK"/>
        </w:rPr>
        <w:t>FBS</w:t>
      </w:r>
      <w:r w:rsidRPr="00DC502F">
        <w:rPr>
          <w:rFonts w:ascii="Times New Roman" w:hAnsi="Times New Roman"/>
          <w:lang w:eastAsia="zh-HK"/>
        </w:rPr>
        <w:t xml:space="preserve"> at a 1:2 ratio and applied </w:t>
      </w:r>
      <w:r>
        <w:rPr>
          <w:rFonts w:ascii="Times New Roman" w:hAnsi="Times New Roman"/>
          <w:lang w:eastAsia="zh-HK"/>
        </w:rPr>
        <w:t>on</w:t>
      </w:r>
      <w:r w:rsidRPr="00DC502F">
        <w:rPr>
          <w:rFonts w:ascii="Times New Roman" w:hAnsi="Times New Roman"/>
          <w:lang w:eastAsia="zh-HK"/>
        </w:rPr>
        <w:t>to the cells. The cells were incubated for 96 hours for plaque formation. The plaques were visualized by staining the plates with 1% crystal violet in 20% ethanol/distilled water for 15 minutes.</w:t>
      </w:r>
    </w:p>
    <w:p w14:paraId="0A661589" w14:textId="77777777" w:rsidR="00E50F00" w:rsidRDefault="00E50F00" w:rsidP="00E50F00">
      <w:pPr>
        <w:rPr>
          <w:rFonts w:ascii="Times New Roman" w:hAnsi="Times New Roman"/>
        </w:rPr>
      </w:pPr>
    </w:p>
    <w:p w14:paraId="5D332B72" w14:textId="77777777" w:rsidR="0027116F" w:rsidRPr="00D66189" w:rsidRDefault="0027116F">
      <w:pPr>
        <w:rPr>
          <w:rFonts w:ascii="Times New Roman" w:hAnsi="Times New Roman"/>
        </w:rPr>
      </w:pPr>
      <w:r w:rsidRPr="00D66189">
        <w:rPr>
          <w:rFonts w:ascii="Times New Roman" w:hAnsi="Times New Roman"/>
        </w:rPr>
        <w:t>Reference:</w:t>
      </w:r>
    </w:p>
    <w:p w14:paraId="0F16A21D" w14:textId="77777777" w:rsidR="0027116F" w:rsidRPr="00D66189" w:rsidRDefault="0027116F" w:rsidP="0027116F">
      <w:pPr>
        <w:pStyle w:val="EndNoteBibliography"/>
        <w:numPr>
          <w:ilvl w:val="0"/>
          <w:numId w:val="3"/>
        </w:numPr>
        <w:spacing w:after="0"/>
        <w:ind w:left="360"/>
        <w:rPr>
          <w:rFonts w:ascii="Times New Roman" w:hAnsi="Times New Roman"/>
        </w:rPr>
      </w:pPr>
      <w:r w:rsidRPr="00D66189">
        <w:rPr>
          <w:rFonts w:ascii="Times New Roman" w:hAnsi="Times New Roman"/>
        </w:rPr>
        <w:t>Chan JF, Yip CC, To KK, Tang TH, Wong SC, Leung KH, et al. Improved molecular diagnosis of COVID-19 by the novel, highly sensitive and specific COVID-19-RdRp/Hel real-time reverse transcription-polymerase chain reaction assay validated in vitro and with clinical specimens. J Clin Microbiol. 2020;58:e00310-20.</w:t>
      </w:r>
    </w:p>
    <w:p w14:paraId="7255E303" w14:textId="77777777" w:rsidR="0027116F" w:rsidRDefault="0027116F" w:rsidP="0027116F">
      <w:pPr>
        <w:ind w:left="360"/>
      </w:pPr>
    </w:p>
    <w:sectPr w:rsidR="0027116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F187E" w14:textId="77777777" w:rsidR="009D5090" w:rsidRDefault="009D5090" w:rsidP="00375F7A">
      <w:pPr>
        <w:spacing w:after="0"/>
      </w:pPr>
      <w:r>
        <w:separator/>
      </w:r>
    </w:p>
  </w:endnote>
  <w:endnote w:type="continuationSeparator" w:id="0">
    <w:p w14:paraId="2B0CDB6D" w14:textId="77777777" w:rsidR="009D5090" w:rsidRDefault="009D5090" w:rsidP="00375F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85280"/>
      <w:docPartObj>
        <w:docPartGallery w:val="Page Numbers (Bottom of Page)"/>
        <w:docPartUnique/>
      </w:docPartObj>
    </w:sdtPr>
    <w:sdtEndPr>
      <w:rPr>
        <w:noProof/>
      </w:rPr>
    </w:sdtEndPr>
    <w:sdtContent>
      <w:p w14:paraId="1E9658C9" w14:textId="77777777" w:rsidR="00375F7A" w:rsidRDefault="00375F7A">
        <w:pPr>
          <w:pStyle w:val="Footer"/>
          <w:jc w:val="right"/>
        </w:pPr>
        <w:r>
          <w:fldChar w:fldCharType="begin"/>
        </w:r>
        <w:r>
          <w:instrText xml:space="preserve"> PAGE   \* MERGEFORMAT </w:instrText>
        </w:r>
        <w:r>
          <w:fldChar w:fldCharType="separate"/>
        </w:r>
        <w:r w:rsidR="0068701A">
          <w:rPr>
            <w:noProof/>
          </w:rPr>
          <w:t>1</w:t>
        </w:r>
        <w:r>
          <w:rPr>
            <w:noProof/>
          </w:rPr>
          <w:fldChar w:fldCharType="end"/>
        </w:r>
      </w:p>
    </w:sdtContent>
  </w:sdt>
  <w:p w14:paraId="08D8DEBB" w14:textId="77777777" w:rsidR="00375F7A" w:rsidRDefault="00375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556E0" w14:textId="77777777" w:rsidR="009D5090" w:rsidRDefault="009D5090" w:rsidP="00375F7A">
      <w:pPr>
        <w:spacing w:after="0"/>
      </w:pPr>
      <w:r>
        <w:separator/>
      </w:r>
    </w:p>
  </w:footnote>
  <w:footnote w:type="continuationSeparator" w:id="0">
    <w:p w14:paraId="7B9A91BB" w14:textId="77777777" w:rsidR="009D5090" w:rsidRDefault="009D5090" w:rsidP="00375F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F24"/>
    <w:multiLevelType w:val="hybridMultilevel"/>
    <w:tmpl w:val="C85C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932C6"/>
    <w:multiLevelType w:val="hybridMultilevel"/>
    <w:tmpl w:val="04AEF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0B4322"/>
    <w:multiLevelType w:val="hybridMultilevel"/>
    <w:tmpl w:val="590EF2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ddharth Sridhar">
    <w15:presenceInfo w15:providerId="Windows Live" w15:userId="c36fab4eff8ac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0D"/>
    <w:rsid w:val="00052FD1"/>
    <w:rsid w:val="000654FE"/>
    <w:rsid w:val="000B2D8D"/>
    <w:rsid w:val="00105E4C"/>
    <w:rsid w:val="0027116F"/>
    <w:rsid w:val="00375F7A"/>
    <w:rsid w:val="00494419"/>
    <w:rsid w:val="0068701A"/>
    <w:rsid w:val="0068731E"/>
    <w:rsid w:val="008D3109"/>
    <w:rsid w:val="009D5090"/>
    <w:rsid w:val="00A14988"/>
    <w:rsid w:val="00A920C1"/>
    <w:rsid w:val="00AD5D9C"/>
    <w:rsid w:val="00B012EA"/>
    <w:rsid w:val="00C40928"/>
    <w:rsid w:val="00C4320D"/>
    <w:rsid w:val="00D66189"/>
    <w:rsid w:val="00DA3BF2"/>
    <w:rsid w:val="00DF6391"/>
    <w:rsid w:val="00E50F00"/>
    <w:rsid w:val="00E60E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0D"/>
    <w:pPr>
      <w:spacing w:after="120"/>
    </w:pPr>
    <w:rPr>
      <w:rFonts w:ascii="Cambria" w:eastAsia="PMingLiU" w:hAnsi="Cambria" w:cs="Times New Roman"/>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7116F"/>
    <w:pPr>
      <w:jc w:val="both"/>
    </w:pPr>
    <w:rPr>
      <w:noProof/>
    </w:rPr>
  </w:style>
  <w:style w:type="character" w:customStyle="1" w:styleId="EndNoteBibliographyChar">
    <w:name w:val="EndNote Bibliography Char"/>
    <w:basedOn w:val="DefaultParagraphFont"/>
    <w:link w:val="EndNoteBibliography"/>
    <w:rsid w:val="0027116F"/>
    <w:rPr>
      <w:rFonts w:ascii="Cambria" w:eastAsia="PMingLiU" w:hAnsi="Cambria" w:cs="Times New Roman"/>
      <w:noProof/>
      <w:kern w:val="0"/>
      <w:szCs w:val="24"/>
      <w:lang w:eastAsia="en-US"/>
    </w:rPr>
  </w:style>
  <w:style w:type="paragraph" w:styleId="Header">
    <w:name w:val="header"/>
    <w:basedOn w:val="Normal"/>
    <w:link w:val="HeaderChar"/>
    <w:uiPriority w:val="99"/>
    <w:unhideWhenUsed/>
    <w:rsid w:val="00375F7A"/>
    <w:pPr>
      <w:tabs>
        <w:tab w:val="center" w:pos="4680"/>
        <w:tab w:val="right" w:pos="9360"/>
      </w:tabs>
      <w:spacing w:after="0"/>
    </w:pPr>
  </w:style>
  <w:style w:type="character" w:customStyle="1" w:styleId="HeaderChar">
    <w:name w:val="Header Char"/>
    <w:basedOn w:val="DefaultParagraphFont"/>
    <w:link w:val="Header"/>
    <w:uiPriority w:val="99"/>
    <w:rsid w:val="00375F7A"/>
    <w:rPr>
      <w:rFonts w:ascii="Cambria" w:eastAsia="PMingLiU" w:hAnsi="Cambria" w:cs="Times New Roman"/>
      <w:kern w:val="0"/>
      <w:szCs w:val="24"/>
      <w:lang w:eastAsia="en-US"/>
    </w:rPr>
  </w:style>
  <w:style w:type="paragraph" w:styleId="Footer">
    <w:name w:val="footer"/>
    <w:basedOn w:val="Normal"/>
    <w:link w:val="FooterChar"/>
    <w:uiPriority w:val="99"/>
    <w:unhideWhenUsed/>
    <w:rsid w:val="00375F7A"/>
    <w:pPr>
      <w:tabs>
        <w:tab w:val="center" w:pos="4680"/>
        <w:tab w:val="right" w:pos="9360"/>
      </w:tabs>
      <w:spacing w:after="0"/>
    </w:pPr>
  </w:style>
  <w:style w:type="character" w:customStyle="1" w:styleId="FooterChar">
    <w:name w:val="Footer Char"/>
    <w:basedOn w:val="DefaultParagraphFont"/>
    <w:link w:val="Footer"/>
    <w:uiPriority w:val="99"/>
    <w:rsid w:val="00375F7A"/>
    <w:rPr>
      <w:rFonts w:ascii="Cambria" w:eastAsia="PMingLiU" w:hAnsi="Cambria" w:cs="Times New Roman"/>
      <w:kern w:val="0"/>
      <w:szCs w:val="24"/>
      <w:lang w:eastAsia="en-US"/>
    </w:rPr>
  </w:style>
  <w:style w:type="paragraph" w:styleId="BalloonText">
    <w:name w:val="Balloon Text"/>
    <w:basedOn w:val="Normal"/>
    <w:link w:val="BalloonTextChar"/>
    <w:uiPriority w:val="99"/>
    <w:semiHidden/>
    <w:unhideWhenUsed/>
    <w:rsid w:val="00A920C1"/>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920C1"/>
    <w:rPr>
      <w:rFonts w:ascii="Times New Roman" w:eastAsia="PMingLiU" w:hAnsi="Times New Roman"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0D"/>
    <w:pPr>
      <w:spacing w:after="120"/>
    </w:pPr>
    <w:rPr>
      <w:rFonts w:ascii="Cambria" w:eastAsia="PMingLiU" w:hAnsi="Cambria" w:cs="Times New Roman"/>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7116F"/>
    <w:pPr>
      <w:jc w:val="both"/>
    </w:pPr>
    <w:rPr>
      <w:noProof/>
    </w:rPr>
  </w:style>
  <w:style w:type="character" w:customStyle="1" w:styleId="EndNoteBibliographyChar">
    <w:name w:val="EndNote Bibliography Char"/>
    <w:basedOn w:val="DefaultParagraphFont"/>
    <w:link w:val="EndNoteBibliography"/>
    <w:rsid w:val="0027116F"/>
    <w:rPr>
      <w:rFonts w:ascii="Cambria" w:eastAsia="PMingLiU" w:hAnsi="Cambria" w:cs="Times New Roman"/>
      <w:noProof/>
      <w:kern w:val="0"/>
      <w:szCs w:val="24"/>
      <w:lang w:eastAsia="en-US"/>
    </w:rPr>
  </w:style>
  <w:style w:type="paragraph" w:styleId="Header">
    <w:name w:val="header"/>
    <w:basedOn w:val="Normal"/>
    <w:link w:val="HeaderChar"/>
    <w:uiPriority w:val="99"/>
    <w:unhideWhenUsed/>
    <w:rsid w:val="00375F7A"/>
    <w:pPr>
      <w:tabs>
        <w:tab w:val="center" w:pos="4680"/>
        <w:tab w:val="right" w:pos="9360"/>
      </w:tabs>
      <w:spacing w:after="0"/>
    </w:pPr>
  </w:style>
  <w:style w:type="character" w:customStyle="1" w:styleId="HeaderChar">
    <w:name w:val="Header Char"/>
    <w:basedOn w:val="DefaultParagraphFont"/>
    <w:link w:val="Header"/>
    <w:uiPriority w:val="99"/>
    <w:rsid w:val="00375F7A"/>
    <w:rPr>
      <w:rFonts w:ascii="Cambria" w:eastAsia="PMingLiU" w:hAnsi="Cambria" w:cs="Times New Roman"/>
      <w:kern w:val="0"/>
      <w:szCs w:val="24"/>
      <w:lang w:eastAsia="en-US"/>
    </w:rPr>
  </w:style>
  <w:style w:type="paragraph" w:styleId="Footer">
    <w:name w:val="footer"/>
    <w:basedOn w:val="Normal"/>
    <w:link w:val="FooterChar"/>
    <w:uiPriority w:val="99"/>
    <w:unhideWhenUsed/>
    <w:rsid w:val="00375F7A"/>
    <w:pPr>
      <w:tabs>
        <w:tab w:val="center" w:pos="4680"/>
        <w:tab w:val="right" w:pos="9360"/>
      </w:tabs>
      <w:spacing w:after="0"/>
    </w:pPr>
  </w:style>
  <w:style w:type="character" w:customStyle="1" w:styleId="FooterChar">
    <w:name w:val="Footer Char"/>
    <w:basedOn w:val="DefaultParagraphFont"/>
    <w:link w:val="Footer"/>
    <w:uiPriority w:val="99"/>
    <w:rsid w:val="00375F7A"/>
    <w:rPr>
      <w:rFonts w:ascii="Cambria" w:eastAsia="PMingLiU" w:hAnsi="Cambria" w:cs="Times New Roman"/>
      <w:kern w:val="0"/>
      <w:szCs w:val="24"/>
      <w:lang w:eastAsia="en-US"/>
    </w:rPr>
  </w:style>
  <w:style w:type="paragraph" w:styleId="BalloonText">
    <w:name w:val="Balloon Text"/>
    <w:basedOn w:val="Normal"/>
    <w:link w:val="BalloonTextChar"/>
    <w:uiPriority w:val="99"/>
    <w:semiHidden/>
    <w:unhideWhenUsed/>
    <w:rsid w:val="00A920C1"/>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920C1"/>
    <w:rPr>
      <w:rFonts w:ascii="Times New Roman" w:eastAsia="PMingLiU"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4</cp:revision>
  <dcterms:created xsi:type="dcterms:W3CDTF">2020-05-26T12:17:00Z</dcterms:created>
  <dcterms:modified xsi:type="dcterms:W3CDTF">2020-05-26T12:17:00Z</dcterms:modified>
</cp:coreProperties>
</file>