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3BF91" w14:textId="77777777" w:rsidR="00C93D0F" w:rsidRDefault="00C93D0F" w:rsidP="00C93D0F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Supplemental Figure 1: Clinical Practice Guideline </w:t>
      </w:r>
      <w:r>
        <w:rPr>
          <w:noProof/>
        </w:rPr>
        <w:drawing>
          <wp:inline distT="0" distB="0" distL="0" distR="0" wp14:anchorId="6B35DE8F" wp14:editId="0CA8150E">
            <wp:extent cx="7682202" cy="5920870"/>
            <wp:effectExtent l="4128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18" t="1064" r="720" b="865"/>
                    <a:stretch/>
                  </pic:blipFill>
                  <pic:spPr bwMode="auto">
                    <a:xfrm rot="16200000">
                      <a:off x="0" y="0"/>
                      <a:ext cx="7708408" cy="5941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F8F232" w14:textId="77777777" w:rsidR="00C93D0F" w:rsidRDefault="00C93D0F" w:rsidP="00C93D0F">
      <w:r w:rsidRPr="00A82C11">
        <w:rPr>
          <w:b/>
          <w:sz w:val="32"/>
        </w:rPr>
        <w:lastRenderedPageBreak/>
        <w:t xml:space="preserve"> </w:t>
      </w:r>
      <w:r>
        <w:t xml:space="preserve"> </w:t>
      </w:r>
      <w:r w:rsidRPr="000519EC">
        <w:rPr>
          <w:noProof/>
        </w:rPr>
        <w:drawing>
          <wp:inline distT="0" distB="0" distL="0" distR="0" wp14:anchorId="273C6C5D" wp14:editId="5416010D">
            <wp:extent cx="7529140" cy="5815350"/>
            <wp:effectExtent l="0" t="635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08" t="846" r="900" b="1518"/>
                    <a:stretch/>
                  </pic:blipFill>
                  <pic:spPr bwMode="auto">
                    <a:xfrm rot="16200000">
                      <a:off x="0" y="0"/>
                      <a:ext cx="7550292" cy="5831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03DCF" w14:textId="77777777" w:rsidR="00C93D0F" w:rsidRDefault="00C93D0F" w:rsidP="00C93D0F"/>
    <w:p w14:paraId="75FFF946" w14:textId="77777777" w:rsidR="00C93D0F" w:rsidRDefault="00C93D0F" w:rsidP="00C93D0F">
      <w:pPr>
        <w:rPr>
          <w:noProof/>
        </w:rPr>
      </w:pPr>
      <w:r>
        <w:br w:type="page"/>
      </w:r>
      <w:r w:rsidRPr="000519EC">
        <w:rPr>
          <w:noProof/>
        </w:rPr>
        <w:lastRenderedPageBreak/>
        <w:drawing>
          <wp:inline distT="0" distB="0" distL="0" distR="0" wp14:anchorId="6B3344AF" wp14:editId="28DEDC2C">
            <wp:extent cx="7735251" cy="5960693"/>
            <wp:effectExtent l="0" t="7937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64" t="957" r="1555" b="1544"/>
                    <a:stretch/>
                  </pic:blipFill>
                  <pic:spPr bwMode="auto">
                    <a:xfrm rot="16200000">
                      <a:off x="0" y="0"/>
                      <a:ext cx="7755817" cy="5976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519EC">
        <w:rPr>
          <w:noProof/>
        </w:rPr>
        <w:t xml:space="preserve"> </w:t>
      </w:r>
      <w:r w:rsidRPr="000519EC">
        <w:rPr>
          <w:noProof/>
        </w:rPr>
        <w:lastRenderedPageBreak/>
        <w:drawing>
          <wp:inline distT="0" distB="0" distL="0" distR="0" wp14:anchorId="08B13B5C" wp14:editId="123EF4D1">
            <wp:extent cx="7662864" cy="5916651"/>
            <wp:effectExtent l="0" t="3175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64" t="1163" r="899" b="1003"/>
                    <a:stretch/>
                  </pic:blipFill>
                  <pic:spPr bwMode="auto">
                    <a:xfrm rot="16200000">
                      <a:off x="0" y="0"/>
                      <a:ext cx="7697519" cy="5943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DCAB38" w14:textId="77777777" w:rsidR="004D1F9F" w:rsidRDefault="004D1F9F" w:rsidP="00C93D0F">
      <w:pPr>
        <w:rPr>
          <w:noProof/>
        </w:rPr>
      </w:pPr>
    </w:p>
    <w:p w14:paraId="6127D224" w14:textId="77777777" w:rsidR="004D1F9F" w:rsidRDefault="004D1F9F" w:rsidP="004D1F9F">
      <w:pPr>
        <w:rPr>
          <w:b/>
          <w:sz w:val="32"/>
        </w:rPr>
      </w:pPr>
      <w:r>
        <w:rPr>
          <w:b/>
          <w:sz w:val="32"/>
        </w:rPr>
        <w:lastRenderedPageBreak/>
        <w:t xml:space="preserve">Supplemental </w:t>
      </w:r>
      <w:r w:rsidRPr="007E020A">
        <w:rPr>
          <w:b/>
          <w:sz w:val="32"/>
        </w:rPr>
        <w:t>Figure 2: Pathogens</w:t>
      </w:r>
      <w:r>
        <w:rPr>
          <w:b/>
          <w:sz w:val="32"/>
        </w:rPr>
        <w:t xml:space="preserve"> detected using </w:t>
      </w:r>
      <w:proofErr w:type="spellStart"/>
      <w:r>
        <w:rPr>
          <w:b/>
          <w:sz w:val="32"/>
        </w:rPr>
        <w:t>mPCR</w:t>
      </w:r>
      <w:proofErr w:type="spellEnd"/>
      <w:r>
        <w:rPr>
          <w:b/>
          <w:sz w:val="32"/>
        </w:rPr>
        <w:t xml:space="preserve"> testing</w:t>
      </w:r>
    </w:p>
    <w:p w14:paraId="4FB58A91" w14:textId="2B8F3C19" w:rsidR="004D1F9F" w:rsidRDefault="004D1F9F" w:rsidP="004D1F9F">
      <w:pPr>
        <w:rPr>
          <w:b/>
          <w:sz w:val="32"/>
        </w:rPr>
      </w:pPr>
      <w:r>
        <w:rPr>
          <w:b/>
          <w:sz w:val="32"/>
        </w:rPr>
        <w:t>Supplemental Figure 2a</w:t>
      </w:r>
    </w:p>
    <w:p w14:paraId="0291AE34" w14:textId="77777777" w:rsidR="004D1F9F" w:rsidRDefault="004D1F9F" w:rsidP="004D1F9F">
      <w:pPr>
        <w:spacing w:line="240" w:lineRule="auto"/>
        <w:rPr>
          <w:b/>
          <w:sz w:val="32"/>
        </w:rPr>
      </w:pPr>
      <w:r>
        <w:rPr>
          <w:noProof/>
        </w:rPr>
        <w:drawing>
          <wp:inline distT="0" distB="0" distL="0" distR="0" wp14:anchorId="267C3A2F" wp14:editId="06D0E96E">
            <wp:extent cx="5943600" cy="3999865"/>
            <wp:effectExtent l="0" t="0" r="0" b="63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573EE95-E2C3-4A43-AFBE-2F849EC73C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9D4A5FB" w14:textId="77777777" w:rsidR="004D1F9F" w:rsidRDefault="004D1F9F" w:rsidP="004D1F9F">
      <w:pPr>
        <w:rPr>
          <w:sz w:val="24"/>
        </w:rPr>
      </w:pPr>
      <w:r w:rsidRPr="005244A6">
        <w:rPr>
          <w:b/>
          <w:sz w:val="24"/>
        </w:rPr>
        <w:t>Figure 2a</w:t>
      </w:r>
      <w:r>
        <w:rPr>
          <w:sz w:val="24"/>
        </w:rPr>
        <w:t>: Detected Respiratory Pathogens. Lighter colors represent single detections; darker colors represent co-detections with other organisms. P1 (1/1/2011-12/31/2014) and P2 (1/1/2015-4/30/2018) pathogens detected using batched R</w:t>
      </w:r>
      <w:r w:rsidRPr="00C36F26">
        <w:rPr>
          <w:sz w:val="24"/>
        </w:rPr>
        <w:t xml:space="preserve">espiratory </w:t>
      </w:r>
      <w:r>
        <w:rPr>
          <w:sz w:val="24"/>
        </w:rPr>
        <w:t>V</w:t>
      </w:r>
      <w:r w:rsidRPr="00C36F26">
        <w:rPr>
          <w:sz w:val="24"/>
        </w:rPr>
        <w:t xml:space="preserve">iral </w:t>
      </w:r>
      <w:r>
        <w:rPr>
          <w:sz w:val="24"/>
        </w:rPr>
        <w:t>P</w:t>
      </w:r>
      <w:r w:rsidRPr="00C36F26">
        <w:rPr>
          <w:sz w:val="24"/>
        </w:rPr>
        <w:t>anel (RVP)</w:t>
      </w:r>
      <w:r>
        <w:rPr>
          <w:sz w:val="24"/>
        </w:rPr>
        <w:t>;</w:t>
      </w:r>
      <w:r w:rsidRPr="00C36F26">
        <w:rPr>
          <w:sz w:val="24"/>
        </w:rPr>
        <w:t xml:space="preserve"> </w:t>
      </w:r>
      <w:r>
        <w:rPr>
          <w:sz w:val="24"/>
        </w:rPr>
        <w:t>P3 (5/1/2018-6/15/2019) pathogens detected using on-demand Respiratory Panel (RP). Pathogen abbreviations are as follows: Rhino/Enterovirus: Human Rhinovirus/Enterovirus; RSV: Respiratory Syncytial Virus; Parainfluenza: Parainfluenza 1, 2, 3, 4; Coronavirus: Coronavirus 229E, HKU1, OC43, NL63; Metapneumovirus: Human Metapneumovirus; Influenza: Influenza A/H1, A/H1-2009, A/H3, B. Enterovirus was not tested for in P1 or P2 but was co-detected with rhinovirus in P3 because the assay could not distinguish between these viruses. 76 pathogens were detected from 72 unique samples in P1; 83 pathogens were detected from 74 unique samples in P2; and 283 pathogens were detected from 247 unique samples in P3.</w:t>
      </w:r>
    </w:p>
    <w:p w14:paraId="5DF064A7" w14:textId="77777777" w:rsidR="004D1F9F" w:rsidRDefault="004D1F9F" w:rsidP="004D1F9F">
      <w:pPr>
        <w:rPr>
          <w:sz w:val="24"/>
        </w:rPr>
      </w:pPr>
    </w:p>
    <w:p w14:paraId="6A523CAC" w14:textId="77777777" w:rsidR="004D1F9F" w:rsidRPr="005244A6" w:rsidRDefault="004D1F9F" w:rsidP="004D1F9F">
      <w:pPr>
        <w:rPr>
          <w:sz w:val="24"/>
        </w:rPr>
      </w:pPr>
    </w:p>
    <w:p w14:paraId="6FEE82CD" w14:textId="77777777" w:rsidR="004D1F9F" w:rsidRDefault="004D1F9F" w:rsidP="004D1F9F">
      <w:pPr>
        <w:rPr>
          <w:b/>
          <w:sz w:val="32"/>
        </w:rPr>
      </w:pPr>
      <w:r>
        <w:rPr>
          <w:b/>
          <w:sz w:val="32"/>
        </w:rPr>
        <w:br w:type="page"/>
      </w:r>
    </w:p>
    <w:p w14:paraId="2C1CD707" w14:textId="58A381F4" w:rsidR="004D1F9F" w:rsidRDefault="004D1F9F" w:rsidP="004D1F9F">
      <w:pPr>
        <w:rPr>
          <w:b/>
          <w:sz w:val="32"/>
        </w:rPr>
      </w:pPr>
      <w:r>
        <w:rPr>
          <w:b/>
          <w:sz w:val="32"/>
        </w:rPr>
        <w:lastRenderedPageBreak/>
        <w:t>Supplemental Figure 2b</w:t>
      </w:r>
    </w:p>
    <w:p w14:paraId="6971F863" w14:textId="77777777" w:rsidR="004D1F9F" w:rsidRDefault="004D1F9F" w:rsidP="004D1F9F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7D7F6" wp14:editId="3744B848">
                <wp:simplePos x="0" y="0"/>
                <wp:positionH relativeFrom="column">
                  <wp:posOffset>1445895</wp:posOffset>
                </wp:positionH>
                <wp:positionV relativeFrom="paragraph">
                  <wp:posOffset>1253963</wp:posOffset>
                </wp:positionV>
                <wp:extent cx="36195" cy="36195"/>
                <wp:effectExtent l="12700" t="25400" r="27305" b="2730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" cy="3619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8F543" id="5-Point Star 8" o:spid="_x0000_s1026" style="position:absolute;margin-left:113.85pt;margin-top:98.75pt;width:2.8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" path="m,13825r13825,l18098,r4272,13825l36195,13825,25010,22370r4272,13825l18098,27650,6913,36195,11185,22370,,13825xe" fillcolor="windowText" strokeweight="1pt">
                <v:stroke joinstyle="miter"/>
                <v:path arrowok="t" o:connecttype="custom" o:connectlocs="0,13825;13825,13825;18098,0;22370,13825;36195,13825;25010,22370;29282,36195;18098,27650;6913,36195;11185,22370;0,13825" o:connectangles="0,0,0,0,0,0,0,0,0,0,0"/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E79AC" wp14:editId="5D6E9B51">
                <wp:simplePos x="0" y="0"/>
                <wp:positionH relativeFrom="column">
                  <wp:posOffset>3183890</wp:posOffset>
                </wp:positionH>
                <wp:positionV relativeFrom="paragraph">
                  <wp:posOffset>2854960</wp:posOffset>
                </wp:positionV>
                <wp:extent cx="36576" cy="36576"/>
                <wp:effectExtent l="12700" t="25400" r="27305" b="2730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" cy="36576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F45B" id="5-Point Star 9" o:spid="_x0000_s1026" style="position:absolute;margin-left:250.7pt;margin-top:224.8pt;width:2.9pt;height: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76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" path="m,13971r13971,l18288,r4317,13971l36576,13971,25273,22605r4318,13971l18288,27941,6985,36576,11303,22605,,13971xe" fillcolor="windowText" strokeweight="1pt">
                <v:stroke joinstyle="miter"/>
                <v:path arrowok="t" o:connecttype="custom" o:connectlocs="0,13971;13971,13971;18288,0;22605,13971;36576,13971;25273,22605;29591,36576;18288,27941;6985,36576;11303,22605;0,13971" o:connectangles="0,0,0,0,0,0,0,0,0,0,0"/>
              </v:shape>
            </w:pict>
          </mc:Fallback>
        </mc:AlternateContent>
      </w:r>
      <w:r w:rsidRPr="00334169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9587A" wp14:editId="53D4294B">
                <wp:simplePos x="0" y="0"/>
                <wp:positionH relativeFrom="margin">
                  <wp:posOffset>3715966</wp:posOffset>
                </wp:positionH>
                <wp:positionV relativeFrom="paragraph">
                  <wp:posOffset>3414341</wp:posOffset>
                </wp:positionV>
                <wp:extent cx="1721607" cy="31197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607" cy="311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FAE6D" w14:textId="77777777" w:rsidR="004D1F9F" w:rsidRPr="00D33DAB" w:rsidRDefault="004D1F9F" w:rsidP="004D1F9F">
                            <w:pPr>
                              <w:rPr>
                                <w:i/>
                                <w:color w:val="525252" w:themeColor="accent3" w:themeShade="80"/>
                                <w:sz w:val="24"/>
                              </w:rPr>
                            </w:pPr>
                            <w:r w:rsidRPr="00D33DAB">
                              <w:rPr>
                                <w:i/>
                                <w:color w:val="525252" w:themeColor="accent3" w:themeShade="80"/>
                                <w:sz w:val="24"/>
                              </w:rPr>
                              <w:t xml:space="preserve">E. coli     </w:t>
                            </w:r>
                            <w:r>
                              <w:rPr>
                                <w:i/>
                                <w:color w:val="525252" w:themeColor="accent3" w:themeShade="80"/>
                                <w:sz w:val="24"/>
                              </w:rPr>
                              <w:t xml:space="preserve">  </w:t>
                            </w:r>
                            <w:r w:rsidRPr="00D33DAB">
                              <w:rPr>
                                <w:i/>
                                <w:color w:val="525252" w:themeColor="accent3" w:themeShade="80"/>
                                <w:sz w:val="24"/>
                              </w:rPr>
                              <w:t xml:space="preserve">   S. agalactiae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958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6pt;margin-top:268.85pt;width:135.55pt;height:2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" stroked="f">
                <v:textbox>
                  <w:txbxContent>
                    <w:p w14:paraId="478FAE6D" w14:textId="77777777" w:rsidR="004D1F9F" w:rsidRPr="00D33DAB" w:rsidRDefault="004D1F9F" w:rsidP="004D1F9F">
                      <w:pPr>
                        <w:rPr>
                          <w:i/>
                          <w:color w:val="525252" w:themeColor="accent3" w:themeShade="80"/>
                          <w:sz w:val="24"/>
                        </w:rPr>
                      </w:pPr>
                      <w:r w:rsidRPr="00D33DAB">
                        <w:rPr>
                          <w:i/>
                          <w:color w:val="525252" w:themeColor="accent3" w:themeShade="80"/>
                          <w:sz w:val="24"/>
                        </w:rPr>
                        <w:t xml:space="preserve">E. coli     </w:t>
                      </w:r>
                      <w:r>
                        <w:rPr>
                          <w:i/>
                          <w:color w:val="525252" w:themeColor="accent3" w:themeShade="80"/>
                          <w:sz w:val="24"/>
                        </w:rPr>
                        <w:t xml:space="preserve">  </w:t>
                      </w:r>
                      <w:r w:rsidRPr="00D33DAB">
                        <w:rPr>
                          <w:i/>
                          <w:color w:val="525252" w:themeColor="accent3" w:themeShade="80"/>
                          <w:sz w:val="24"/>
                        </w:rPr>
                        <w:t xml:space="preserve">   S. agalactiae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410E85" wp14:editId="13D6C9DA">
            <wp:extent cx="5505855" cy="3754877"/>
            <wp:effectExtent l="0" t="0" r="0" b="1714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7A8E27F3-2ED8-43B1-BAF0-536BDF8C57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452EDCB" w14:textId="77777777" w:rsidR="004D1F9F" w:rsidRPr="005244A6" w:rsidRDefault="004D1F9F" w:rsidP="004D1F9F">
      <w:pPr>
        <w:rPr>
          <w:sz w:val="24"/>
        </w:rPr>
      </w:pPr>
      <w:r w:rsidRPr="005244A6">
        <w:rPr>
          <w:b/>
          <w:sz w:val="24"/>
        </w:rPr>
        <w:t>Figure 2b</w:t>
      </w:r>
      <w:r>
        <w:rPr>
          <w:sz w:val="24"/>
        </w:rPr>
        <w:t>: Pathogen detection from cerebrospinal fluid.</w:t>
      </w:r>
      <w:r w:rsidRPr="00334169">
        <w:rPr>
          <w:sz w:val="24"/>
        </w:rPr>
        <w:t xml:space="preserve"> </w:t>
      </w:r>
      <w:r>
        <w:rPr>
          <w:sz w:val="24"/>
        </w:rPr>
        <w:t xml:space="preserve">Using the Meningitis Encephalitis Panel (MEP). Lighter color represents single detections; darker color represents co-detections with other organisms. Cerebrospinal fluid </w:t>
      </w:r>
      <w:proofErr w:type="spellStart"/>
      <w:r>
        <w:rPr>
          <w:sz w:val="24"/>
        </w:rPr>
        <w:t>mPCR</w:t>
      </w:r>
      <w:proofErr w:type="spellEnd"/>
      <w:r>
        <w:rPr>
          <w:sz w:val="24"/>
        </w:rPr>
        <w:t xml:space="preserve"> testing was only available during P3 (5/1/2018-6/15/2019). Pathogen abbreviations are as follows: </w:t>
      </w:r>
      <w:proofErr w:type="spellStart"/>
      <w:r>
        <w:rPr>
          <w:sz w:val="24"/>
        </w:rPr>
        <w:t>Parechovirus</w:t>
      </w:r>
      <w:proofErr w:type="spellEnd"/>
      <w:r>
        <w:rPr>
          <w:sz w:val="24"/>
        </w:rPr>
        <w:t xml:space="preserve">: Human </w:t>
      </w:r>
      <w:proofErr w:type="spellStart"/>
      <w:r>
        <w:rPr>
          <w:sz w:val="24"/>
        </w:rPr>
        <w:t>Parechovirus</w:t>
      </w:r>
      <w:proofErr w:type="spellEnd"/>
      <w:r>
        <w:rPr>
          <w:sz w:val="24"/>
        </w:rPr>
        <w:t xml:space="preserve">; HHV-6: Human Herpes Virus 6; </w:t>
      </w:r>
      <w:r>
        <w:rPr>
          <w:i/>
          <w:iCs/>
          <w:sz w:val="24"/>
        </w:rPr>
        <w:t>E. coli</w:t>
      </w:r>
      <w:r>
        <w:rPr>
          <w:sz w:val="24"/>
        </w:rPr>
        <w:t xml:space="preserve">: </w:t>
      </w:r>
      <w:r w:rsidRPr="005F0EA5">
        <w:rPr>
          <w:i/>
          <w:iCs/>
          <w:sz w:val="24"/>
        </w:rPr>
        <w:t>Escherichia coli</w:t>
      </w:r>
      <w:r>
        <w:rPr>
          <w:sz w:val="24"/>
        </w:rPr>
        <w:t xml:space="preserve"> </w:t>
      </w:r>
      <w:r w:rsidRPr="005F0EA5">
        <w:rPr>
          <w:sz w:val="24"/>
        </w:rPr>
        <w:t>K1</w:t>
      </w:r>
      <w:r>
        <w:rPr>
          <w:sz w:val="24"/>
        </w:rPr>
        <w:t xml:space="preserve">; </w:t>
      </w:r>
      <w:r>
        <w:rPr>
          <w:i/>
          <w:iCs/>
          <w:sz w:val="24"/>
        </w:rPr>
        <w:t xml:space="preserve">S. agalactiae: Streptococcus agalactiae. </w:t>
      </w:r>
      <w:r>
        <w:rPr>
          <w:sz w:val="24"/>
        </w:rPr>
        <w:t xml:space="preserve"> Coinfections count as multiple pathogens.  *Indicates two subjects with detection of Enterovirus and HHV-6. 48 pathogens were detected from 46 unique samples.   </w:t>
      </w:r>
    </w:p>
    <w:p w14:paraId="0C7959F1" w14:textId="77777777" w:rsidR="004D1F9F" w:rsidRPr="00333123" w:rsidRDefault="004D1F9F" w:rsidP="004D1F9F">
      <w:pPr>
        <w:rPr>
          <w:b/>
          <w:sz w:val="32"/>
        </w:rPr>
      </w:pPr>
    </w:p>
    <w:p w14:paraId="780AF2C7" w14:textId="01E0C470" w:rsidR="00C93D0F" w:rsidRDefault="00C93D0F" w:rsidP="00C93D0F"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7"/>
        <w:gridCol w:w="1392"/>
        <w:gridCol w:w="1392"/>
        <w:gridCol w:w="1365"/>
        <w:gridCol w:w="1784"/>
      </w:tblGrid>
      <w:tr w:rsidR="00C93D0F" w14:paraId="38FC5BCC" w14:textId="77777777" w:rsidTr="00152056">
        <w:tc>
          <w:tcPr>
            <w:tcW w:w="9350" w:type="dxa"/>
            <w:gridSpan w:val="5"/>
          </w:tcPr>
          <w:p w14:paraId="5710C257" w14:textId="77777777" w:rsidR="00C93D0F" w:rsidRPr="00A82C11" w:rsidRDefault="00C93D0F" w:rsidP="00152056">
            <w:pPr>
              <w:rPr>
                <w:b/>
              </w:rPr>
            </w:pPr>
            <w:r>
              <w:rPr>
                <w:b/>
                <w:sz w:val="32"/>
              </w:rPr>
              <w:lastRenderedPageBreak/>
              <w:t xml:space="preserve">Supplemental </w:t>
            </w:r>
            <w:r w:rsidRPr="00A82C11">
              <w:rPr>
                <w:b/>
                <w:sz w:val="32"/>
              </w:rPr>
              <w:t xml:space="preserve">Table </w:t>
            </w:r>
            <w:r>
              <w:rPr>
                <w:b/>
                <w:sz w:val="32"/>
              </w:rPr>
              <w:t>1a: Outcomes among infants 0-28 days (n=1603)</w:t>
            </w:r>
          </w:p>
        </w:tc>
      </w:tr>
      <w:tr w:rsidR="00C93D0F" w14:paraId="098C97BE" w14:textId="77777777" w:rsidTr="00152056">
        <w:trPr>
          <w:trHeight w:val="446"/>
        </w:trPr>
        <w:tc>
          <w:tcPr>
            <w:tcW w:w="3417" w:type="dxa"/>
            <w:vAlign w:val="bottom"/>
          </w:tcPr>
          <w:p w14:paraId="445A72EE" w14:textId="77777777" w:rsidR="00C93D0F" w:rsidRPr="00A82C11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Outcome</w:t>
            </w:r>
          </w:p>
        </w:tc>
        <w:tc>
          <w:tcPr>
            <w:tcW w:w="1392" w:type="dxa"/>
            <w:vAlign w:val="bottom"/>
          </w:tcPr>
          <w:p w14:paraId="5CF7FBC9" w14:textId="77777777" w:rsidR="00C93D0F" w:rsidRPr="00A82C11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P1</w:t>
            </w:r>
          </w:p>
          <w:p w14:paraId="30833A5E" w14:textId="77777777" w:rsidR="00C93D0F" w:rsidRPr="00A82C11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n=</w:t>
            </w:r>
            <w:r>
              <w:rPr>
                <w:b/>
              </w:rPr>
              <w:t>679</w:t>
            </w:r>
          </w:p>
        </w:tc>
        <w:tc>
          <w:tcPr>
            <w:tcW w:w="1392" w:type="dxa"/>
            <w:vAlign w:val="bottom"/>
          </w:tcPr>
          <w:p w14:paraId="3562F4A7" w14:textId="77777777" w:rsidR="00C93D0F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P2</w:t>
            </w:r>
          </w:p>
          <w:p w14:paraId="30506F9A" w14:textId="77777777" w:rsidR="00C93D0F" w:rsidRPr="00A82C11" w:rsidRDefault="00C93D0F" w:rsidP="00152056">
            <w:pPr>
              <w:rPr>
                <w:b/>
              </w:rPr>
            </w:pPr>
            <w:r>
              <w:rPr>
                <w:b/>
              </w:rPr>
              <w:t>Guideline</w:t>
            </w:r>
          </w:p>
          <w:p w14:paraId="18D644FC" w14:textId="77777777" w:rsidR="00C93D0F" w:rsidRPr="00A82C11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n=</w:t>
            </w:r>
            <w:r>
              <w:rPr>
                <w:b/>
              </w:rPr>
              <w:t>676</w:t>
            </w:r>
          </w:p>
        </w:tc>
        <w:tc>
          <w:tcPr>
            <w:tcW w:w="1365" w:type="dxa"/>
            <w:vAlign w:val="bottom"/>
          </w:tcPr>
          <w:p w14:paraId="6F212972" w14:textId="77777777" w:rsidR="00C93D0F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P3</w:t>
            </w:r>
          </w:p>
          <w:p w14:paraId="663FF991" w14:textId="77777777" w:rsidR="00C93D0F" w:rsidRPr="00A82C11" w:rsidRDefault="00C93D0F" w:rsidP="00152056">
            <w:pPr>
              <w:rPr>
                <w:b/>
              </w:rPr>
            </w:pPr>
            <w:r>
              <w:rPr>
                <w:b/>
              </w:rPr>
              <w:t xml:space="preserve">Guideline plus rapid </w:t>
            </w:r>
            <w:proofErr w:type="spellStart"/>
            <w:r>
              <w:rPr>
                <w:b/>
              </w:rPr>
              <w:t>mPCR</w:t>
            </w:r>
            <w:proofErr w:type="spellEnd"/>
          </w:p>
          <w:p w14:paraId="3F5612F5" w14:textId="77777777" w:rsidR="00C93D0F" w:rsidRPr="00A82C11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n=</w:t>
            </w:r>
            <w:r>
              <w:rPr>
                <w:b/>
              </w:rPr>
              <w:t>248</w:t>
            </w:r>
          </w:p>
        </w:tc>
        <w:tc>
          <w:tcPr>
            <w:tcW w:w="1784" w:type="dxa"/>
            <w:vAlign w:val="bottom"/>
          </w:tcPr>
          <w:p w14:paraId="64220E54" w14:textId="77777777" w:rsidR="00C93D0F" w:rsidRPr="00C35395" w:rsidRDefault="00C93D0F" w:rsidP="00152056">
            <w:pPr>
              <w:rPr>
                <w:b/>
                <w:vertAlign w:val="superscript"/>
              </w:rPr>
            </w:pPr>
            <w:r>
              <w:rPr>
                <w:b/>
                <w:i/>
                <w:iCs/>
              </w:rPr>
              <w:t>P</w:t>
            </w:r>
            <w:r w:rsidRPr="00A82C11">
              <w:rPr>
                <w:b/>
              </w:rPr>
              <w:t>-value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a</w:t>
            </w:r>
          </w:p>
        </w:tc>
      </w:tr>
      <w:tr w:rsidR="00C93D0F" w14:paraId="27178B3F" w14:textId="77777777" w:rsidTr="00152056">
        <w:trPr>
          <w:trHeight w:val="446"/>
        </w:trPr>
        <w:tc>
          <w:tcPr>
            <w:tcW w:w="3417" w:type="dxa"/>
          </w:tcPr>
          <w:p w14:paraId="71A604B9" w14:textId="77777777" w:rsidR="00C93D0F" w:rsidRPr="00211B49" w:rsidRDefault="00C93D0F" w:rsidP="00152056">
            <w:pPr>
              <w:rPr>
                <w:vertAlign w:val="superscript"/>
              </w:rPr>
            </w:pPr>
            <w:r>
              <w:t xml:space="preserve">Admitted </w:t>
            </w:r>
            <w:r>
              <w:rPr>
                <w:vertAlign w:val="superscript"/>
              </w:rPr>
              <w:t>e</w:t>
            </w:r>
            <w:r>
              <w:t xml:space="preserve">, </w:t>
            </w:r>
            <w:r w:rsidRPr="00FB7130">
              <w:t>number (%)</w:t>
            </w:r>
          </w:p>
        </w:tc>
        <w:tc>
          <w:tcPr>
            <w:tcW w:w="1392" w:type="dxa"/>
          </w:tcPr>
          <w:p w14:paraId="09102FF6" w14:textId="77777777" w:rsidR="00C93D0F" w:rsidRDefault="00C93D0F" w:rsidP="00152056">
            <w:r>
              <w:t>637 (93.8)</w:t>
            </w:r>
          </w:p>
        </w:tc>
        <w:tc>
          <w:tcPr>
            <w:tcW w:w="1392" w:type="dxa"/>
          </w:tcPr>
          <w:p w14:paraId="4D0CA27E" w14:textId="77777777" w:rsidR="00C93D0F" w:rsidRDefault="00C93D0F" w:rsidP="00152056">
            <w:r>
              <w:t>638 (94.4)</w:t>
            </w:r>
          </w:p>
        </w:tc>
        <w:tc>
          <w:tcPr>
            <w:tcW w:w="1365" w:type="dxa"/>
          </w:tcPr>
          <w:p w14:paraId="78C2A977" w14:textId="77777777" w:rsidR="00C93D0F" w:rsidRDefault="00C93D0F" w:rsidP="00152056">
            <w:r>
              <w:t>231 (93.1)</w:t>
            </w:r>
          </w:p>
        </w:tc>
        <w:tc>
          <w:tcPr>
            <w:tcW w:w="1784" w:type="dxa"/>
          </w:tcPr>
          <w:p w14:paraId="5EEC376F" w14:textId="77777777" w:rsidR="00C93D0F" w:rsidRPr="00C35395" w:rsidRDefault="00C93D0F" w:rsidP="00152056">
            <w:pPr>
              <w:rPr>
                <w:vertAlign w:val="superscript"/>
              </w:rPr>
            </w:pPr>
            <w:r w:rsidRPr="00256331">
              <w:t>.77</w:t>
            </w:r>
          </w:p>
        </w:tc>
      </w:tr>
      <w:tr w:rsidR="00C93D0F" w14:paraId="487AF4BE" w14:textId="77777777" w:rsidTr="00152056">
        <w:trPr>
          <w:trHeight w:val="446"/>
        </w:trPr>
        <w:tc>
          <w:tcPr>
            <w:tcW w:w="3417" w:type="dxa"/>
          </w:tcPr>
          <w:p w14:paraId="4D45B545" w14:textId="77777777" w:rsidR="00C93D0F" w:rsidRPr="00FB7130" w:rsidRDefault="00C93D0F" w:rsidP="00152056">
            <w:r>
              <w:t xml:space="preserve">Inpatient LOS </w:t>
            </w:r>
            <w:proofErr w:type="spellStart"/>
            <w:proofErr w:type="gramStart"/>
            <w:r>
              <w:rPr>
                <w:vertAlign w:val="superscript"/>
              </w:rPr>
              <w:t>e,f</w:t>
            </w:r>
            <w:proofErr w:type="spellEnd"/>
            <w:proofErr w:type="gramEnd"/>
            <w:r>
              <w:t>, days, median (IQR)</w:t>
            </w:r>
          </w:p>
        </w:tc>
        <w:tc>
          <w:tcPr>
            <w:tcW w:w="1392" w:type="dxa"/>
          </w:tcPr>
          <w:p w14:paraId="0647F98D" w14:textId="77777777" w:rsidR="00C93D0F" w:rsidRDefault="00C93D0F" w:rsidP="00152056">
            <w:r>
              <w:t>2.1 (1.8-3.0)</w:t>
            </w:r>
          </w:p>
        </w:tc>
        <w:tc>
          <w:tcPr>
            <w:tcW w:w="1392" w:type="dxa"/>
          </w:tcPr>
          <w:p w14:paraId="123D55C4" w14:textId="77777777" w:rsidR="00C93D0F" w:rsidRDefault="00C93D0F" w:rsidP="00152056">
            <w:r>
              <w:t>1.9 (1.6-2.5)</w:t>
            </w:r>
          </w:p>
        </w:tc>
        <w:tc>
          <w:tcPr>
            <w:tcW w:w="1365" w:type="dxa"/>
          </w:tcPr>
          <w:p w14:paraId="560FF4E0" w14:textId="77777777" w:rsidR="00C93D0F" w:rsidRDefault="00C93D0F" w:rsidP="00152056">
            <w:r>
              <w:t>1.9 (1.5-2.5)</w:t>
            </w:r>
          </w:p>
        </w:tc>
        <w:tc>
          <w:tcPr>
            <w:tcW w:w="1784" w:type="dxa"/>
          </w:tcPr>
          <w:p w14:paraId="3D3229D0" w14:textId="77777777" w:rsidR="00C93D0F" w:rsidRPr="0071288E" w:rsidRDefault="00C93D0F" w:rsidP="00152056">
            <w:pPr>
              <w:rPr>
                <w:vertAlign w:val="superscript"/>
              </w:rPr>
            </w:pPr>
            <w:r>
              <w:t>&lt;.001</w:t>
            </w:r>
            <w:proofErr w:type="gramStart"/>
            <w:r>
              <w:rPr>
                <w:vertAlign w:val="superscript"/>
              </w:rPr>
              <w:t>b,c</w:t>
            </w:r>
            <w:proofErr w:type="gramEnd"/>
          </w:p>
        </w:tc>
      </w:tr>
      <w:tr w:rsidR="00C93D0F" w14:paraId="52FA319E" w14:textId="77777777" w:rsidTr="00152056">
        <w:trPr>
          <w:trHeight w:val="446"/>
        </w:trPr>
        <w:tc>
          <w:tcPr>
            <w:tcW w:w="3417" w:type="dxa"/>
          </w:tcPr>
          <w:p w14:paraId="300BF13E" w14:textId="77777777" w:rsidR="00C93D0F" w:rsidRDefault="00C93D0F" w:rsidP="00152056">
            <w:r>
              <w:t>Readmission within 30 days, number (%)</w:t>
            </w:r>
          </w:p>
        </w:tc>
        <w:tc>
          <w:tcPr>
            <w:tcW w:w="1392" w:type="dxa"/>
          </w:tcPr>
          <w:p w14:paraId="5532B7A8" w14:textId="77777777" w:rsidR="00C93D0F" w:rsidRDefault="00C93D0F" w:rsidP="00152056">
            <w:r>
              <w:t>35 (5.2)</w:t>
            </w:r>
          </w:p>
        </w:tc>
        <w:tc>
          <w:tcPr>
            <w:tcW w:w="1392" w:type="dxa"/>
          </w:tcPr>
          <w:p w14:paraId="15BC8399" w14:textId="77777777" w:rsidR="00C93D0F" w:rsidRPr="00B53D0B" w:rsidRDefault="00C93D0F" w:rsidP="00152056">
            <w:r w:rsidRPr="00B53D0B">
              <w:t>26 (3.8)</w:t>
            </w:r>
          </w:p>
        </w:tc>
        <w:tc>
          <w:tcPr>
            <w:tcW w:w="1365" w:type="dxa"/>
          </w:tcPr>
          <w:p w14:paraId="7C1136B5" w14:textId="77777777" w:rsidR="00C93D0F" w:rsidRPr="00B53D0B" w:rsidRDefault="00C93D0F" w:rsidP="00152056">
            <w:r w:rsidRPr="00B53D0B">
              <w:t>2</w:t>
            </w:r>
            <w:r>
              <w:t>5</w:t>
            </w:r>
            <w:r w:rsidRPr="00B53D0B">
              <w:t xml:space="preserve"> (</w:t>
            </w:r>
            <w:r>
              <w:t>10.1</w:t>
            </w:r>
            <w:r w:rsidRPr="00B53D0B">
              <w:t>)</w:t>
            </w:r>
          </w:p>
        </w:tc>
        <w:tc>
          <w:tcPr>
            <w:tcW w:w="1784" w:type="dxa"/>
          </w:tcPr>
          <w:p w14:paraId="3B6CAB73" w14:textId="77777777" w:rsidR="00C93D0F" w:rsidRDefault="00C93D0F" w:rsidP="00152056">
            <w:r>
              <w:t>.002</w:t>
            </w:r>
            <w:proofErr w:type="gramStart"/>
            <w:r>
              <w:rPr>
                <w:vertAlign w:val="superscript"/>
              </w:rPr>
              <w:t>b,d</w:t>
            </w:r>
            <w:proofErr w:type="gramEnd"/>
          </w:p>
        </w:tc>
      </w:tr>
      <w:tr w:rsidR="00C93D0F" w14:paraId="13DA8580" w14:textId="77777777" w:rsidTr="00152056">
        <w:trPr>
          <w:trHeight w:val="446"/>
        </w:trPr>
        <w:tc>
          <w:tcPr>
            <w:tcW w:w="3417" w:type="dxa"/>
          </w:tcPr>
          <w:p w14:paraId="634E683E" w14:textId="77777777" w:rsidR="00C93D0F" w:rsidRDefault="00C93D0F" w:rsidP="00152056">
            <w:r>
              <w:t>Deaths within 30 days, number (%)</w:t>
            </w:r>
          </w:p>
        </w:tc>
        <w:tc>
          <w:tcPr>
            <w:tcW w:w="1392" w:type="dxa"/>
          </w:tcPr>
          <w:p w14:paraId="5201F74D" w14:textId="77777777" w:rsidR="00C93D0F" w:rsidRDefault="00C93D0F" w:rsidP="00152056">
            <w:r>
              <w:t>1 (0.1)</w:t>
            </w:r>
          </w:p>
        </w:tc>
        <w:tc>
          <w:tcPr>
            <w:tcW w:w="1392" w:type="dxa"/>
          </w:tcPr>
          <w:p w14:paraId="30792A94" w14:textId="77777777" w:rsidR="00C93D0F" w:rsidRDefault="00C93D0F" w:rsidP="00152056">
            <w:r>
              <w:t>1 (0.1)</w:t>
            </w:r>
          </w:p>
        </w:tc>
        <w:tc>
          <w:tcPr>
            <w:tcW w:w="1365" w:type="dxa"/>
          </w:tcPr>
          <w:p w14:paraId="33632EEE" w14:textId="77777777" w:rsidR="00C93D0F" w:rsidRDefault="00C93D0F" w:rsidP="00152056">
            <w:r>
              <w:t>0 (0.0)</w:t>
            </w:r>
          </w:p>
        </w:tc>
        <w:tc>
          <w:tcPr>
            <w:tcW w:w="1784" w:type="dxa"/>
          </w:tcPr>
          <w:p w14:paraId="7F0C3F04" w14:textId="77777777" w:rsidR="00C93D0F" w:rsidRDefault="00C93D0F" w:rsidP="00152056">
            <w:r>
              <w:t>-----</w:t>
            </w:r>
          </w:p>
        </w:tc>
      </w:tr>
      <w:tr w:rsidR="00C93D0F" w14:paraId="583823BF" w14:textId="77777777" w:rsidTr="00152056">
        <w:trPr>
          <w:trHeight w:val="446"/>
        </w:trPr>
        <w:tc>
          <w:tcPr>
            <w:tcW w:w="9350" w:type="dxa"/>
            <w:gridSpan w:val="5"/>
          </w:tcPr>
          <w:p w14:paraId="41403B85" w14:textId="77777777" w:rsidR="00C93D0F" w:rsidRPr="00256331" w:rsidRDefault="00C93D0F" w:rsidP="00152056">
            <w:r w:rsidRPr="00256331">
              <w:rPr>
                <w:b/>
              </w:rPr>
              <w:t>Antimicrobial usage</w:t>
            </w:r>
          </w:p>
        </w:tc>
      </w:tr>
      <w:tr w:rsidR="00C93D0F" w14:paraId="6CCC6D50" w14:textId="77777777" w:rsidTr="00152056">
        <w:trPr>
          <w:trHeight w:val="446"/>
        </w:trPr>
        <w:tc>
          <w:tcPr>
            <w:tcW w:w="3417" w:type="dxa"/>
          </w:tcPr>
          <w:p w14:paraId="7CC04CB2" w14:textId="77777777" w:rsidR="00C93D0F" w:rsidRPr="00182866" w:rsidRDefault="00C93D0F" w:rsidP="00152056">
            <w:pPr>
              <w:rPr>
                <w:vertAlign w:val="superscript"/>
              </w:rPr>
            </w:pPr>
            <w:r>
              <w:rPr>
                <w:b/>
              </w:rPr>
              <w:t xml:space="preserve">  </w:t>
            </w:r>
            <w:r>
              <w:rPr>
                <w:bCs/>
              </w:rPr>
              <w:t>Received</w:t>
            </w:r>
            <w:r w:rsidRPr="006E08D5">
              <w:rPr>
                <w:bCs/>
              </w:rPr>
              <w:t xml:space="preserve"> </w:t>
            </w:r>
            <w:r w:rsidRPr="006E08D5">
              <w:t>no</w:t>
            </w:r>
            <w:r w:rsidRPr="00894772">
              <w:rPr>
                <w:b/>
              </w:rPr>
              <w:t xml:space="preserve"> </w:t>
            </w:r>
            <w:r w:rsidRPr="00894772">
              <w:t>antimicrobials</w:t>
            </w:r>
            <w:r>
              <w:rPr>
                <w:vertAlign w:val="superscript"/>
              </w:rPr>
              <w:t xml:space="preserve"> g</w:t>
            </w:r>
            <w:r>
              <w:t>, number (%)</w:t>
            </w:r>
          </w:p>
        </w:tc>
        <w:tc>
          <w:tcPr>
            <w:tcW w:w="1392" w:type="dxa"/>
          </w:tcPr>
          <w:p w14:paraId="784B4198" w14:textId="77777777" w:rsidR="00C93D0F" w:rsidRDefault="00C93D0F" w:rsidP="00152056">
            <w:r>
              <w:t>48 (7.1)</w:t>
            </w:r>
          </w:p>
        </w:tc>
        <w:tc>
          <w:tcPr>
            <w:tcW w:w="1392" w:type="dxa"/>
          </w:tcPr>
          <w:p w14:paraId="7A206B03" w14:textId="77777777" w:rsidR="00C93D0F" w:rsidRDefault="00C93D0F" w:rsidP="00152056">
            <w:r>
              <w:t>53 (7.8)</w:t>
            </w:r>
          </w:p>
        </w:tc>
        <w:tc>
          <w:tcPr>
            <w:tcW w:w="1365" w:type="dxa"/>
          </w:tcPr>
          <w:p w14:paraId="48B6499A" w14:textId="77777777" w:rsidR="00C93D0F" w:rsidRPr="008F6DEF" w:rsidRDefault="00C93D0F" w:rsidP="00152056">
            <w:r w:rsidRPr="008F6DEF">
              <w:t>36 (14.5)</w:t>
            </w:r>
          </w:p>
        </w:tc>
        <w:tc>
          <w:tcPr>
            <w:tcW w:w="1784" w:type="dxa"/>
          </w:tcPr>
          <w:p w14:paraId="143267FF" w14:textId="77777777" w:rsidR="00C93D0F" w:rsidRPr="008101A8" w:rsidRDefault="00C93D0F" w:rsidP="00152056">
            <w:pPr>
              <w:rPr>
                <w:vertAlign w:val="superscript"/>
              </w:rPr>
            </w:pPr>
            <w:r>
              <w:t>.001</w:t>
            </w:r>
            <w:proofErr w:type="gramStart"/>
            <w:r>
              <w:rPr>
                <w:vertAlign w:val="superscript"/>
              </w:rPr>
              <w:t>b,d</w:t>
            </w:r>
            <w:proofErr w:type="gramEnd"/>
          </w:p>
        </w:tc>
      </w:tr>
      <w:tr w:rsidR="00C93D0F" w14:paraId="7A1B8189" w14:textId="77777777" w:rsidTr="00152056">
        <w:trPr>
          <w:trHeight w:val="446"/>
        </w:trPr>
        <w:tc>
          <w:tcPr>
            <w:tcW w:w="3417" w:type="dxa"/>
          </w:tcPr>
          <w:p w14:paraId="798A816E" w14:textId="77777777" w:rsidR="00C93D0F" w:rsidRDefault="00C93D0F" w:rsidP="00152056">
            <w:r>
              <w:t xml:space="preserve">  Received a single dose of 1-2 antimicrobials </w:t>
            </w:r>
            <w:r>
              <w:rPr>
                <w:vertAlign w:val="superscript"/>
              </w:rPr>
              <w:t>g</w:t>
            </w:r>
            <w:r>
              <w:t>, number (%)</w:t>
            </w:r>
          </w:p>
        </w:tc>
        <w:tc>
          <w:tcPr>
            <w:tcW w:w="1392" w:type="dxa"/>
          </w:tcPr>
          <w:p w14:paraId="51946467" w14:textId="77777777" w:rsidR="00C93D0F" w:rsidRPr="00DF496F" w:rsidRDefault="00C93D0F" w:rsidP="00152056">
            <w:r>
              <w:t>3 (0.4)</w:t>
            </w:r>
          </w:p>
        </w:tc>
        <w:tc>
          <w:tcPr>
            <w:tcW w:w="1392" w:type="dxa"/>
          </w:tcPr>
          <w:p w14:paraId="44DC9E9B" w14:textId="77777777" w:rsidR="00C93D0F" w:rsidRPr="00DF496F" w:rsidRDefault="00C93D0F" w:rsidP="00152056">
            <w:r>
              <w:t>9 (1.3)</w:t>
            </w:r>
          </w:p>
        </w:tc>
        <w:tc>
          <w:tcPr>
            <w:tcW w:w="1365" w:type="dxa"/>
          </w:tcPr>
          <w:p w14:paraId="5EBD7C52" w14:textId="77777777" w:rsidR="00C93D0F" w:rsidRPr="008F6DEF" w:rsidRDefault="00C93D0F" w:rsidP="00152056">
            <w:r w:rsidRPr="008F6DEF">
              <w:t>3 (1.2)</w:t>
            </w:r>
          </w:p>
        </w:tc>
        <w:tc>
          <w:tcPr>
            <w:tcW w:w="1784" w:type="dxa"/>
          </w:tcPr>
          <w:p w14:paraId="265731BA" w14:textId="77777777" w:rsidR="00C93D0F" w:rsidRPr="00256331" w:rsidRDefault="00C93D0F" w:rsidP="00152056">
            <w:r>
              <w:t>.21</w:t>
            </w:r>
          </w:p>
        </w:tc>
      </w:tr>
      <w:tr w:rsidR="00C93D0F" w14:paraId="3CA185FB" w14:textId="77777777" w:rsidTr="00152056">
        <w:trPr>
          <w:trHeight w:val="446"/>
        </w:trPr>
        <w:tc>
          <w:tcPr>
            <w:tcW w:w="3417" w:type="dxa"/>
          </w:tcPr>
          <w:p w14:paraId="0C45643A" w14:textId="77777777" w:rsidR="00C93D0F" w:rsidRDefault="00C93D0F" w:rsidP="00152056">
            <w:r>
              <w:t xml:space="preserve">  Antibiotic </w:t>
            </w:r>
            <w:r w:rsidRPr="00182866">
              <w:t>duration</w:t>
            </w:r>
            <w:r>
              <w:rPr>
                <w:vertAlign w:val="superscript"/>
              </w:rPr>
              <w:t xml:space="preserve"> h</w:t>
            </w:r>
            <w:r>
              <w:t>, days, median (IQR)</w:t>
            </w:r>
          </w:p>
        </w:tc>
        <w:tc>
          <w:tcPr>
            <w:tcW w:w="1392" w:type="dxa"/>
          </w:tcPr>
          <w:p w14:paraId="5D22B77F" w14:textId="77777777" w:rsidR="00C93D0F" w:rsidRPr="00CB11DC" w:rsidRDefault="00C93D0F" w:rsidP="00152056">
            <w:r>
              <w:t>3.9 (3.2-4.5)</w:t>
            </w:r>
          </w:p>
        </w:tc>
        <w:tc>
          <w:tcPr>
            <w:tcW w:w="1392" w:type="dxa"/>
          </w:tcPr>
          <w:p w14:paraId="17E66658" w14:textId="77777777" w:rsidR="00C93D0F" w:rsidRPr="00CB11DC" w:rsidRDefault="00C93D0F" w:rsidP="00152056">
            <w:r>
              <w:t>2.8 (2.3-3.8)</w:t>
            </w:r>
          </w:p>
        </w:tc>
        <w:tc>
          <w:tcPr>
            <w:tcW w:w="1365" w:type="dxa"/>
          </w:tcPr>
          <w:p w14:paraId="7CF10453" w14:textId="77777777" w:rsidR="00C93D0F" w:rsidRPr="008F6DEF" w:rsidRDefault="00C93D0F" w:rsidP="00152056">
            <w:r w:rsidRPr="008F6DEF">
              <w:t>2.5 (1.9-2.8)</w:t>
            </w:r>
          </w:p>
        </w:tc>
        <w:tc>
          <w:tcPr>
            <w:tcW w:w="1784" w:type="dxa"/>
          </w:tcPr>
          <w:p w14:paraId="453FD37F" w14:textId="77777777" w:rsidR="00C93D0F" w:rsidRPr="0071288E" w:rsidRDefault="00C93D0F" w:rsidP="00152056">
            <w:pPr>
              <w:rPr>
                <w:vertAlign w:val="superscript"/>
              </w:rPr>
            </w:pPr>
            <w:r>
              <w:t>&lt;.001</w:t>
            </w:r>
            <w:proofErr w:type="gramStart"/>
            <w:r>
              <w:rPr>
                <w:vertAlign w:val="superscript"/>
              </w:rPr>
              <w:t>b,c</w:t>
            </w:r>
            <w:proofErr w:type="gramEnd"/>
            <w:r>
              <w:rPr>
                <w:vertAlign w:val="superscript"/>
              </w:rPr>
              <w:t>,d</w:t>
            </w:r>
          </w:p>
        </w:tc>
      </w:tr>
      <w:tr w:rsidR="00C93D0F" w14:paraId="7D88827A" w14:textId="77777777" w:rsidTr="00152056">
        <w:trPr>
          <w:trHeight w:val="446"/>
        </w:trPr>
        <w:tc>
          <w:tcPr>
            <w:tcW w:w="3417" w:type="dxa"/>
          </w:tcPr>
          <w:p w14:paraId="1B9DB5AB" w14:textId="77777777" w:rsidR="00C93D0F" w:rsidRPr="00CB11DC" w:rsidRDefault="00C93D0F" w:rsidP="00152056">
            <w:r>
              <w:t xml:space="preserve">  Antiviral</w:t>
            </w:r>
            <w:r w:rsidRPr="00CB11DC">
              <w:t xml:space="preserve"> duration</w:t>
            </w:r>
            <w:r>
              <w:rPr>
                <w:vertAlign w:val="superscript"/>
              </w:rPr>
              <w:t xml:space="preserve"> i</w:t>
            </w:r>
            <w:r>
              <w:t xml:space="preserve">, </w:t>
            </w:r>
            <w:r w:rsidRPr="00CB11DC">
              <w:t>days</w:t>
            </w:r>
            <w:r>
              <w:t>, median (IQR)</w:t>
            </w:r>
          </w:p>
        </w:tc>
        <w:tc>
          <w:tcPr>
            <w:tcW w:w="1392" w:type="dxa"/>
          </w:tcPr>
          <w:p w14:paraId="0C4F1F8A" w14:textId="77777777" w:rsidR="00C93D0F" w:rsidRPr="00CB11DC" w:rsidRDefault="00C93D0F" w:rsidP="00152056">
            <w:r>
              <w:t>1.4 (0.9-1.9)</w:t>
            </w:r>
          </w:p>
        </w:tc>
        <w:tc>
          <w:tcPr>
            <w:tcW w:w="1392" w:type="dxa"/>
          </w:tcPr>
          <w:p w14:paraId="5279B05F" w14:textId="77777777" w:rsidR="00C93D0F" w:rsidRPr="00CB11DC" w:rsidRDefault="00C93D0F" w:rsidP="00152056">
            <w:r>
              <w:t>1.0 (0.7-1.7)</w:t>
            </w:r>
          </w:p>
        </w:tc>
        <w:tc>
          <w:tcPr>
            <w:tcW w:w="1365" w:type="dxa"/>
          </w:tcPr>
          <w:p w14:paraId="2170120B" w14:textId="77777777" w:rsidR="00C93D0F" w:rsidRPr="008F6DEF" w:rsidRDefault="00C93D0F" w:rsidP="00152056">
            <w:r w:rsidRPr="008F6DEF">
              <w:t>1.0 (0.6-1.6)</w:t>
            </w:r>
          </w:p>
        </w:tc>
        <w:tc>
          <w:tcPr>
            <w:tcW w:w="1784" w:type="dxa"/>
          </w:tcPr>
          <w:p w14:paraId="6370E831" w14:textId="77777777" w:rsidR="00C93D0F" w:rsidRPr="0071288E" w:rsidRDefault="00C93D0F" w:rsidP="00152056">
            <w:pPr>
              <w:rPr>
                <w:vertAlign w:val="superscript"/>
              </w:rPr>
            </w:pPr>
            <w:r>
              <w:t>&lt;.001</w:t>
            </w:r>
            <w:proofErr w:type="gramStart"/>
            <w:r>
              <w:rPr>
                <w:vertAlign w:val="superscript"/>
              </w:rPr>
              <w:t>b,c</w:t>
            </w:r>
            <w:proofErr w:type="gramEnd"/>
          </w:p>
        </w:tc>
      </w:tr>
      <w:tr w:rsidR="00C93D0F" w14:paraId="605375BB" w14:textId="77777777" w:rsidTr="00152056">
        <w:trPr>
          <w:trHeight w:val="446"/>
        </w:trPr>
        <w:tc>
          <w:tcPr>
            <w:tcW w:w="3417" w:type="dxa"/>
          </w:tcPr>
          <w:p w14:paraId="79028AFD" w14:textId="77777777" w:rsidR="00C93D0F" w:rsidRPr="00D23897" w:rsidRDefault="00C93D0F" w:rsidP="00152056">
            <w:pPr>
              <w:rPr>
                <w:vertAlign w:val="superscript"/>
              </w:rPr>
            </w:pPr>
            <w:r>
              <w:t>N</w:t>
            </w:r>
            <w:r w:rsidRPr="00894772">
              <w:t xml:space="preserve">umber of ancillary tests per </w:t>
            </w:r>
            <w:r w:rsidRPr="00182866">
              <w:t>patient</w:t>
            </w:r>
            <w:r>
              <w:t xml:space="preserve"> </w:t>
            </w:r>
            <w:r>
              <w:rPr>
                <w:vertAlign w:val="superscript"/>
              </w:rPr>
              <w:t>j</w:t>
            </w:r>
            <w:r>
              <w:t>, median (IQR)</w:t>
            </w:r>
          </w:p>
        </w:tc>
        <w:tc>
          <w:tcPr>
            <w:tcW w:w="1392" w:type="dxa"/>
          </w:tcPr>
          <w:p w14:paraId="719AF1BC" w14:textId="77777777" w:rsidR="00C93D0F" w:rsidRDefault="00C93D0F" w:rsidP="00152056">
            <w:r>
              <w:t>9 (8-11)</w:t>
            </w:r>
          </w:p>
        </w:tc>
        <w:tc>
          <w:tcPr>
            <w:tcW w:w="1392" w:type="dxa"/>
          </w:tcPr>
          <w:p w14:paraId="6038B3CE" w14:textId="77777777" w:rsidR="00C93D0F" w:rsidRDefault="00C93D0F" w:rsidP="00152056">
            <w:r>
              <w:t>10 (7-11)</w:t>
            </w:r>
          </w:p>
        </w:tc>
        <w:tc>
          <w:tcPr>
            <w:tcW w:w="1365" w:type="dxa"/>
          </w:tcPr>
          <w:p w14:paraId="7A56BF13" w14:textId="77777777" w:rsidR="00C93D0F" w:rsidRPr="008F6DEF" w:rsidRDefault="00C93D0F" w:rsidP="00152056">
            <w:r w:rsidRPr="008F6DEF">
              <w:t>6.5 (3-8)</w:t>
            </w:r>
          </w:p>
        </w:tc>
        <w:tc>
          <w:tcPr>
            <w:tcW w:w="1784" w:type="dxa"/>
          </w:tcPr>
          <w:p w14:paraId="6CED228D" w14:textId="77777777" w:rsidR="00C93D0F" w:rsidRPr="0071288E" w:rsidRDefault="00C93D0F" w:rsidP="00152056">
            <w:pPr>
              <w:rPr>
                <w:vertAlign w:val="subscript"/>
              </w:rPr>
            </w:pPr>
            <w:r>
              <w:t>&lt;.001</w:t>
            </w:r>
            <w:proofErr w:type="gramStart"/>
            <w:r w:rsidRPr="0071288E">
              <w:rPr>
                <w:vertAlign w:val="superscript"/>
              </w:rPr>
              <w:t>b</w:t>
            </w:r>
            <w:r>
              <w:rPr>
                <w:vertAlign w:val="superscript"/>
              </w:rPr>
              <w:t>,d</w:t>
            </w:r>
            <w:proofErr w:type="gramEnd"/>
          </w:p>
        </w:tc>
      </w:tr>
      <w:tr w:rsidR="00C93D0F" w14:paraId="28B97D77" w14:textId="77777777" w:rsidTr="00152056">
        <w:trPr>
          <w:trHeight w:val="446"/>
        </w:trPr>
        <w:tc>
          <w:tcPr>
            <w:tcW w:w="3417" w:type="dxa"/>
          </w:tcPr>
          <w:p w14:paraId="7CD8602B" w14:textId="77777777" w:rsidR="00C93D0F" w:rsidRDefault="00C93D0F" w:rsidP="00152056">
            <w:r w:rsidRPr="00894772">
              <w:t>Receiv</w:t>
            </w:r>
            <w:r>
              <w:t>ed</w:t>
            </w:r>
            <w:r w:rsidRPr="00894772">
              <w:t xml:space="preserve"> </w:t>
            </w:r>
            <w:r>
              <w:t>c</w:t>
            </w:r>
            <w:r w:rsidRPr="00894772">
              <w:t xml:space="preserve">hest </w:t>
            </w:r>
            <w:r>
              <w:t>radiograph, n</w:t>
            </w:r>
            <w:r w:rsidRPr="00894772">
              <w:t>umber (%)</w:t>
            </w:r>
          </w:p>
        </w:tc>
        <w:tc>
          <w:tcPr>
            <w:tcW w:w="1392" w:type="dxa"/>
          </w:tcPr>
          <w:p w14:paraId="13EE5EA4" w14:textId="77777777" w:rsidR="00C93D0F" w:rsidRDefault="00C93D0F" w:rsidP="00152056">
            <w:r>
              <w:t>188 (27.7)</w:t>
            </w:r>
          </w:p>
        </w:tc>
        <w:tc>
          <w:tcPr>
            <w:tcW w:w="1392" w:type="dxa"/>
          </w:tcPr>
          <w:p w14:paraId="3AB1675C" w14:textId="77777777" w:rsidR="00C93D0F" w:rsidRDefault="00C93D0F" w:rsidP="00152056">
            <w:r>
              <w:t>98 (14.5)</w:t>
            </w:r>
          </w:p>
        </w:tc>
        <w:tc>
          <w:tcPr>
            <w:tcW w:w="1365" w:type="dxa"/>
          </w:tcPr>
          <w:p w14:paraId="42D70D96" w14:textId="77777777" w:rsidR="00C93D0F" w:rsidRPr="008F6DEF" w:rsidRDefault="00C93D0F" w:rsidP="00152056">
            <w:r w:rsidRPr="008F6DEF">
              <w:t>25 (10.1)</w:t>
            </w:r>
          </w:p>
        </w:tc>
        <w:tc>
          <w:tcPr>
            <w:tcW w:w="1784" w:type="dxa"/>
          </w:tcPr>
          <w:p w14:paraId="4F31132D" w14:textId="77777777" w:rsidR="00C93D0F" w:rsidRPr="0071288E" w:rsidRDefault="00C93D0F" w:rsidP="00152056">
            <w:pPr>
              <w:rPr>
                <w:vertAlign w:val="superscript"/>
              </w:rPr>
            </w:pPr>
            <w:r>
              <w:t>&lt;.001</w:t>
            </w:r>
            <w:proofErr w:type="gramStart"/>
            <w:r>
              <w:rPr>
                <w:vertAlign w:val="superscript"/>
              </w:rPr>
              <w:t>b,c</w:t>
            </w:r>
            <w:proofErr w:type="gramEnd"/>
          </w:p>
        </w:tc>
      </w:tr>
      <w:tr w:rsidR="00C93D0F" w14:paraId="28F2D0CA" w14:textId="77777777" w:rsidTr="00152056">
        <w:trPr>
          <w:trHeight w:val="446"/>
        </w:trPr>
        <w:tc>
          <w:tcPr>
            <w:tcW w:w="3417" w:type="dxa"/>
          </w:tcPr>
          <w:p w14:paraId="6F0F0915" w14:textId="77777777" w:rsidR="00C93D0F" w:rsidRPr="00D23897" w:rsidRDefault="00C93D0F" w:rsidP="00152056">
            <w:pPr>
              <w:rPr>
                <w:vertAlign w:val="superscript"/>
              </w:rPr>
            </w:pPr>
            <w:r w:rsidRPr="00894772">
              <w:t>Receiv</w:t>
            </w:r>
            <w:r>
              <w:t>ed</w:t>
            </w:r>
            <w:r w:rsidRPr="00894772">
              <w:t xml:space="preserve"> </w:t>
            </w:r>
            <w:r>
              <w:t>lumbar puncture, n</w:t>
            </w:r>
            <w:r w:rsidRPr="00894772">
              <w:t>umber (%)</w:t>
            </w:r>
          </w:p>
        </w:tc>
        <w:tc>
          <w:tcPr>
            <w:tcW w:w="1392" w:type="dxa"/>
          </w:tcPr>
          <w:p w14:paraId="2EDC5614" w14:textId="77777777" w:rsidR="00C93D0F" w:rsidRDefault="00C93D0F" w:rsidP="00152056">
            <w:r>
              <w:t>568 (83.7)</w:t>
            </w:r>
          </w:p>
        </w:tc>
        <w:tc>
          <w:tcPr>
            <w:tcW w:w="1392" w:type="dxa"/>
          </w:tcPr>
          <w:p w14:paraId="55DF0306" w14:textId="77777777" w:rsidR="00C93D0F" w:rsidRDefault="00C93D0F" w:rsidP="00152056">
            <w:r>
              <w:t>533 (78.8)</w:t>
            </w:r>
          </w:p>
        </w:tc>
        <w:tc>
          <w:tcPr>
            <w:tcW w:w="1365" w:type="dxa"/>
          </w:tcPr>
          <w:p w14:paraId="6783DB23" w14:textId="77777777" w:rsidR="00C93D0F" w:rsidRDefault="00C93D0F" w:rsidP="00152056">
            <w:r>
              <w:t>185 (74.6)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487AC560" w14:textId="77777777" w:rsidR="00C93D0F" w:rsidRPr="0071288E" w:rsidRDefault="00C93D0F" w:rsidP="00152056">
            <w:pPr>
              <w:rPr>
                <w:vertAlign w:val="superscript"/>
              </w:rPr>
            </w:pPr>
            <w:r>
              <w:t>.005</w:t>
            </w:r>
            <w:proofErr w:type="gramStart"/>
            <w:r>
              <w:rPr>
                <w:vertAlign w:val="superscript"/>
              </w:rPr>
              <w:t>b,c</w:t>
            </w:r>
            <w:proofErr w:type="gramEnd"/>
          </w:p>
        </w:tc>
      </w:tr>
    </w:tbl>
    <w:p w14:paraId="064091DB" w14:textId="77777777" w:rsidR="00C93D0F" w:rsidRDefault="00C93D0F" w:rsidP="00C93D0F">
      <w:pPr>
        <w:spacing w:after="0" w:line="240" w:lineRule="auto"/>
      </w:pPr>
      <w:r>
        <w:t>P1: 1/1/2011-12/31/2014; no clinical practice guideline or rapid multiplex polymerase chain reaction (</w:t>
      </w:r>
      <w:proofErr w:type="spellStart"/>
      <w:r>
        <w:t>mPCR</w:t>
      </w:r>
      <w:proofErr w:type="spellEnd"/>
      <w:r>
        <w:t xml:space="preserve">) testing </w:t>
      </w:r>
    </w:p>
    <w:p w14:paraId="76282212" w14:textId="77777777" w:rsidR="00C93D0F" w:rsidRDefault="00C93D0F" w:rsidP="00C93D0F">
      <w:pPr>
        <w:spacing w:after="0" w:line="240" w:lineRule="auto"/>
      </w:pPr>
      <w:r>
        <w:t xml:space="preserve">P2: 1/1/2015-4/30/2018; clinical practice guideline available, no rapid </w:t>
      </w:r>
      <w:proofErr w:type="spellStart"/>
      <w:r>
        <w:t>mPCR</w:t>
      </w:r>
      <w:proofErr w:type="spellEnd"/>
      <w:r>
        <w:t xml:space="preserve"> testing</w:t>
      </w:r>
    </w:p>
    <w:p w14:paraId="7CB0107C" w14:textId="77777777" w:rsidR="00C93D0F" w:rsidRPr="00E707B5" w:rsidRDefault="00C93D0F" w:rsidP="00C93D0F">
      <w:pPr>
        <w:spacing w:after="0" w:line="240" w:lineRule="auto"/>
      </w:pPr>
      <w:r>
        <w:t xml:space="preserve">P3: 5/1/2018-6/15/2019; clinical practice guideline and rapid </w:t>
      </w:r>
      <w:proofErr w:type="spellStart"/>
      <w:r>
        <w:t>mPCR</w:t>
      </w:r>
      <w:proofErr w:type="spellEnd"/>
      <w:r>
        <w:t xml:space="preserve"> testing available</w:t>
      </w:r>
    </w:p>
    <w:p w14:paraId="0975604F" w14:textId="77777777" w:rsidR="00C93D0F" w:rsidRPr="00D820C8" w:rsidRDefault="00C93D0F" w:rsidP="00C93D0F">
      <w:pPr>
        <w:spacing w:after="0" w:line="240" w:lineRule="auto"/>
      </w:pPr>
      <w:r>
        <w:rPr>
          <w:vertAlign w:val="superscript"/>
        </w:rPr>
        <w:t xml:space="preserve">a </w:t>
      </w:r>
      <w:r>
        <w:t>P-value shown comparing all 3 periods</w:t>
      </w:r>
    </w:p>
    <w:p w14:paraId="76FC6287" w14:textId="77777777" w:rsidR="00C93D0F" w:rsidRPr="00D820C8" w:rsidRDefault="00C93D0F" w:rsidP="00C93D0F">
      <w:pPr>
        <w:spacing w:after="0" w:line="240" w:lineRule="auto"/>
      </w:pPr>
      <w:r>
        <w:rPr>
          <w:vertAlign w:val="superscript"/>
        </w:rPr>
        <w:t xml:space="preserve">b </w:t>
      </w:r>
      <w:r>
        <w:t>Significant difference between all 3 periods, with P-value &lt;.05</w:t>
      </w:r>
    </w:p>
    <w:p w14:paraId="4B5CDF36" w14:textId="77777777" w:rsidR="00C93D0F" w:rsidRPr="00D820C8" w:rsidRDefault="00C93D0F" w:rsidP="00C93D0F">
      <w:pPr>
        <w:spacing w:after="0" w:line="240" w:lineRule="auto"/>
      </w:pPr>
      <w:r>
        <w:rPr>
          <w:vertAlign w:val="superscript"/>
        </w:rPr>
        <w:t xml:space="preserve">c </w:t>
      </w:r>
      <w:r>
        <w:t>Significant difference between P1 and P2, with P-value &lt;.05</w:t>
      </w:r>
    </w:p>
    <w:p w14:paraId="44EBF25C" w14:textId="77777777" w:rsidR="00C93D0F" w:rsidRPr="00D820C8" w:rsidRDefault="00C93D0F" w:rsidP="00C93D0F">
      <w:pPr>
        <w:spacing w:after="0" w:line="240" w:lineRule="auto"/>
      </w:pPr>
      <w:r>
        <w:rPr>
          <w:vertAlign w:val="superscript"/>
        </w:rPr>
        <w:t>d</w:t>
      </w:r>
      <w:r w:rsidRPr="00312261">
        <w:t xml:space="preserve"> </w:t>
      </w:r>
      <w:r>
        <w:t>Significant difference between P2 and P3, with P-value &lt;.05</w:t>
      </w:r>
    </w:p>
    <w:p w14:paraId="2ABD81CC" w14:textId="77777777" w:rsidR="00C93D0F" w:rsidRPr="00312261" w:rsidRDefault="00C93D0F" w:rsidP="00C93D0F">
      <w:pPr>
        <w:spacing w:after="0" w:line="240" w:lineRule="auto"/>
      </w:pPr>
      <w:proofErr w:type="spellStart"/>
      <w:r>
        <w:rPr>
          <w:vertAlign w:val="superscript"/>
        </w:rPr>
        <w:t>e</w:t>
      </w:r>
      <w:proofErr w:type="spellEnd"/>
      <w:r w:rsidRPr="00312261">
        <w:t xml:space="preserve"> </w:t>
      </w:r>
      <w:r>
        <w:t>Considered inpatient if discharged from an inpatient unit</w:t>
      </w:r>
    </w:p>
    <w:p w14:paraId="432948CC" w14:textId="77777777" w:rsidR="00C93D0F" w:rsidRPr="00312261" w:rsidRDefault="00C93D0F" w:rsidP="00C93D0F">
      <w:pPr>
        <w:spacing w:after="0" w:line="240" w:lineRule="auto"/>
      </w:pPr>
      <w:r>
        <w:rPr>
          <w:vertAlign w:val="superscript"/>
        </w:rPr>
        <w:t>f</w:t>
      </w:r>
      <w:r>
        <w:t xml:space="preserve"> </w:t>
      </w:r>
      <w:r w:rsidRPr="00DB36F8">
        <w:t>Excludes</w:t>
      </w:r>
      <w:r>
        <w:t xml:space="preserve"> 35 </w:t>
      </w:r>
      <w:r w:rsidRPr="00DB36F8">
        <w:t>patients in Period 1 and</w:t>
      </w:r>
      <w:r>
        <w:t xml:space="preserve"> 25</w:t>
      </w:r>
      <w:r w:rsidRPr="00DB36F8">
        <w:t xml:space="preserve"> patients in Period 2 with </w:t>
      </w:r>
      <w:r>
        <w:t>unverifiable inpatient admission times</w:t>
      </w:r>
    </w:p>
    <w:p w14:paraId="21DAA436" w14:textId="77777777" w:rsidR="00C93D0F" w:rsidRDefault="00C93D0F" w:rsidP="00C93D0F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g </w:t>
      </w:r>
      <w:r>
        <w:t xml:space="preserve">Antimicrobials include </w:t>
      </w:r>
      <w:r w:rsidRPr="0070103E">
        <w:t>acyclovir, ampicillin, cefepime, cefotaxime, ceftriaxone, gentamicin, oseltamivir, penicillin, and vancomycin</w:t>
      </w:r>
    </w:p>
    <w:p w14:paraId="5BDA66E2" w14:textId="77777777" w:rsidR="00C93D0F" w:rsidRDefault="00C93D0F" w:rsidP="00C93D0F">
      <w:pPr>
        <w:spacing w:after="0" w:line="240" w:lineRule="auto"/>
      </w:pPr>
      <w:r>
        <w:rPr>
          <w:vertAlign w:val="superscript"/>
        </w:rPr>
        <w:t>h</w:t>
      </w:r>
      <w:r w:rsidRPr="00312261">
        <w:t xml:space="preserve"> </w:t>
      </w:r>
      <w:r>
        <w:t>Among patients receiving more than a single dose of 1-2 antibiotics</w:t>
      </w:r>
    </w:p>
    <w:p w14:paraId="64A9DFF0" w14:textId="77777777" w:rsidR="00C93D0F" w:rsidRDefault="00C93D0F" w:rsidP="00C93D0F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i </w:t>
      </w:r>
      <w:r>
        <w:t>Among patients receiving more than a single dose of 1-2 antivirals</w:t>
      </w:r>
    </w:p>
    <w:p w14:paraId="6400F358" w14:textId="77777777" w:rsidR="00C93D0F" w:rsidRDefault="00C93D0F" w:rsidP="00C93D0F">
      <w:pPr>
        <w:spacing w:after="0" w:line="240" w:lineRule="auto"/>
      </w:pPr>
      <w:r>
        <w:rPr>
          <w:vertAlign w:val="superscript"/>
        </w:rPr>
        <w:lastRenderedPageBreak/>
        <w:t xml:space="preserve">j </w:t>
      </w:r>
      <w:r>
        <w:t xml:space="preserve">Includes complete blood count, </w:t>
      </w:r>
      <w:r w:rsidRPr="00412299">
        <w:t xml:space="preserve">basic metabolic panel, urinalysis, </w:t>
      </w:r>
      <w:r>
        <w:t>cerebrospinal fluid</w:t>
      </w:r>
      <w:r w:rsidRPr="00412299">
        <w:t xml:space="preserve"> cell count and chemistries, enterovirus </w:t>
      </w:r>
      <w:r>
        <w:t>PCR</w:t>
      </w:r>
      <w:r w:rsidRPr="00412299">
        <w:t xml:space="preserve">, Respiratory </w:t>
      </w:r>
      <w:r>
        <w:t>S</w:t>
      </w:r>
      <w:r w:rsidRPr="00412299">
        <w:t xml:space="preserve">yncytial </w:t>
      </w:r>
      <w:r>
        <w:t>V</w:t>
      </w:r>
      <w:r w:rsidRPr="00412299">
        <w:t xml:space="preserve">irus antigen, influenza antigen, Herpes </w:t>
      </w:r>
      <w:r>
        <w:t>S</w:t>
      </w:r>
      <w:r w:rsidRPr="00412299">
        <w:t xml:space="preserve">implex </w:t>
      </w:r>
      <w:r>
        <w:t>V</w:t>
      </w:r>
      <w:r w:rsidRPr="00412299">
        <w:t>irus PCR, aspartate aminotransferase, alanine aminotransferase, total and direct bilirubin, and bacterial cultures</w:t>
      </w:r>
      <w:r>
        <w:t xml:space="preserve"> obtained during the hospital encounter</w:t>
      </w:r>
    </w:p>
    <w:p w14:paraId="13846C29" w14:textId="77777777" w:rsidR="00C93D0F" w:rsidRDefault="00C93D0F" w:rsidP="00C93D0F">
      <w:r>
        <w:br w:type="page"/>
      </w:r>
    </w:p>
    <w:p w14:paraId="5A3617AA" w14:textId="77777777" w:rsidR="00C93D0F" w:rsidRDefault="00C93D0F" w:rsidP="00C93D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472"/>
        <w:gridCol w:w="1465"/>
        <w:gridCol w:w="1618"/>
        <w:gridCol w:w="1143"/>
      </w:tblGrid>
      <w:tr w:rsidR="00C93D0F" w14:paraId="194FE1A8" w14:textId="77777777" w:rsidTr="00152056">
        <w:tc>
          <w:tcPr>
            <w:tcW w:w="9350" w:type="dxa"/>
            <w:gridSpan w:val="5"/>
          </w:tcPr>
          <w:p w14:paraId="6836CC7E" w14:textId="77777777" w:rsidR="00C93D0F" w:rsidRPr="00A82C11" w:rsidRDefault="00C93D0F" w:rsidP="00152056">
            <w:pPr>
              <w:rPr>
                <w:b/>
              </w:rPr>
            </w:pPr>
            <w:r>
              <w:rPr>
                <w:b/>
                <w:sz w:val="32"/>
              </w:rPr>
              <w:t xml:space="preserve">Supplemental </w:t>
            </w:r>
            <w:r w:rsidRPr="00A82C11">
              <w:rPr>
                <w:b/>
                <w:sz w:val="32"/>
              </w:rPr>
              <w:t xml:space="preserve">Table </w:t>
            </w:r>
            <w:r>
              <w:rPr>
                <w:b/>
                <w:sz w:val="32"/>
              </w:rPr>
              <w:t>1b: Outcomes among infants 29-60 days (n=2434)</w:t>
            </w:r>
          </w:p>
        </w:tc>
      </w:tr>
      <w:tr w:rsidR="00C93D0F" w14:paraId="71CDE13D" w14:textId="77777777" w:rsidTr="00152056">
        <w:trPr>
          <w:trHeight w:val="446"/>
        </w:trPr>
        <w:tc>
          <w:tcPr>
            <w:tcW w:w="3652" w:type="dxa"/>
            <w:vAlign w:val="bottom"/>
          </w:tcPr>
          <w:p w14:paraId="2890A261" w14:textId="77777777" w:rsidR="00C93D0F" w:rsidRPr="00A82C11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Outcome</w:t>
            </w:r>
          </w:p>
        </w:tc>
        <w:tc>
          <w:tcPr>
            <w:tcW w:w="1472" w:type="dxa"/>
            <w:vAlign w:val="bottom"/>
          </w:tcPr>
          <w:p w14:paraId="4FB22D7E" w14:textId="77777777" w:rsidR="00C93D0F" w:rsidRPr="00A82C11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P1</w:t>
            </w:r>
          </w:p>
          <w:p w14:paraId="018814D7" w14:textId="77777777" w:rsidR="00C93D0F" w:rsidRPr="00A82C11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n=</w:t>
            </w:r>
            <w:r>
              <w:rPr>
                <w:b/>
              </w:rPr>
              <w:t>1207</w:t>
            </w:r>
          </w:p>
        </w:tc>
        <w:tc>
          <w:tcPr>
            <w:tcW w:w="1465" w:type="dxa"/>
            <w:vAlign w:val="bottom"/>
          </w:tcPr>
          <w:p w14:paraId="5C943C51" w14:textId="77777777" w:rsidR="00C93D0F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P2</w:t>
            </w:r>
          </w:p>
          <w:p w14:paraId="3DDAE2D1" w14:textId="77777777" w:rsidR="00C93D0F" w:rsidRPr="00A82C11" w:rsidRDefault="00C93D0F" w:rsidP="00152056">
            <w:pPr>
              <w:rPr>
                <w:b/>
              </w:rPr>
            </w:pPr>
            <w:r>
              <w:rPr>
                <w:b/>
              </w:rPr>
              <w:t>Guideline</w:t>
            </w:r>
          </w:p>
          <w:p w14:paraId="113C46BE" w14:textId="77777777" w:rsidR="00C93D0F" w:rsidRPr="00A82C11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n=</w:t>
            </w:r>
            <w:r>
              <w:rPr>
                <w:b/>
              </w:rPr>
              <w:t>917</w:t>
            </w:r>
          </w:p>
        </w:tc>
        <w:tc>
          <w:tcPr>
            <w:tcW w:w="1618" w:type="dxa"/>
            <w:vAlign w:val="bottom"/>
          </w:tcPr>
          <w:p w14:paraId="5072A031" w14:textId="77777777" w:rsidR="00C93D0F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P3</w:t>
            </w:r>
          </w:p>
          <w:p w14:paraId="58786858" w14:textId="77777777" w:rsidR="00C93D0F" w:rsidRPr="00A82C11" w:rsidRDefault="00C93D0F" w:rsidP="00152056">
            <w:pPr>
              <w:rPr>
                <w:b/>
              </w:rPr>
            </w:pPr>
            <w:r>
              <w:rPr>
                <w:b/>
              </w:rPr>
              <w:t xml:space="preserve">Guideline plus rapid </w:t>
            </w:r>
            <w:proofErr w:type="spellStart"/>
            <w:r>
              <w:rPr>
                <w:b/>
              </w:rPr>
              <w:t>mPCR</w:t>
            </w:r>
            <w:proofErr w:type="spellEnd"/>
          </w:p>
          <w:p w14:paraId="1E47CB11" w14:textId="77777777" w:rsidR="00C93D0F" w:rsidRPr="00A82C11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n=</w:t>
            </w:r>
            <w:r>
              <w:rPr>
                <w:b/>
              </w:rPr>
              <w:t>310</w:t>
            </w:r>
          </w:p>
        </w:tc>
        <w:tc>
          <w:tcPr>
            <w:tcW w:w="1143" w:type="dxa"/>
            <w:vAlign w:val="bottom"/>
          </w:tcPr>
          <w:p w14:paraId="43460F83" w14:textId="77777777" w:rsidR="00C93D0F" w:rsidRPr="00C35395" w:rsidRDefault="00C93D0F" w:rsidP="00152056">
            <w:pPr>
              <w:rPr>
                <w:b/>
                <w:vertAlign w:val="superscript"/>
              </w:rPr>
            </w:pPr>
            <w:r>
              <w:rPr>
                <w:b/>
                <w:i/>
                <w:iCs/>
              </w:rPr>
              <w:t>P</w:t>
            </w:r>
            <w:r w:rsidRPr="00A82C11">
              <w:rPr>
                <w:b/>
              </w:rPr>
              <w:t>-value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a</w:t>
            </w:r>
          </w:p>
        </w:tc>
      </w:tr>
      <w:tr w:rsidR="00C93D0F" w14:paraId="3D83AADE" w14:textId="77777777" w:rsidTr="00152056">
        <w:trPr>
          <w:trHeight w:val="446"/>
        </w:trPr>
        <w:tc>
          <w:tcPr>
            <w:tcW w:w="3652" w:type="dxa"/>
          </w:tcPr>
          <w:p w14:paraId="0246DA66" w14:textId="77777777" w:rsidR="00C93D0F" w:rsidRPr="00211B49" w:rsidRDefault="00C93D0F" w:rsidP="00152056">
            <w:pPr>
              <w:rPr>
                <w:vertAlign w:val="superscript"/>
              </w:rPr>
            </w:pPr>
            <w:r>
              <w:t xml:space="preserve">Admitted </w:t>
            </w:r>
            <w:r>
              <w:rPr>
                <w:vertAlign w:val="superscript"/>
              </w:rPr>
              <w:t>e</w:t>
            </w:r>
            <w:r>
              <w:t xml:space="preserve">, </w:t>
            </w:r>
            <w:r w:rsidRPr="00FB7130">
              <w:t>number (%)</w:t>
            </w:r>
          </w:p>
        </w:tc>
        <w:tc>
          <w:tcPr>
            <w:tcW w:w="1472" w:type="dxa"/>
          </w:tcPr>
          <w:p w14:paraId="73352AA2" w14:textId="77777777" w:rsidR="00C93D0F" w:rsidRDefault="00C93D0F" w:rsidP="00152056">
            <w:r>
              <w:t>827 (68.5)</w:t>
            </w:r>
          </w:p>
        </w:tc>
        <w:tc>
          <w:tcPr>
            <w:tcW w:w="1465" w:type="dxa"/>
          </w:tcPr>
          <w:p w14:paraId="59B16FCE" w14:textId="77777777" w:rsidR="00C93D0F" w:rsidRDefault="00C93D0F" w:rsidP="00152056">
            <w:r>
              <w:t>585 (63.8)</w:t>
            </w:r>
          </w:p>
        </w:tc>
        <w:tc>
          <w:tcPr>
            <w:tcW w:w="1618" w:type="dxa"/>
          </w:tcPr>
          <w:p w14:paraId="071B126C" w14:textId="77777777" w:rsidR="00C93D0F" w:rsidRDefault="00C93D0F" w:rsidP="00152056">
            <w:r>
              <w:t>161 (51.9)</w:t>
            </w:r>
          </w:p>
        </w:tc>
        <w:tc>
          <w:tcPr>
            <w:tcW w:w="1143" w:type="dxa"/>
          </w:tcPr>
          <w:p w14:paraId="349E71E2" w14:textId="77777777" w:rsidR="00C93D0F" w:rsidRPr="00C35395" w:rsidRDefault="00C93D0F" w:rsidP="00152056">
            <w:pPr>
              <w:rPr>
                <w:vertAlign w:val="superscript"/>
              </w:rPr>
            </w:pPr>
            <w:r>
              <w:t xml:space="preserve">&lt;.001 </w:t>
            </w:r>
            <w:proofErr w:type="spellStart"/>
            <w:proofErr w:type="gramStart"/>
            <w:r>
              <w:rPr>
                <w:vertAlign w:val="superscript"/>
              </w:rPr>
              <w:t>b,d</w:t>
            </w:r>
            <w:proofErr w:type="spellEnd"/>
            <w:proofErr w:type="gramEnd"/>
          </w:p>
        </w:tc>
      </w:tr>
      <w:tr w:rsidR="00C93D0F" w14:paraId="4E012E3B" w14:textId="77777777" w:rsidTr="00152056">
        <w:trPr>
          <w:trHeight w:val="446"/>
        </w:trPr>
        <w:tc>
          <w:tcPr>
            <w:tcW w:w="3652" w:type="dxa"/>
          </w:tcPr>
          <w:p w14:paraId="7F3ED039" w14:textId="77777777" w:rsidR="00C93D0F" w:rsidRPr="00FB7130" w:rsidRDefault="00C93D0F" w:rsidP="00152056">
            <w:r>
              <w:t xml:space="preserve">Inpatient LOS </w:t>
            </w:r>
            <w:proofErr w:type="spellStart"/>
            <w:proofErr w:type="gramStart"/>
            <w:r>
              <w:rPr>
                <w:vertAlign w:val="superscript"/>
              </w:rPr>
              <w:t>e,f</w:t>
            </w:r>
            <w:proofErr w:type="spellEnd"/>
            <w:proofErr w:type="gramEnd"/>
            <w:r>
              <w:t>, days, median (IQR)</w:t>
            </w:r>
          </w:p>
        </w:tc>
        <w:tc>
          <w:tcPr>
            <w:tcW w:w="1472" w:type="dxa"/>
          </w:tcPr>
          <w:p w14:paraId="27C72926" w14:textId="77777777" w:rsidR="00C93D0F" w:rsidRDefault="00C93D0F" w:rsidP="00152056">
            <w:r>
              <w:t>1.8 (1.4-2.3)</w:t>
            </w:r>
          </w:p>
        </w:tc>
        <w:tc>
          <w:tcPr>
            <w:tcW w:w="1465" w:type="dxa"/>
          </w:tcPr>
          <w:p w14:paraId="1E8255D2" w14:textId="77777777" w:rsidR="00C93D0F" w:rsidRDefault="00C93D0F" w:rsidP="00152056">
            <w:r>
              <w:t>1.6 (1.0-2.3)</w:t>
            </w:r>
          </w:p>
        </w:tc>
        <w:tc>
          <w:tcPr>
            <w:tcW w:w="1618" w:type="dxa"/>
          </w:tcPr>
          <w:p w14:paraId="092329EA" w14:textId="77777777" w:rsidR="00C93D0F" w:rsidRDefault="00C93D0F" w:rsidP="00152056">
            <w:r>
              <w:t>1.5 (1.0-2.1)</w:t>
            </w:r>
          </w:p>
        </w:tc>
        <w:tc>
          <w:tcPr>
            <w:tcW w:w="1143" w:type="dxa"/>
          </w:tcPr>
          <w:p w14:paraId="250BBA92" w14:textId="77777777" w:rsidR="00C93D0F" w:rsidRPr="00C35395" w:rsidRDefault="00C93D0F" w:rsidP="00152056">
            <w:pPr>
              <w:rPr>
                <w:vertAlign w:val="superscript"/>
              </w:rPr>
            </w:pPr>
            <w:r>
              <w:t xml:space="preserve">&lt;.001 </w:t>
            </w:r>
            <w:proofErr w:type="spellStart"/>
            <w:proofErr w:type="gramStart"/>
            <w:r>
              <w:rPr>
                <w:vertAlign w:val="superscript"/>
              </w:rPr>
              <w:t>b,c</w:t>
            </w:r>
            <w:proofErr w:type="spellEnd"/>
            <w:proofErr w:type="gramEnd"/>
          </w:p>
        </w:tc>
      </w:tr>
      <w:tr w:rsidR="00C93D0F" w14:paraId="71285B0B" w14:textId="77777777" w:rsidTr="00152056">
        <w:trPr>
          <w:trHeight w:val="446"/>
        </w:trPr>
        <w:tc>
          <w:tcPr>
            <w:tcW w:w="3652" w:type="dxa"/>
          </w:tcPr>
          <w:p w14:paraId="1E577A4F" w14:textId="77777777" w:rsidR="00C93D0F" w:rsidRDefault="00C93D0F" w:rsidP="00152056">
            <w:r>
              <w:t>Readmission within 30 days, number (%)</w:t>
            </w:r>
          </w:p>
        </w:tc>
        <w:tc>
          <w:tcPr>
            <w:tcW w:w="1472" w:type="dxa"/>
          </w:tcPr>
          <w:p w14:paraId="1CFBD941" w14:textId="77777777" w:rsidR="00C93D0F" w:rsidRDefault="00C93D0F" w:rsidP="00152056">
            <w:r>
              <w:t>59 (4.9)</w:t>
            </w:r>
          </w:p>
        </w:tc>
        <w:tc>
          <w:tcPr>
            <w:tcW w:w="1465" w:type="dxa"/>
          </w:tcPr>
          <w:p w14:paraId="04CA6111" w14:textId="77777777" w:rsidR="00C93D0F" w:rsidRDefault="00C93D0F" w:rsidP="00152056">
            <w:r>
              <w:t>46 (5.0)</w:t>
            </w:r>
          </w:p>
        </w:tc>
        <w:tc>
          <w:tcPr>
            <w:tcW w:w="1618" w:type="dxa"/>
          </w:tcPr>
          <w:p w14:paraId="62FA8378" w14:textId="77777777" w:rsidR="00C93D0F" w:rsidRDefault="00C93D0F" w:rsidP="00152056">
            <w:r>
              <w:t>12 (3.9)</w:t>
            </w:r>
          </w:p>
        </w:tc>
        <w:tc>
          <w:tcPr>
            <w:tcW w:w="1143" w:type="dxa"/>
          </w:tcPr>
          <w:p w14:paraId="3F927892" w14:textId="77777777" w:rsidR="00C93D0F" w:rsidRDefault="00C93D0F" w:rsidP="00152056">
            <w:r>
              <w:t>.70</w:t>
            </w:r>
          </w:p>
        </w:tc>
      </w:tr>
      <w:tr w:rsidR="00C93D0F" w14:paraId="4575986C" w14:textId="77777777" w:rsidTr="00152056">
        <w:trPr>
          <w:trHeight w:val="446"/>
        </w:trPr>
        <w:tc>
          <w:tcPr>
            <w:tcW w:w="3652" w:type="dxa"/>
          </w:tcPr>
          <w:p w14:paraId="3439A551" w14:textId="77777777" w:rsidR="00C93D0F" w:rsidRDefault="00C93D0F" w:rsidP="00152056">
            <w:r>
              <w:t>Deaths within 30 days, number (%)</w:t>
            </w:r>
          </w:p>
        </w:tc>
        <w:tc>
          <w:tcPr>
            <w:tcW w:w="1472" w:type="dxa"/>
          </w:tcPr>
          <w:p w14:paraId="2287D2B1" w14:textId="77777777" w:rsidR="00C93D0F" w:rsidRDefault="00C93D0F" w:rsidP="00152056">
            <w:r>
              <w:t>0 (0.0)</w:t>
            </w:r>
          </w:p>
        </w:tc>
        <w:tc>
          <w:tcPr>
            <w:tcW w:w="1465" w:type="dxa"/>
          </w:tcPr>
          <w:p w14:paraId="4FAAA7F7" w14:textId="77777777" w:rsidR="00C93D0F" w:rsidRDefault="00C93D0F" w:rsidP="00152056">
            <w:r>
              <w:t>0 (0.0)</w:t>
            </w:r>
          </w:p>
        </w:tc>
        <w:tc>
          <w:tcPr>
            <w:tcW w:w="1618" w:type="dxa"/>
          </w:tcPr>
          <w:p w14:paraId="60FA9C80" w14:textId="77777777" w:rsidR="00C93D0F" w:rsidRDefault="00C93D0F" w:rsidP="00152056">
            <w:r>
              <w:t>0 (0.0)</w:t>
            </w:r>
          </w:p>
        </w:tc>
        <w:tc>
          <w:tcPr>
            <w:tcW w:w="1143" w:type="dxa"/>
          </w:tcPr>
          <w:p w14:paraId="0952B850" w14:textId="77777777" w:rsidR="00C93D0F" w:rsidRDefault="00C93D0F" w:rsidP="00152056">
            <w:r>
              <w:t>-----</w:t>
            </w:r>
          </w:p>
        </w:tc>
      </w:tr>
      <w:tr w:rsidR="00C93D0F" w14:paraId="0830540D" w14:textId="77777777" w:rsidTr="00152056">
        <w:trPr>
          <w:trHeight w:val="446"/>
        </w:trPr>
        <w:tc>
          <w:tcPr>
            <w:tcW w:w="9350" w:type="dxa"/>
            <w:gridSpan w:val="5"/>
          </w:tcPr>
          <w:p w14:paraId="4B654C63" w14:textId="77777777" w:rsidR="00C93D0F" w:rsidRDefault="00C93D0F" w:rsidP="00152056">
            <w:r w:rsidRPr="00E32B45">
              <w:rPr>
                <w:b/>
              </w:rPr>
              <w:t>Antimicrobial usage</w:t>
            </w:r>
          </w:p>
        </w:tc>
      </w:tr>
      <w:tr w:rsidR="00C93D0F" w14:paraId="2312605B" w14:textId="77777777" w:rsidTr="00152056">
        <w:trPr>
          <w:trHeight w:val="446"/>
        </w:trPr>
        <w:tc>
          <w:tcPr>
            <w:tcW w:w="3652" w:type="dxa"/>
          </w:tcPr>
          <w:p w14:paraId="41152148" w14:textId="77777777" w:rsidR="00C93D0F" w:rsidRPr="00182866" w:rsidRDefault="00C93D0F" w:rsidP="00152056">
            <w:pPr>
              <w:rPr>
                <w:vertAlign w:val="superscript"/>
              </w:rPr>
            </w:pPr>
            <w:r>
              <w:rPr>
                <w:b/>
              </w:rPr>
              <w:t xml:space="preserve">  </w:t>
            </w:r>
            <w:r w:rsidRPr="006868E5">
              <w:t xml:space="preserve">Received </w:t>
            </w:r>
            <w:r>
              <w:t>n</w:t>
            </w:r>
            <w:r w:rsidRPr="006868E5">
              <w:t>o</w:t>
            </w:r>
            <w:r w:rsidRPr="00894772">
              <w:rPr>
                <w:b/>
              </w:rPr>
              <w:t xml:space="preserve"> </w:t>
            </w:r>
            <w:r w:rsidRPr="00894772">
              <w:t>antimicrobials</w:t>
            </w:r>
            <w:r>
              <w:t xml:space="preserve"> </w:t>
            </w:r>
            <w:r>
              <w:rPr>
                <w:vertAlign w:val="superscript"/>
              </w:rPr>
              <w:t>g</w:t>
            </w:r>
            <w:r>
              <w:t>, number (%)</w:t>
            </w:r>
          </w:p>
        </w:tc>
        <w:tc>
          <w:tcPr>
            <w:tcW w:w="1472" w:type="dxa"/>
          </w:tcPr>
          <w:p w14:paraId="62AAA796" w14:textId="77777777" w:rsidR="00C93D0F" w:rsidRDefault="00C93D0F" w:rsidP="00152056">
            <w:r>
              <w:t>303 (25.1)</w:t>
            </w:r>
          </w:p>
        </w:tc>
        <w:tc>
          <w:tcPr>
            <w:tcW w:w="1465" w:type="dxa"/>
          </w:tcPr>
          <w:p w14:paraId="47EC1CED" w14:textId="77777777" w:rsidR="00C93D0F" w:rsidRDefault="00C93D0F" w:rsidP="00152056">
            <w:r>
              <w:t>250 (27.3)</w:t>
            </w:r>
          </w:p>
        </w:tc>
        <w:tc>
          <w:tcPr>
            <w:tcW w:w="1618" w:type="dxa"/>
          </w:tcPr>
          <w:p w14:paraId="481E9E78" w14:textId="77777777" w:rsidR="00C93D0F" w:rsidRDefault="00C93D0F" w:rsidP="00152056">
            <w:r>
              <w:t>147 (47.4)</w:t>
            </w:r>
          </w:p>
        </w:tc>
        <w:tc>
          <w:tcPr>
            <w:tcW w:w="1143" w:type="dxa"/>
          </w:tcPr>
          <w:p w14:paraId="59B22A6C" w14:textId="77777777" w:rsidR="00C93D0F" w:rsidRPr="00C35395" w:rsidRDefault="00C93D0F" w:rsidP="00152056">
            <w:pPr>
              <w:rPr>
                <w:vertAlign w:val="superscript"/>
              </w:rPr>
            </w:pPr>
            <w:r>
              <w:t xml:space="preserve">&lt;.001 </w:t>
            </w:r>
            <w:proofErr w:type="spellStart"/>
            <w:proofErr w:type="gramStart"/>
            <w:r>
              <w:rPr>
                <w:vertAlign w:val="superscript"/>
              </w:rPr>
              <w:t>b,d</w:t>
            </w:r>
            <w:proofErr w:type="spellEnd"/>
            <w:proofErr w:type="gramEnd"/>
          </w:p>
        </w:tc>
      </w:tr>
      <w:tr w:rsidR="00C93D0F" w14:paraId="257FF8F8" w14:textId="77777777" w:rsidTr="00152056">
        <w:trPr>
          <w:trHeight w:val="446"/>
        </w:trPr>
        <w:tc>
          <w:tcPr>
            <w:tcW w:w="3652" w:type="dxa"/>
          </w:tcPr>
          <w:p w14:paraId="130744D9" w14:textId="77777777" w:rsidR="00C93D0F" w:rsidRDefault="00C93D0F" w:rsidP="00152056">
            <w:r>
              <w:t xml:space="preserve">  Received single dose of 1-2 antimicrobials </w:t>
            </w:r>
            <w:r>
              <w:rPr>
                <w:vertAlign w:val="superscript"/>
              </w:rPr>
              <w:t>g</w:t>
            </w:r>
            <w:r>
              <w:t>, number (%)</w:t>
            </w:r>
          </w:p>
        </w:tc>
        <w:tc>
          <w:tcPr>
            <w:tcW w:w="1472" w:type="dxa"/>
          </w:tcPr>
          <w:p w14:paraId="18E8FEBE" w14:textId="77777777" w:rsidR="00C93D0F" w:rsidRPr="00DF496F" w:rsidRDefault="00C93D0F" w:rsidP="00152056">
            <w:r>
              <w:t>154 (12.8)</w:t>
            </w:r>
          </w:p>
        </w:tc>
        <w:tc>
          <w:tcPr>
            <w:tcW w:w="1465" w:type="dxa"/>
          </w:tcPr>
          <w:p w14:paraId="3D81848F" w14:textId="77777777" w:rsidR="00C93D0F" w:rsidRPr="00DF496F" w:rsidRDefault="00C93D0F" w:rsidP="00152056">
            <w:r>
              <w:t>215 (23.4)</w:t>
            </w:r>
          </w:p>
        </w:tc>
        <w:tc>
          <w:tcPr>
            <w:tcW w:w="1618" w:type="dxa"/>
          </w:tcPr>
          <w:p w14:paraId="2CC72B01" w14:textId="77777777" w:rsidR="00C93D0F" w:rsidRPr="00DF496F" w:rsidRDefault="00C93D0F" w:rsidP="00152056">
            <w:r>
              <w:t xml:space="preserve">58 (18.7) </w:t>
            </w:r>
          </w:p>
        </w:tc>
        <w:tc>
          <w:tcPr>
            <w:tcW w:w="1143" w:type="dxa"/>
          </w:tcPr>
          <w:p w14:paraId="6FC9A305" w14:textId="77777777" w:rsidR="00C93D0F" w:rsidRPr="00C35395" w:rsidRDefault="00C93D0F" w:rsidP="00152056">
            <w:pPr>
              <w:rPr>
                <w:vertAlign w:val="superscript"/>
              </w:rPr>
            </w:pPr>
            <w:r>
              <w:t xml:space="preserve">&lt;.001 </w:t>
            </w:r>
            <w:proofErr w:type="spellStart"/>
            <w:proofErr w:type="gramStart"/>
            <w:r>
              <w:rPr>
                <w:vertAlign w:val="superscript"/>
              </w:rPr>
              <w:t>b,c</w:t>
            </w:r>
            <w:proofErr w:type="gramEnd"/>
            <w:r>
              <w:rPr>
                <w:vertAlign w:val="superscript"/>
              </w:rPr>
              <w:t>,d</w:t>
            </w:r>
            <w:proofErr w:type="spellEnd"/>
          </w:p>
        </w:tc>
      </w:tr>
      <w:tr w:rsidR="00C93D0F" w14:paraId="6820FEA7" w14:textId="77777777" w:rsidTr="00152056">
        <w:trPr>
          <w:trHeight w:val="446"/>
        </w:trPr>
        <w:tc>
          <w:tcPr>
            <w:tcW w:w="3652" w:type="dxa"/>
          </w:tcPr>
          <w:p w14:paraId="397F0934" w14:textId="77777777" w:rsidR="00C93D0F" w:rsidRDefault="00C93D0F" w:rsidP="00152056">
            <w:r>
              <w:t xml:space="preserve">  Antibiotic </w:t>
            </w:r>
            <w:r w:rsidRPr="00182866">
              <w:t>duration</w:t>
            </w:r>
            <w:r>
              <w:rPr>
                <w:vertAlign w:val="superscript"/>
              </w:rPr>
              <w:t xml:space="preserve"> h</w:t>
            </w:r>
            <w:r>
              <w:t>, days, median (IQR)</w:t>
            </w:r>
          </w:p>
        </w:tc>
        <w:tc>
          <w:tcPr>
            <w:tcW w:w="1472" w:type="dxa"/>
          </w:tcPr>
          <w:p w14:paraId="5990D1D4" w14:textId="77777777" w:rsidR="00C93D0F" w:rsidRPr="00CB11DC" w:rsidRDefault="00C93D0F" w:rsidP="00152056">
            <w:r>
              <w:t>2.9 (1.5-4.0)</w:t>
            </w:r>
          </w:p>
        </w:tc>
        <w:tc>
          <w:tcPr>
            <w:tcW w:w="1465" w:type="dxa"/>
          </w:tcPr>
          <w:p w14:paraId="23CE85DD" w14:textId="77777777" w:rsidR="00C93D0F" w:rsidRPr="00CB11DC" w:rsidRDefault="00C93D0F" w:rsidP="00152056">
            <w:r>
              <w:t>1.5 (1.0-2.1)</w:t>
            </w:r>
          </w:p>
        </w:tc>
        <w:tc>
          <w:tcPr>
            <w:tcW w:w="1618" w:type="dxa"/>
          </w:tcPr>
          <w:p w14:paraId="44F22C94" w14:textId="77777777" w:rsidR="00C93D0F" w:rsidRPr="00CB11DC" w:rsidRDefault="00C93D0F" w:rsidP="00152056">
            <w:r>
              <w:t>1.0 (1.0-1.5)</w:t>
            </w:r>
          </w:p>
        </w:tc>
        <w:tc>
          <w:tcPr>
            <w:tcW w:w="1143" w:type="dxa"/>
          </w:tcPr>
          <w:p w14:paraId="19A4F393" w14:textId="77777777" w:rsidR="00C93D0F" w:rsidRPr="00C35395" w:rsidRDefault="00C93D0F" w:rsidP="00152056">
            <w:pPr>
              <w:rPr>
                <w:vertAlign w:val="superscript"/>
              </w:rPr>
            </w:pPr>
            <w:r>
              <w:t xml:space="preserve">&lt;.001 </w:t>
            </w:r>
            <w:proofErr w:type="spellStart"/>
            <w:proofErr w:type="gramStart"/>
            <w:r>
              <w:rPr>
                <w:vertAlign w:val="superscript"/>
              </w:rPr>
              <w:t>b,c</w:t>
            </w:r>
            <w:proofErr w:type="gramEnd"/>
            <w:r>
              <w:rPr>
                <w:vertAlign w:val="superscript"/>
              </w:rPr>
              <w:t>,d</w:t>
            </w:r>
            <w:proofErr w:type="spellEnd"/>
          </w:p>
        </w:tc>
      </w:tr>
      <w:tr w:rsidR="00C93D0F" w14:paraId="41FBC094" w14:textId="77777777" w:rsidTr="00152056">
        <w:trPr>
          <w:trHeight w:val="446"/>
        </w:trPr>
        <w:tc>
          <w:tcPr>
            <w:tcW w:w="3652" w:type="dxa"/>
          </w:tcPr>
          <w:p w14:paraId="54D64BF8" w14:textId="77777777" w:rsidR="00C93D0F" w:rsidRPr="00CB11DC" w:rsidRDefault="00C93D0F" w:rsidP="00152056">
            <w:r>
              <w:t xml:space="preserve">  A</w:t>
            </w:r>
            <w:r w:rsidRPr="00CB11DC">
              <w:t>ntiviral duration</w:t>
            </w:r>
            <w:r>
              <w:rPr>
                <w:vertAlign w:val="superscript"/>
              </w:rPr>
              <w:t xml:space="preserve"> i</w:t>
            </w:r>
            <w:r>
              <w:t xml:space="preserve">, </w:t>
            </w:r>
            <w:r w:rsidRPr="00CB11DC">
              <w:t>days</w:t>
            </w:r>
            <w:r>
              <w:t>, median (IQR)</w:t>
            </w:r>
          </w:p>
        </w:tc>
        <w:tc>
          <w:tcPr>
            <w:tcW w:w="1472" w:type="dxa"/>
          </w:tcPr>
          <w:p w14:paraId="3C2D5A3C" w14:textId="77777777" w:rsidR="00C93D0F" w:rsidRPr="00CB11DC" w:rsidRDefault="00C93D0F" w:rsidP="00152056">
            <w:r>
              <w:t>1.2 (0.8-1.8)</w:t>
            </w:r>
          </w:p>
        </w:tc>
        <w:tc>
          <w:tcPr>
            <w:tcW w:w="1465" w:type="dxa"/>
          </w:tcPr>
          <w:p w14:paraId="32EB9447" w14:textId="77777777" w:rsidR="00C93D0F" w:rsidRPr="00CB11DC" w:rsidRDefault="00C93D0F" w:rsidP="00152056">
            <w:r>
              <w:t>1.0 (0.5-1.7)</w:t>
            </w:r>
          </w:p>
        </w:tc>
        <w:tc>
          <w:tcPr>
            <w:tcW w:w="1618" w:type="dxa"/>
          </w:tcPr>
          <w:p w14:paraId="12A43187" w14:textId="77777777" w:rsidR="00C93D0F" w:rsidRPr="00CB11DC" w:rsidRDefault="00C93D0F" w:rsidP="00152056">
            <w:r>
              <w:t>1.2 (0.7-1.6)</w:t>
            </w:r>
          </w:p>
        </w:tc>
        <w:tc>
          <w:tcPr>
            <w:tcW w:w="1143" w:type="dxa"/>
          </w:tcPr>
          <w:p w14:paraId="400CB154" w14:textId="77777777" w:rsidR="00C93D0F" w:rsidRPr="00CB11DC" w:rsidRDefault="00C93D0F" w:rsidP="00152056">
            <w:r>
              <w:t>.19</w:t>
            </w:r>
          </w:p>
        </w:tc>
      </w:tr>
      <w:tr w:rsidR="00C93D0F" w14:paraId="3805BCC6" w14:textId="77777777" w:rsidTr="00152056">
        <w:trPr>
          <w:trHeight w:val="446"/>
        </w:trPr>
        <w:tc>
          <w:tcPr>
            <w:tcW w:w="3652" w:type="dxa"/>
          </w:tcPr>
          <w:p w14:paraId="7217B82B" w14:textId="77777777" w:rsidR="00C93D0F" w:rsidRPr="00EC4874" w:rsidRDefault="00C93D0F" w:rsidP="00152056">
            <w:r>
              <w:t>N</w:t>
            </w:r>
            <w:r w:rsidRPr="00894772">
              <w:t xml:space="preserve">umber of ancillary tests per </w:t>
            </w:r>
            <w:r w:rsidRPr="00182866">
              <w:t>patient</w:t>
            </w:r>
            <w:r>
              <w:t xml:space="preserve"> </w:t>
            </w:r>
            <w:r>
              <w:rPr>
                <w:vertAlign w:val="superscript"/>
              </w:rPr>
              <w:t>j</w:t>
            </w:r>
            <w:r>
              <w:t>, median (IQR)</w:t>
            </w:r>
          </w:p>
        </w:tc>
        <w:tc>
          <w:tcPr>
            <w:tcW w:w="1472" w:type="dxa"/>
          </w:tcPr>
          <w:p w14:paraId="130131A0" w14:textId="77777777" w:rsidR="00C93D0F" w:rsidRDefault="00C93D0F" w:rsidP="00152056">
            <w:r>
              <w:t>8 (6-10)</w:t>
            </w:r>
          </w:p>
        </w:tc>
        <w:tc>
          <w:tcPr>
            <w:tcW w:w="1465" w:type="dxa"/>
          </w:tcPr>
          <w:p w14:paraId="2FD97F19" w14:textId="77777777" w:rsidR="00C93D0F" w:rsidRDefault="00C93D0F" w:rsidP="00152056">
            <w:r>
              <w:t>7 (4-9)</w:t>
            </w:r>
          </w:p>
        </w:tc>
        <w:tc>
          <w:tcPr>
            <w:tcW w:w="1618" w:type="dxa"/>
          </w:tcPr>
          <w:p w14:paraId="45EDAFDC" w14:textId="77777777" w:rsidR="00C93D0F" w:rsidRDefault="00C93D0F" w:rsidP="00152056">
            <w:r>
              <w:t>4 (3-6)</w:t>
            </w:r>
          </w:p>
        </w:tc>
        <w:tc>
          <w:tcPr>
            <w:tcW w:w="1143" w:type="dxa"/>
          </w:tcPr>
          <w:p w14:paraId="4A80533A" w14:textId="77777777" w:rsidR="00C93D0F" w:rsidRPr="00C35395" w:rsidRDefault="00C93D0F" w:rsidP="00152056">
            <w:pPr>
              <w:rPr>
                <w:vertAlign w:val="superscript"/>
              </w:rPr>
            </w:pPr>
            <w:r>
              <w:t xml:space="preserve">&lt;.001 </w:t>
            </w:r>
            <w:proofErr w:type="spellStart"/>
            <w:proofErr w:type="gramStart"/>
            <w:r>
              <w:rPr>
                <w:vertAlign w:val="superscript"/>
              </w:rPr>
              <w:t>b,c</w:t>
            </w:r>
            <w:proofErr w:type="gramEnd"/>
            <w:r>
              <w:rPr>
                <w:vertAlign w:val="superscript"/>
              </w:rPr>
              <w:t>,d</w:t>
            </w:r>
            <w:proofErr w:type="spellEnd"/>
          </w:p>
        </w:tc>
      </w:tr>
      <w:tr w:rsidR="00C93D0F" w14:paraId="15BC8E79" w14:textId="77777777" w:rsidTr="00152056">
        <w:trPr>
          <w:trHeight w:val="446"/>
        </w:trPr>
        <w:tc>
          <w:tcPr>
            <w:tcW w:w="3652" w:type="dxa"/>
          </w:tcPr>
          <w:p w14:paraId="4F27D690" w14:textId="77777777" w:rsidR="00C93D0F" w:rsidRDefault="00C93D0F" w:rsidP="00152056">
            <w:r w:rsidRPr="00894772">
              <w:t>Receiv</w:t>
            </w:r>
            <w:r>
              <w:t>ed</w:t>
            </w:r>
            <w:r w:rsidRPr="00894772">
              <w:t xml:space="preserve"> </w:t>
            </w:r>
            <w:r>
              <w:t>c</w:t>
            </w:r>
            <w:r w:rsidRPr="00894772">
              <w:t xml:space="preserve">hest </w:t>
            </w:r>
            <w:r>
              <w:t>radiograph, n</w:t>
            </w:r>
            <w:r w:rsidRPr="00894772">
              <w:t>umber (%)</w:t>
            </w:r>
          </w:p>
        </w:tc>
        <w:tc>
          <w:tcPr>
            <w:tcW w:w="1472" w:type="dxa"/>
          </w:tcPr>
          <w:p w14:paraId="465F3BF6" w14:textId="77777777" w:rsidR="00C93D0F" w:rsidRDefault="00C93D0F" w:rsidP="00152056">
            <w:r>
              <w:t>340 (28.2)</w:t>
            </w:r>
          </w:p>
        </w:tc>
        <w:tc>
          <w:tcPr>
            <w:tcW w:w="1465" w:type="dxa"/>
          </w:tcPr>
          <w:p w14:paraId="4E8C2A8D" w14:textId="77777777" w:rsidR="00C93D0F" w:rsidRDefault="00C93D0F" w:rsidP="00152056">
            <w:r>
              <w:t>171 (18.6)</w:t>
            </w:r>
          </w:p>
        </w:tc>
        <w:tc>
          <w:tcPr>
            <w:tcW w:w="1618" w:type="dxa"/>
          </w:tcPr>
          <w:p w14:paraId="7249496C" w14:textId="77777777" w:rsidR="00C93D0F" w:rsidRDefault="00C93D0F" w:rsidP="00152056">
            <w:r>
              <w:t>30 (9.7)</w:t>
            </w:r>
          </w:p>
        </w:tc>
        <w:tc>
          <w:tcPr>
            <w:tcW w:w="1143" w:type="dxa"/>
          </w:tcPr>
          <w:p w14:paraId="0092AB26" w14:textId="77777777" w:rsidR="00C93D0F" w:rsidRPr="00C35395" w:rsidRDefault="00C93D0F" w:rsidP="00152056">
            <w:pPr>
              <w:rPr>
                <w:vertAlign w:val="superscript"/>
              </w:rPr>
            </w:pPr>
            <w:r>
              <w:t xml:space="preserve">&lt;.001 </w:t>
            </w:r>
            <w:proofErr w:type="spellStart"/>
            <w:proofErr w:type="gramStart"/>
            <w:r>
              <w:rPr>
                <w:vertAlign w:val="superscript"/>
              </w:rPr>
              <w:t>b,c</w:t>
            </w:r>
            <w:proofErr w:type="gramEnd"/>
            <w:r>
              <w:rPr>
                <w:vertAlign w:val="superscript"/>
              </w:rPr>
              <w:t>,d</w:t>
            </w:r>
            <w:proofErr w:type="spellEnd"/>
          </w:p>
        </w:tc>
      </w:tr>
      <w:tr w:rsidR="00C93D0F" w14:paraId="318823BB" w14:textId="77777777" w:rsidTr="00152056">
        <w:trPr>
          <w:trHeight w:val="446"/>
        </w:trPr>
        <w:tc>
          <w:tcPr>
            <w:tcW w:w="3652" w:type="dxa"/>
          </w:tcPr>
          <w:p w14:paraId="7DB27E3D" w14:textId="77777777" w:rsidR="00C93D0F" w:rsidRPr="00D23897" w:rsidRDefault="00C93D0F" w:rsidP="00152056">
            <w:pPr>
              <w:rPr>
                <w:vertAlign w:val="superscript"/>
              </w:rPr>
            </w:pPr>
            <w:r w:rsidRPr="00894772">
              <w:t>Receiv</w:t>
            </w:r>
            <w:r>
              <w:t>ed</w:t>
            </w:r>
            <w:r w:rsidRPr="00894772">
              <w:t xml:space="preserve"> </w:t>
            </w:r>
            <w:r>
              <w:t>lumbar puncture, n</w:t>
            </w:r>
            <w:r w:rsidRPr="00894772">
              <w:t>umber (%)</w:t>
            </w:r>
          </w:p>
        </w:tc>
        <w:tc>
          <w:tcPr>
            <w:tcW w:w="1472" w:type="dxa"/>
          </w:tcPr>
          <w:p w14:paraId="43A1DE09" w14:textId="77777777" w:rsidR="00C93D0F" w:rsidRDefault="00C93D0F" w:rsidP="00152056">
            <w:r>
              <w:t>843 (69.8)</w:t>
            </w:r>
          </w:p>
        </w:tc>
        <w:tc>
          <w:tcPr>
            <w:tcW w:w="1465" w:type="dxa"/>
          </w:tcPr>
          <w:p w14:paraId="33CFE8D8" w14:textId="77777777" w:rsidR="00C93D0F" w:rsidRDefault="00C93D0F" w:rsidP="00152056">
            <w:r>
              <w:t>573 (62.5)</w:t>
            </w:r>
          </w:p>
        </w:tc>
        <w:tc>
          <w:tcPr>
            <w:tcW w:w="1618" w:type="dxa"/>
          </w:tcPr>
          <w:p w14:paraId="4A247DAF" w14:textId="77777777" w:rsidR="00C93D0F" w:rsidRDefault="00C93D0F" w:rsidP="00152056">
            <w:r>
              <w:t>162 (52.3)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74F68CE5" w14:textId="77777777" w:rsidR="00C93D0F" w:rsidRPr="00C35395" w:rsidRDefault="00C93D0F" w:rsidP="00152056">
            <w:pPr>
              <w:rPr>
                <w:vertAlign w:val="superscript"/>
              </w:rPr>
            </w:pPr>
            <w:r>
              <w:t xml:space="preserve">&lt;.001 </w:t>
            </w:r>
            <w:proofErr w:type="spellStart"/>
            <w:proofErr w:type="gramStart"/>
            <w:r>
              <w:rPr>
                <w:vertAlign w:val="superscript"/>
              </w:rPr>
              <w:t>b,c</w:t>
            </w:r>
            <w:proofErr w:type="gramEnd"/>
            <w:r>
              <w:rPr>
                <w:vertAlign w:val="superscript"/>
              </w:rPr>
              <w:t>,d</w:t>
            </w:r>
            <w:proofErr w:type="spellEnd"/>
          </w:p>
        </w:tc>
      </w:tr>
    </w:tbl>
    <w:p w14:paraId="4ECF7E32" w14:textId="77777777" w:rsidR="00C93D0F" w:rsidRDefault="00C93D0F" w:rsidP="00C93D0F">
      <w:pPr>
        <w:spacing w:after="0" w:line="240" w:lineRule="auto"/>
      </w:pPr>
      <w:r>
        <w:t>P1: 1/1/2011-12/31/2014; no clinical practice guideline or rapid multiplex polymerase chain reaction (</w:t>
      </w:r>
      <w:proofErr w:type="spellStart"/>
      <w:r>
        <w:t>mPCR</w:t>
      </w:r>
      <w:proofErr w:type="spellEnd"/>
      <w:r>
        <w:t xml:space="preserve">) testing </w:t>
      </w:r>
    </w:p>
    <w:p w14:paraId="09292606" w14:textId="77777777" w:rsidR="00C93D0F" w:rsidRDefault="00C93D0F" w:rsidP="00C93D0F">
      <w:pPr>
        <w:spacing w:after="0" w:line="240" w:lineRule="auto"/>
      </w:pPr>
      <w:r>
        <w:t xml:space="preserve">P2: 1/1/2015-4/30/2018; clinical practice guideline available, no rapid </w:t>
      </w:r>
      <w:proofErr w:type="spellStart"/>
      <w:r>
        <w:t>mPCR</w:t>
      </w:r>
      <w:proofErr w:type="spellEnd"/>
      <w:r>
        <w:t xml:space="preserve"> testing</w:t>
      </w:r>
    </w:p>
    <w:p w14:paraId="0AA47033" w14:textId="77777777" w:rsidR="00C93D0F" w:rsidRPr="00E707B5" w:rsidRDefault="00C93D0F" w:rsidP="00C93D0F">
      <w:pPr>
        <w:spacing w:after="0" w:line="240" w:lineRule="auto"/>
      </w:pPr>
      <w:r>
        <w:t xml:space="preserve">P3: 5/1/2018-6/15/2019; clinical practice guideline and rapid </w:t>
      </w:r>
      <w:proofErr w:type="spellStart"/>
      <w:r>
        <w:t>mPCR</w:t>
      </w:r>
      <w:proofErr w:type="spellEnd"/>
      <w:r>
        <w:t xml:space="preserve"> testing available</w:t>
      </w:r>
    </w:p>
    <w:p w14:paraId="61711AF5" w14:textId="77777777" w:rsidR="00C93D0F" w:rsidRPr="00D820C8" w:rsidRDefault="00C93D0F" w:rsidP="00C93D0F">
      <w:pPr>
        <w:spacing w:after="0" w:line="240" w:lineRule="auto"/>
      </w:pPr>
      <w:r>
        <w:rPr>
          <w:vertAlign w:val="superscript"/>
        </w:rPr>
        <w:t xml:space="preserve">a </w:t>
      </w:r>
      <w:r>
        <w:t>P-value shown comparing all 3 periods</w:t>
      </w:r>
    </w:p>
    <w:p w14:paraId="4B241F51" w14:textId="77777777" w:rsidR="00C93D0F" w:rsidRPr="00D820C8" w:rsidRDefault="00C93D0F" w:rsidP="00C93D0F">
      <w:pPr>
        <w:spacing w:after="0" w:line="240" w:lineRule="auto"/>
      </w:pPr>
      <w:r>
        <w:rPr>
          <w:vertAlign w:val="superscript"/>
        </w:rPr>
        <w:t xml:space="preserve">b </w:t>
      </w:r>
      <w:r>
        <w:t>Significant difference between all 3 periods, with P-value &lt;.05</w:t>
      </w:r>
    </w:p>
    <w:p w14:paraId="43D238FF" w14:textId="77777777" w:rsidR="00C93D0F" w:rsidRPr="00D820C8" w:rsidRDefault="00C93D0F" w:rsidP="00C93D0F">
      <w:pPr>
        <w:spacing w:after="0" w:line="240" w:lineRule="auto"/>
      </w:pPr>
      <w:r>
        <w:rPr>
          <w:vertAlign w:val="superscript"/>
        </w:rPr>
        <w:t xml:space="preserve">c </w:t>
      </w:r>
      <w:r>
        <w:t>Significant difference between P1 and P2, with P-value &lt;.05</w:t>
      </w:r>
    </w:p>
    <w:p w14:paraId="72E16EEB" w14:textId="77777777" w:rsidR="00C93D0F" w:rsidRPr="00D820C8" w:rsidRDefault="00C93D0F" w:rsidP="00C93D0F">
      <w:pPr>
        <w:spacing w:after="0" w:line="240" w:lineRule="auto"/>
      </w:pPr>
      <w:r>
        <w:rPr>
          <w:vertAlign w:val="superscript"/>
        </w:rPr>
        <w:t>d</w:t>
      </w:r>
      <w:r w:rsidRPr="00312261">
        <w:t xml:space="preserve"> </w:t>
      </w:r>
      <w:r>
        <w:t>Significant difference between P2 and P3, with P-value &lt;.05</w:t>
      </w:r>
    </w:p>
    <w:p w14:paraId="4D6916DF" w14:textId="77777777" w:rsidR="00C93D0F" w:rsidRPr="00312261" w:rsidRDefault="00C93D0F" w:rsidP="00C93D0F">
      <w:pPr>
        <w:spacing w:after="0" w:line="240" w:lineRule="auto"/>
      </w:pPr>
      <w:proofErr w:type="spellStart"/>
      <w:r>
        <w:rPr>
          <w:vertAlign w:val="superscript"/>
        </w:rPr>
        <w:t>e</w:t>
      </w:r>
      <w:proofErr w:type="spellEnd"/>
      <w:r w:rsidRPr="00312261">
        <w:t xml:space="preserve"> </w:t>
      </w:r>
      <w:r>
        <w:t>Considered inpatient if discharged from an inpatient unit</w:t>
      </w:r>
    </w:p>
    <w:p w14:paraId="539F3942" w14:textId="77777777" w:rsidR="00C93D0F" w:rsidRPr="00312261" w:rsidRDefault="00C93D0F" w:rsidP="00C93D0F">
      <w:pPr>
        <w:spacing w:after="0" w:line="240" w:lineRule="auto"/>
      </w:pPr>
      <w:r>
        <w:rPr>
          <w:vertAlign w:val="superscript"/>
        </w:rPr>
        <w:t>f</w:t>
      </w:r>
      <w:r>
        <w:t xml:space="preserve"> </w:t>
      </w:r>
      <w:r w:rsidRPr="00DB36F8">
        <w:t xml:space="preserve">Excludes </w:t>
      </w:r>
      <w:r>
        <w:t>49</w:t>
      </w:r>
      <w:r w:rsidRPr="00DB36F8">
        <w:t xml:space="preserve"> patients in Period 1 and </w:t>
      </w:r>
      <w:r>
        <w:t>27</w:t>
      </w:r>
      <w:r w:rsidRPr="00DB36F8">
        <w:t xml:space="preserve"> patients in Period 2 with </w:t>
      </w:r>
      <w:r>
        <w:t>unverifiable inpatient admission times</w:t>
      </w:r>
    </w:p>
    <w:p w14:paraId="1E64876C" w14:textId="77777777" w:rsidR="00C93D0F" w:rsidRDefault="00C93D0F" w:rsidP="00C93D0F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g </w:t>
      </w:r>
      <w:r>
        <w:t xml:space="preserve">Antimicrobials include </w:t>
      </w:r>
      <w:r w:rsidRPr="0070103E">
        <w:t>acyclovir, ampicillin, cefepime, cefotaxime, ceftriaxone, gentamicin, oseltamivir, penicillin, and vancomycin</w:t>
      </w:r>
    </w:p>
    <w:p w14:paraId="11AC0A09" w14:textId="77777777" w:rsidR="00C93D0F" w:rsidRDefault="00C93D0F" w:rsidP="00C93D0F">
      <w:pPr>
        <w:spacing w:after="0" w:line="240" w:lineRule="auto"/>
      </w:pPr>
      <w:r>
        <w:rPr>
          <w:vertAlign w:val="superscript"/>
        </w:rPr>
        <w:t>h</w:t>
      </w:r>
      <w:r w:rsidRPr="00312261">
        <w:t xml:space="preserve"> </w:t>
      </w:r>
      <w:r>
        <w:t>Among patients receiving more than a single dose of 1-2 antibiotics</w:t>
      </w:r>
    </w:p>
    <w:p w14:paraId="1009BFE8" w14:textId="77777777" w:rsidR="00C93D0F" w:rsidRDefault="00C93D0F" w:rsidP="00C93D0F">
      <w:pPr>
        <w:spacing w:after="0" w:line="240" w:lineRule="auto"/>
        <w:rPr>
          <w:vertAlign w:val="superscript"/>
        </w:rPr>
      </w:pPr>
      <w:r>
        <w:rPr>
          <w:vertAlign w:val="superscript"/>
        </w:rPr>
        <w:lastRenderedPageBreak/>
        <w:t xml:space="preserve">i </w:t>
      </w:r>
      <w:r>
        <w:t>Among patients receiving more than a single dose of 1-2 antivirals</w:t>
      </w:r>
    </w:p>
    <w:p w14:paraId="6113E971" w14:textId="77777777" w:rsidR="00C93D0F" w:rsidRDefault="00C93D0F" w:rsidP="00C93D0F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j </w:t>
      </w:r>
      <w:r>
        <w:t xml:space="preserve">Includes complete blood count, </w:t>
      </w:r>
      <w:r w:rsidRPr="00412299">
        <w:t xml:space="preserve">basic metabolic panel, urinalysis, </w:t>
      </w:r>
      <w:r>
        <w:t>cerebrospinal fluid</w:t>
      </w:r>
      <w:r w:rsidRPr="00412299">
        <w:t xml:space="preserve"> cell count and chemistries, enterovirus </w:t>
      </w:r>
      <w:r>
        <w:t>PCR,</w:t>
      </w:r>
      <w:r w:rsidRPr="00412299">
        <w:t xml:space="preserve"> Respiratory </w:t>
      </w:r>
      <w:r>
        <w:t>S</w:t>
      </w:r>
      <w:r w:rsidRPr="00412299">
        <w:t xml:space="preserve">yncytial </w:t>
      </w:r>
      <w:r>
        <w:t>V</w:t>
      </w:r>
      <w:r w:rsidRPr="00412299">
        <w:t xml:space="preserve">irus antigen, influenza antigen, Herpes </w:t>
      </w:r>
      <w:r>
        <w:t>S</w:t>
      </w:r>
      <w:r w:rsidRPr="00412299">
        <w:t xml:space="preserve">implex </w:t>
      </w:r>
      <w:r>
        <w:t>V</w:t>
      </w:r>
      <w:r w:rsidRPr="00412299">
        <w:t>irus PCR, aspartate aminotransferase, alanine aminotransferase, total and direct bilirubin, and bacterial cultures</w:t>
      </w:r>
      <w:r>
        <w:t xml:space="preserve"> during the hospital encounter</w:t>
      </w:r>
    </w:p>
    <w:p w14:paraId="53EF7CCD" w14:textId="77777777" w:rsidR="00C93D0F" w:rsidRDefault="00C93D0F" w:rsidP="00C93D0F">
      <w:r>
        <w:br w:type="page"/>
      </w:r>
    </w:p>
    <w:p w14:paraId="25939BC4" w14:textId="77777777" w:rsidR="00C93D0F" w:rsidRDefault="00C93D0F" w:rsidP="00C93D0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9"/>
        <w:gridCol w:w="1502"/>
        <w:gridCol w:w="1502"/>
        <w:gridCol w:w="1412"/>
        <w:gridCol w:w="1165"/>
      </w:tblGrid>
      <w:tr w:rsidR="00C93D0F" w14:paraId="5AF2D967" w14:textId="77777777" w:rsidTr="00152056">
        <w:tc>
          <w:tcPr>
            <w:tcW w:w="9350" w:type="dxa"/>
            <w:gridSpan w:val="5"/>
          </w:tcPr>
          <w:p w14:paraId="2ACB7922" w14:textId="77777777" w:rsidR="00C93D0F" w:rsidRPr="00A82C11" w:rsidRDefault="00C93D0F" w:rsidP="00152056">
            <w:pPr>
              <w:rPr>
                <w:b/>
              </w:rPr>
            </w:pPr>
            <w:r>
              <w:br w:type="page"/>
            </w:r>
            <w:r>
              <w:rPr>
                <w:b/>
                <w:sz w:val="32"/>
              </w:rPr>
              <w:t xml:space="preserve">Supplemental </w:t>
            </w:r>
            <w:r w:rsidRPr="00A82C11">
              <w:rPr>
                <w:b/>
                <w:sz w:val="32"/>
              </w:rPr>
              <w:t xml:space="preserve">Table </w:t>
            </w:r>
            <w:r>
              <w:rPr>
                <w:b/>
                <w:sz w:val="32"/>
              </w:rPr>
              <w:t>1c: Outcomes among infants 61-90 days (n=1280)</w:t>
            </w:r>
          </w:p>
        </w:tc>
      </w:tr>
      <w:tr w:rsidR="00C93D0F" w14:paraId="1B8ABB3D" w14:textId="77777777" w:rsidTr="00152056">
        <w:trPr>
          <w:trHeight w:val="446"/>
        </w:trPr>
        <w:tc>
          <w:tcPr>
            <w:tcW w:w="3769" w:type="dxa"/>
            <w:vAlign w:val="bottom"/>
          </w:tcPr>
          <w:p w14:paraId="318B2C45" w14:textId="77777777" w:rsidR="00C93D0F" w:rsidRPr="00A82C11" w:rsidRDefault="00C93D0F" w:rsidP="00152056">
            <w:pPr>
              <w:rPr>
                <w:b/>
              </w:rPr>
            </w:pPr>
            <w:r>
              <w:rPr>
                <w:b/>
              </w:rPr>
              <w:t xml:space="preserve">Characteristic / </w:t>
            </w:r>
            <w:r w:rsidRPr="00A82C11">
              <w:rPr>
                <w:b/>
              </w:rPr>
              <w:t>Outcome</w:t>
            </w:r>
          </w:p>
        </w:tc>
        <w:tc>
          <w:tcPr>
            <w:tcW w:w="1502" w:type="dxa"/>
            <w:vAlign w:val="bottom"/>
          </w:tcPr>
          <w:p w14:paraId="432E2377" w14:textId="77777777" w:rsidR="00C93D0F" w:rsidRPr="00A82C11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P1</w:t>
            </w:r>
          </w:p>
          <w:p w14:paraId="5C13623F" w14:textId="77777777" w:rsidR="00C93D0F" w:rsidRPr="00A82C11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n=</w:t>
            </w:r>
            <w:r>
              <w:rPr>
                <w:b/>
              </w:rPr>
              <w:t>628</w:t>
            </w:r>
          </w:p>
        </w:tc>
        <w:tc>
          <w:tcPr>
            <w:tcW w:w="1502" w:type="dxa"/>
            <w:vAlign w:val="bottom"/>
          </w:tcPr>
          <w:p w14:paraId="6EACF8CE" w14:textId="77777777" w:rsidR="00C93D0F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P2</w:t>
            </w:r>
          </w:p>
          <w:p w14:paraId="7CD1E294" w14:textId="77777777" w:rsidR="00C93D0F" w:rsidRPr="00A82C11" w:rsidRDefault="00C93D0F" w:rsidP="00152056">
            <w:pPr>
              <w:rPr>
                <w:b/>
              </w:rPr>
            </w:pPr>
            <w:r>
              <w:rPr>
                <w:b/>
              </w:rPr>
              <w:t>Guideline</w:t>
            </w:r>
          </w:p>
          <w:p w14:paraId="1AEE4FC3" w14:textId="77777777" w:rsidR="00C93D0F" w:rsidRPr="00A82C11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n=</w:t>
            </w:r>
            <w:r>
              <w:rPr>
                <w:b/>
              </w:rPr>
              <w:t>489</w:t>
            </w:r>
          </w:p>
        </w:tc>
        <w:tc>
          <w:tcPr>
            <w:tcW w:w="1412" w:type="dxa"/>
            <w:vAlign w:val="bottom"/>
          </w:tcPr>
          <w:p w14:paraId="4376B964" w14:textId="77777777" w:rsidR="00C93D0F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P3</w:t>
            </w:r>
          </w:p>
          <w:p w14:paraId="3CB30B18" w14:textId="77777777" w:rsidR="00C93D0F" w:rsidRPr="00A82C11" w:rsidRDefault="00C93D0F" w:rsidP="00152056">
            <w:pPr>
              <w:rPr>
                <w:b/>
              </w:rPr>
            </w:pPr>
            <w:r>
              <w:rPr>
                <w:b/>
              </w:rPr>
              <w:t xml:space="preserve">Guideline plus rapid </w:t>
            </w:r>
            <w:proofErr w:type="spellStart"/>
            <w:r>
              <w:rPr>
                <w:b/>
              </w:rPr>
              <w:t>mPCR</w:t>
            </w:r>
            <w:proofErr w:type="spellEnd"/>
          </w:p>
          <w:p w14:paraId="3BBD626C" w14:textId="77777777" w:rsidR="00C93D0F" w:rsidRPr="00A82C11" w:rsidRDefault="00C93D0F" w:rsidP="00152056">
            <w:pPr>
              <w:rPr>
                <w:b/>
              </w:rPr>
            </w:pPr>
            <w:r w:rsidRPr="00A82C11">
              <w:rPr>
                <w:b/>
              </w:rPr>
              <w:t>n=</w:t>
            </w:r>
            <w:r>
              <w:rPr>
                <w:b/>
              </w:rPr>
              <w:t>163</w:t>
            </w:r>
          </w:p>
        </w:tc>
        <w:tc>
          <w:tcPr>
            <w:tcW w:w="1165" w:type="dxa"/>
            <w:vAlign w:val="bottom"/>
          </w:tcPr>
          <w:p w14:paraId="6B75A6BE" w14:textId="77777777" w:rsidR="00C93D0F" w:rsidRPr="00C35395" w:rsidRDefault="00C93D0F" w:rsidP="00152056">
            <w:pPr>
              <w:rPr>
                <w:b/>
                <w:vertAlign w:val="superscript"/>
              </w:rPr>
            </w:pPr>
            <w:r>
              <w:rPr>
                <w:b/>
                <w:i/>
                <w:iCs/>
              </w:rPr>
              <w:t>P</w:t>
            </w:r>
            <w:r w:rsidRPr="00A82C11">
              <w:rPr>
                <w:b/>
              </w:rPr>
              <w:t>-value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a</w:t>
            </w:r>
          </w:p>
        </w:tc>
      </w:tr>
      <w:tr w:rsidR="00C93D0F" w14:paraId="32CFC71B" w14:textId="77777777" w:rsidTr="00152056">
        <w:trPr>
          <w:trHeight w:val="446"/>
        </w:trPr>
        <w:tc>
          <w:tcPr>
            <w:tcW w:w="3769" w:type="dxa"/>
          </w:tcPr>
          <w:p w14:paraId="343DE283" w14:textId="77777777" w:rsidR="00C93D0F" w:rsidRPr="00211B49" w:rsidRDefault="00C93D0F" w:rsidP="00152056">
            <w:pPr>
              <w:rPr>
                <w:vertAlign w:val="superscript"/>
              </w:rPr>
            </w:pPr>
            <w:r>
              <w:t xml:space="preserve">Admitted </w:t>
            </w:r>
            <w:r>
              <w:rPr>
                <w:vertAlign w:val="superscript"/>
              </w:rPr>
              <w:t>e</w:t>
            </w:r>
            <w:r>
              <w:t xml:space="preserve">, </w:t>
            </w:r>
            <w:r w:rsidRPr="00FB7130">
              <w:t>number (%)</w:t>
            </w:r>
          </w:p>
        </w:tc>
        <w:tc>
          <w:tcPr>
            <w:tcW w:w="1502" w:type="dxa"/>
          </w:tcPr>
          <w:p w14:paraId="45277CC7" w14:textId="77777777" w:rsidR="00C93D0F" w:rsidRDefault="00C93D0F" w:rsidP="00152056">
            <w:r>
              <w:t>146 (23.2)</w:t>
            </w:r>
          </w:p>
        </w:tc>
        <w:tc>
          <w:tcPr>
            <w:tcW w:w="1502" w:type="dxa"/>
          </w:tcPr>
          <w:p w14:paraId="16EAB92F" w14:textId="77777777" w:rsidR="00C93D0F" w:rsidRDefault="00C93D0F" w:rsidP="00152056">
            <w:r>
              <w:t>109 (22.3)</w:t>
            </w:r>
          </w:p>
        </w:tc>
        <w:tc>
          <w:tcPr>
            <w:tcW w:w="1412" w:type="dxa"/>
          </w:tcPr>
          <w:p w14:paraId="45CF0036" w14:textId="77777777" w:rsidR="00C93D0F" w:rsidRPr="008F6DEF" w:rsidRDefault="00C93D0F" w:rsidP="00152056">
            <w:r w:rsidRPr="008F6DEF">
              <w:t>52 (31.9)</w:t>
            </w:r>
          </w:p>
        </w:tc>
        <w:tc>
          <w:tcPr>
            <w:tcW w:w="1165" w:type="dxa"/>
          </w:tcPr>
          <w:p w14:paraId="3148040A" w14:textId="77777777" w:rsidR="00C93D0F" w:rsidRPr="008F6DEF" w:rsidRDefault="00C93D0F" w:rsidP="00152056">
            <w:pPr>
              <w:rPr>
                <w:vertAlign w:val="superscript"/>
              </w:rPr>
            </w:pPr>
            <w:r w:rsidRPr="008F6DEF">
              <w:t>.04</w:t>
            </w:r>
            <w:proofErr w:type="gramStart"/>
            <w:r w:rsidRPr="008F6DEF">
              <w:rPr>
                <w:vertAlign w:val="superscript"/>
              </w:rPr>
              <w:t>b,c</w:t>
            </w:r>
            <w:proofErr w:type="gramEnd"/>
            <w:r w:rsidRPr="008F6DEF">
              <w:rPr>
                <w:vertAlign w:val="superscript"/>
              </w:rPr>
              <w:t>,d</w:t>
            </w:r>
          </w:p>
        </w:tc>
      </w:tr>
      <w:tr w:rsidR="00C93D0F" w14:paraId="47099BEF" w14:textId="77777777" w:rsidTr="00152056">
        <w:trPr>
          <w:trHeight w:val="446"/>
        </w:trPr>
        <w:tc>
          <w:tcPr>
            <w:tcW w:w="3769" w:type="dxa"/>
          </w:tcPr>
          <w:p w14:paraId="6816179F" w14:textId="77777777" w:rsidR="00C93D0F" w:rsidRPr="00FB7130" w:rsidRDefault="00C93D0F" w:rsidP="00152056">
            <w:r>
              <w:t xml:space="preserve">Inpatient LOS </w:t>
            </w:r>
            <w:proofErr w:type="spellStart"/>
            <w:proofErr w:type="gramStart"/>
            <w:r>
              <w:rPr>
                <w:vertAlign w:val="superscript"/>
              </w:rPr>
              <w:t>e,f</w:t>
            </w:r>
            <w:proofErr w:type="spellEnd"/>
            <w:proofErr w:type="gramEnd"/>
            <w:r>
              <w:t>, days, median (IQR)</w:t>
            </w:r>
          </w:p>
        </w:tc>
        <w:tc>
          <w:tcPr>
            <w:tcW w:w="1502" w:type="dxa"/>
          </w:tcPr>
          <w:p w14:paraId="32950D2C" w14:textId="77777777" w:rsidR="00C93D0F" w:rsidRDefault="00C93D0F" w:rsidP="00152056">
            <w:r>
              <w:t>1.9 (1.3-2.8)</w:t>
            </w:r>
          </w:p>
        </w:tc>
        <w:tc>
          <w:tcPr>
            <w:tcW w:w="1502" w:type="dxa"/>
          </w:tcPr>
          <w:p w14:paraId="1B2725BB" w14:textId="77777777" w:rsidR="00C93D0F" w:rsidRDefault="00C93D0F" w:rsidP="00152056">
            <w:r>
              <w:t>1.8 (0.8-2.8)</w:t>
            </w:r>
          </w:p>
        </w:tc>
        <w:tc>
          <w:tcPr>
            <w:tcW w:w="1412" w:type="dxa"/>
          </w:tcPr>
          <w:p w14:paraId="47DF3B1E" w14:textId="77777777" w:rsidR="00C93D0F" w:rsidRPr="008F6DEF" w:rsidRDefault="00C93D0F" w:rsidP="00152056">
            <w:r w:rsidRPr="008F6DEF">
              <w:t>1.5 (0.9-2.4)</w:t>
            </w:r>
          </w:p>
        </w:tc>
        <w:tc>
          <w:tcPr>
            <w:tcW w:w="1165" w:type="dxa"/>
          </w:tcPr>
          <w:p w14:paraId="59EBD2FA" w14:textId="77777777" w:rsidR="00C93D0F" w:rsidRPr="008F6DEF" w:rsidRDefault="00C93D0F" w:rsidP="00152056">
            <w:r w:rsidRPr="008F6DEF">
              <w:t>.07</w:t>
            </w:r>
          </w:p>
        </w:tc>
      </w:tr>
      <w:tr w:rsidR="00C93D0F" w14:paraId="1B9A3574" w14:textId="77777777" w:rsidTr="00152056">
        <w:trPr>
          <w:trHeight w:val="446"/>
        </w:trPr>
        <w:tc>
          <w:tcPr>
            <w:tcW w:w="3769" w:type="dxa"/>
          </w:tcPr>
          <w:p w14:paraId="56AFF4DE" w14:textId="77777777" w:rsidR="00C93D0F" w:rsidRDefault="00C93D0F" w:rsidP="00152056">
            <w:r>
              <w:t>Readmission within 30 days, number (%)</w:t>
            </w:r>
          </w:p>
        </w:tc>
        <w:tc>
          <w:tcPr>
            <w:tcW w:w="1502" w:type="dxa"/>
          </w:tcPr>
          <w:p w14:paraId="3751C8B5" w14:textId="77777777" w:rsidR="00C93D0F" w:rsidRDefault="00C93D0F" w:rsidP="00152056">
            <w:r>
              <w:t>46 (7.3)</w:t>
            </w:r>
          </w:p>
        </w:tc>
        <w:tc>
          <w:tcPr>
            <w:tcW w:w="1502" w:type="dxa"/>
          </w:tcPr>
          <w:p w14:paraId="578D9C59" w14:textId="77777777" w:rsidR="00C93D0F" w:rsidRDefault="00C93D0F" w:rsidP="00152056">
            <w:r>
              <w:t>17 (3.5)</w:t>
            </w:r>
          </w:p>
        </w:tc>
        <w:tc>
          <w:tcPr>
            <w:tcW w:w="1412" w:type="dxa"/>
          </w:tcPr>
          <w:p w14:paraId="6EB3DEF1" w14:textId="77777777" w:rsidR="00C93D0F" w:rsidRPr="008F6DEF" w:rsidRDefault="00C93D0F" w:rsidP="00152056">
            <w:r w:rsidRPr="008F6DEF">
              <w:t>11 (6.7)</w:t>
            </w:r>
          </w:p>
        </w:tc>
        <w:tc>
          <w:tcPr>
            <w:tcW w:w="1165" w:type="dxa"/>
          </w:tcPr>
          <w:p w14:paraId="057CB0E0" w14:textId="77777777" w:rsidR="00C93D0F" w:rsidRPr="008F6DEF" w:rsidRDefault="00C93D0F" w:rsidP="00152056">
            <w:r w:rsidRPr="008F6DEF">
              <w:t>.02</w:t>
            </w:r>
            <w:proofErr w:type="gramStart"/>
            <w:r w:rsidRPr="008F6DEF">
              <w:rPr>
                <w:vertAlign w:val="superscript"/>
              </w:rPr>
              <w:t>b,c</w:t>
            </w:r>
            <w:proofErr w:type="gramEnd"/>
          </w:p>
        </w:tc>
      </w:tr>
      <w:tr w:rsidR="00C93D0F" w14:paraId="2EBB52C6" w14:textId="77777777" w:rsidTr="00152056">
        <w:trPr>
          <w:trHeight w:val="446"/>
        </w:trPr>
        <w:tc>
          <w:tcPr>
            <w:tcW w:w="3769" w:type="dxa"/>
          </w:tcPr>
          <w:p w14:paraId="06015FD6" w14:textId="77777777" w:rsidR="00C93D0F" w:rsidRDefault="00C93D0F" w:rsidP="00152056">
            <w:r>
              <w:t>Deaths within 30 days, number (%)</w:t>
            </w:r>
          </w:p>
        </w:tc>
        <w:tc>
          <w:tcPr>
            <w:tcW w:w="1502" w:type="dxa"/>
          </w:tcPr>
          <w:p w14:paraId="7DC64D29" w14:textId="77777777" w:rsidR="00C93D0F" w:rsidRDefault="00C93D0F" w:rsidP="00152056">
            <w:r>
              <w:t>0 (0.0)</w:t>
            </w:r>
          </w:p>
        </w:tc>
        <w:tc>
          <w:tcPr>
            <w:tcW w:w="1502" w:type="dxa"/>
          </w:tcPr>
          <w:p w14:paraId="3B8B157B" w14:textId="77777777" w:rsidR="00C93D0F" w:rsidRDefault="00C93D0F" w:rsidP="00152056">
            <w:r>
              <w:t>1 (0.2)</w:t>
            </w:r>
          </w:p>
        </w:tc>
        <w:tc>
          <w:tcPr>
            <w:tcW w:w="1412" w:type="dxa"/>
          </w:tcPr>
          <w:p w14:paraId="61C3E5A0" w14:textId="77777777" w:rsidR="00C93D0F" w:rsidRPr="006A652A" w:rsidRDefault="00C93D0F" w:rsidP="00152056">
            <w:pPr>
              <w:rPr>
                <w:highlight w:val="yellow"/>
              </w:rPr>
            </w:pPr>
            <w:r>
              <w:t>0 (0.0)</w:t>
            </w:r>
          </w:p>
        </w:tc>
        <w:tc>
          <w:tcPr>
            <w:tcW w:w="1165" w:type="dxa"/>
          </w:tcPr>
          <w:p w14:paraId="334D1214" w14:textId="77777777" w:rsidR="00C93D0F" w:rsidRDefault="00C93D0F" w:rsidP="00152056">
            <w:r>
              <w:t>-----</w:t>
            </w:r>
          </w:p>
        </w:tc>
      </w:tr>
      <w:tr w:rsidR="00C93D0F" w14:paraId="6F4F1FE8" w14:textId="77777777" w:rsidTr="00152056">
        <w:trPr>
          <w:trHeight w:val="446"/>
        </w:trPr>
        <w:tc>
          <w:tcPr>
            <w:tcW w:w="9350" w:type="dxa"/>
            <w:gridSpan w:val="5"/>
          </w:tcPr>
          <w:p w14:paraId="636330AC" w14:textId="77777777" w:rsidR="00C93D0F" w:rsidRDefault="00C93D0F" w:rsidP="00152056">
            <w:r w:rsidRPr="00E32B45">
              <w:rPr>
                <w:b/>
              </w:rPr>
              <w:t>Antimicrobial usage</w:t>
            </w:r>
          </w:p>
        </w:tc>
      </w:tr>
      <w:tr w:rsidR="00C93D0F" w14:paraId="771707AD" w14:textId="77777777" w:rsidTr="00152056">
        <w:trPr>
          <w:trHeight w:val="446"/>
        </w:trPr>
        <w:tc>
          <w:tcPr>
            <w:tcW w:w="3769" w:type="dxa"/>
          </w:tcPr>
          <w:p w14:paraId="4987F6ED" w14:textId="77777777" w:rsidR="00C93D0F" w:rsidRPr="00182866" w:rsidRDefault="00C93D0F" w:rsidP="00152056">
            <w:pPr>
              <w:rPr>
                <w:vertAlign w:val="superscript"/>
              </w:rPr>
            </w:pPr>
            <w:r>
              <w:rPr>
                <w:b/>
              </w:rPr>
              <w:t xml:space="preserve">  </w:t>
            </w:r>
            <w:r w:rsidRPr="00412299">
              <w:rPr>
                <w:bCs/>
              </w:rPr>
              <w:t>Received</w:t>
            </w:r>
            <w:r>
              <w:rPr>
                <w:b/>
              </w:rPr>
              <w:t xml:space="preserve"> </w:t>
            </w:r>
            <w:r w:rsidRPr="006A652A">
              <w:t>no</w:t>
            </w:r>
            <w:r w:rsidRPr="00894772">
              <w:rPr>
                <w:b/>
              </w:rPr>
              <w:t xml:space="preserve"> </w:t>
            </w:r>
            <w:r w:rsidRPr="00894772">
              <w:t>antimicrobials</w:t>
            </w:r>
            <w:r>
              <w:t xml:space="preserve"> </w:t>
            </w:r>
            <w:r>
              <w:rPr>
                <w:vertAlign w:val="superscript"/>
              </w:rPr>
              <w:t>g</w:t>
            </w:r>
            <w:r>
              <w:t>, number (%)</w:t>
            </w:r>
          </w:p>
        </w:tc>
        <w:tc>
          <w:tcPr>
            <w:tcW w:w="1502" w:type="dxa"/>
          </w:tcPr>
          <w:p w14:paraId="0018AE74" w14:textId="77777777" w:rsidR="00C93D0F" w:rsidRDefault="00C93D0F" w:rsidP="00152056">
            <w:r>
              <w:t>433 (68.9)</w:t>
            </w:r>
          </w:p>
        </w:tc>
        <w:tc>
          <w:tcPr>
            <w:tcW w:w="1502" w:type="dxa"/>
          </w:tcPr>
          <w:p w14:paraId="4DE94F23" w14:textId="77777777" w:rsidR="00C93D0F" w:rsidRDefault="00C93D0F" w:rsidP="00152056">
            <w:r>
              <w:t>371 (75.9)</w:t>
            </w:r>
          </w:p>
        </w:tc>
        <w:tc>
          <w:tcPr>
            <w:tcW w:w="1412" w:type="dxa"/>
          </w:tcPr>
          <w:p w14:paraId="0A8DD7FF" w14:textId="77777777" w:rsidR="00C93D0F" w:rsidRDefault="00C93D0F" w:rsidP="00152056">
            <w:r>
              <w:t>128 (78.5)</w:t>
            </w:r>
          </w:p>
        </w:tc>
        <w:tc>
          <w:tcPr>
            <w:tcW w:w="1165" w:type="dxa"/>
          </w:tcPr>
          <w:p w14:paraId="7EA4106C" w14:textId="77777777" w:rsidR="00C93D0F" w:rsidRPr="00292FB4" w:rsidRDefault="00C93D0F" w:rsidP="00152056">
            <w:pPr>
              <w:rPr>
                <w:vertAlign w:val="superscript"/>
              </w:rPr>
            </w:pPr>
            <w:r>
              <w:t>.008</w:t>
            </w:r>
            <w:proofErr w:type="gramStart"/>
            <w:r>
              <w:rPr>
                <w:vertAlign w:val="superscript"/>
              </w:rPr>
              <w:t>b,c</w:t>
            </w:r>
            <w:proofErr w:type="gramEnd"/>
          </w:p>
        </w:tc>
      </w:tr>
      <w:tr w:rsidR="00C93D0F" w14:paraId="23BEA573" w14:textId="77777777" w:rsidTr="00152056">
        <w:trPr>
          <w:trHeight w:val="446"/>
        </w:trPr>
        <w:tc>
          <w:tcPr>
            <w:tcW w:w="3769" w:type="dxa"/>
          </w:tcPr>
          <w:p w14:paraId="498E6F35" w14:textId="77777777" w:rsidR="00C93D0F" w:rsidRDefault="00C93D0F" w:rsidP="00152056">
            <w:r>
              <w:t xml:space="preserve">  Received a single dose of 1-2 antimicrobials </w:t>
            </w:r>
            <w:r>
              <w:rPr>
                <w:vertAlign w:val="superscript"/>
              </w:rPr>
              <w:t>g</w:t>
            </w:r>
            <w:r>
              <w:t>, number (%)</w:t>
            </w:r>
          </w:p>
        </w:tc>
        <w:tc>
          <w:tcPr>
            <w:tcW w:w="1502" w:type="dxa"/>
          </w:tcPr>
          <w:p w14:paraId="784D2BBA" w14:textId="77777777" w:rsidR="00C93D0F" w:rsidRPr="00DF496F" w:rsidRDefault="00C93D0F" w:rsidP="00152056">
            <w:r>
              <w:t>87 (13.9)</w:t>
            </w:r>
          </w:p>
        </w:tc>
        <w:tc>
          <w:tcPr>
            <w:tcW w:w="1502" w:type="dxa"/>
          </w:tcPr>
          <w:p w14:paraId="439378DA" w14:textId="77777777" w:rsidR="00C93D0F" w:rsidRPr="00DF496F" w:rsidRDefault="00C93D0F" w:rsidP="00152056">
            <w:r>
              <w:t>60 (12.3)</w:t>
            </w:r>
          </w:p>
        </w:tc>
        <w:tc>
          <w:tcPr>
            <w:tcW w:w="1412" w:type="dxa"/>
          </w:tcPr>
          <w:p w14:paraId="0B902DD2" w14:textId="77777777" w:rsidR="00C93D0F" w:rsidRPr="00DF496F" w:rsidRDefault="00C93D0F" w:rsidP="00152056">
            <w:r>
              <w:t>15 (9.2)</w:t>
            </w:r>
          </w:p>
        </w:tc>
        <w:tc>
          <w:tcPr>
            <w:tcW w:w="1165" w:type="dxa"/>
          </w:tcPr>
          <w:p w14:paraId="353A96F9" w14:textId="77777777" w:rsidR="00C93D0F" w:rsidRPr="00712CC5" w:rsidRDefault="00C93D0F" w:rsidP="00152056">
            <w:r>
              <w:t>.267</w:t>
            </w:r>
          </w:p>
        </w:tc>
      </w:tr>
      <w:tr w:rsidR="00C93D0F" w14:paraId="4C96B1CC" w14:textId="77777777" w:rsidTr="00152056">
        <w:trPr>
          <w:trHeight w:val="446"/>
        </w:trPr>
        <w:tc>
          <w:tcPr>
            <w:tcW w:w="3769" w:type="dxa"/>
          </w:tcPr>
          <w:p w14:paraId="63DE0232" w14:textId="77777777" w:rsidR="00C93D0F" w:rsidRDefault="00C93D0F" w:rsidP="00152056">
            <w:r>
              <w:t xml:space="preserve">  Antibiotic </w:t>
            </w:r>
            <w:r w:rsidRPr="00182866">
              <w:t>duration</w:t>
            </w:r>
            <w:r>
              <w:rPr>
                <w:vertAlign w:val="superscript"/>
              </w:rPr>
              <w:t xml:space="preserve"> h</w:t>
            </w:r>
            <w:r>
              <w:t>, days, median (IQR)</w:t>
            </w:r>
          </w:p>
        </w:tc>
        <w:tc>
          <w:tcPr>
            <w:tcW w:w="1502" w:type="dxa"/>
          </w:tcPr>
          <w:p w14:paraId="570714B3" w14:textId="77777777" w:rsidR="00C93D0F" w:rsidRPr="00CB11DC" w:rsidRDefault="00C93D0F" w:rsidP="00152056">
            <w:r>
              <w:t>2.1 (1.3-3.8)</w:t>
            </w:r>
          </w:p>
        </w:tc>
        <w:tc>
          <w:tcPr>
            <w:tcW w:w="1502" w:type="dxa"/>
          </w:tcPr>
          <w:p w14:paraId="45B1FD61" w14:textId="77777777" w:rsidR="00C93D0F" w:rsidRPr="00CB11DC" w:rsidRDefault="00C93D0F" w:rsidP="00152056">
            <w:r>
              <w:t>1.5 (0.9-3.1)</w:t>
            </w:r>
          </w:p>
        </w:tc>
        <w:tc>
          <w:tcPr>
            <w:tcW w:w="1412" w:type="dxa"/>
          </w:tcPr>
          <w:p w14:paraId="585250B9" w14:textId="77777777" w:rsidR="00C93D0F" w:rsidRPr="00CB11DC" w:rsidRDefault="00C93D0F" w:rsidP="00152056">
            <w:r>
              <w:t>1.0 (0.9-3.2)</w:t>
            </w:r>
          </w:p>
        </w:tc>
        <w:tc>
          <w:tcPr>
            <w:tcW w:w="1165" w:type="dxa"/>
          </w:tcPr>
          <w:p w14:paraId="68EFA4EB" w14:textId="77777777" w:rsidR="00C93D0F" w:rsidRPr="00292FB4" w:rsidRDefault="00C93D0F" w:rsidP="00152056">
            <w:pPr>
              <w:rPr>
                <w:vertAlign w:val="superscript"/>
              </w:rPr>
            </w:pPr>
            <w:r>
              <w:t>.02</w:t>
            </w:r>
            <w:proofErr w:type="gramStart"/>
            <w:r>
              <w:rPr>
                <w:vertAlign w:val="superscript"/>
              </w:rPr>
              <w:t>b,c</w:t>
            </w:r>
            <w:proofErr w:type="gramEnd"/>
          </w:p>
        </w:tc>
      </w:tr>
      <w:tr w:rsidR="00C93D0F" w14:paraId="2F71249E" w14:textId="77777777" w:rsidTr="00152056">
        <w:trPr>
          <w:trHeight w:val="446"/>
        </w:trPr>
        <w:tc>
          <w:tcPr>
            <w:tcW w:w="3769" w:type="dxa"/>
          </w:tcPr>
          <w:p w14:paraId="4C2FC490" w14:textId="77777777" w:rsidR="00C93D0F" w:rsidRPr="00CB11DC" w:rsidRDefault="00C93D0F" w:rsidP="00152056">
            <w:r>
              <w:t xml:space="preserve">  Antiviral</w:t>
            </w:r>
            <w:r w:rsidRPr="00CB11DC">
              <w:t xml:space="preserve"> duration</w:t>
            </w:r>
            <w:r>
              <w:rPr>
                <w:vertAlign w:val="superscript"/>
              </w:rPr>
              <w:t xml:space="preserve"> i</w:t>
            </w:r>
            <w:r>
              <w:t xml:space="preserve">, </w:t>
            </w:r>
            <w:r w:rsidRPr="00CB11DC">
              <w:t>days</w:t>
            </w:r>
            <w:r>
              <w:t>, median (IQR)</w:t>
            </w:r>
          </w:p>
        </w:tc>
        <w:tc>
          <w:tcPr>
            <w:tcW w:w="1502" w:type="dxa"/>
          </w:tcPr>
          <w:p w14:paraId="5F949FE7" w14:textId="77777777" w:rsidR="00C93D0F" w:rsidRPr="00CB11DC" w:rsidRDefault="00C93D0F" w:rsidP="00152056">
            <w:r>
              <w:t>1.3 (0.6-2.0)</w:t>
            </w:r>
          </w:p>
        </w:tc>
        <w:tc>
          <w:tcPr>
            <w:tcW w:w="1502" w:type="dxa"/>
          </w:tcPr>
          <w:p w14:paraId="63C747B8" w14:textId="77777777" w:rsidR="00C93D0F" w:rsidRPr="00CB11DC" w:rsidRDefault="00C93D0F" w:rsidP="00152056">
            <w:r>
              <w:t>1.6 (0.7-3.4)</w:t>
            </w:r>
          </w:p>
        </w:tc>
        <w:tc>
          <w:tcPr>
            <w:tcW w:w="1412" w:type="dxa"/>
          </w:tcPr>
          <w:p w14:paraId="6F173FC6" w14:textId="77777777" w:rsidR="00C93D0F" w:rsidRPr="00CB11DC" w:rsidRDefault="00C93D0F" w:rsidP="00152056">
            <w:r>
              <w:t>0.8 (0.6-1.0)</w:t>
            </w:r>
          </w:p>
        </w:tc>
        <w:tc>
          <w:tcPr>
            <w:tcW w:w="1165" w:type="dxa"/>
          </w:tcPr>
          <w:p w14:paraId="69F67847" w14:textId="77777777" w:rsidR="00C93D0F" w:rsidRPr="00712CC5" w:rsidRDefault="00C93D0F" w:rsidP="00152056">
            <w:r>
              <w:t>.42</w:t>
            </w:r>
          </w:p>
        </w:tc>
      </w:tr>
      <w:tr w:rsidR="00C93D0F" w14:paraId="2CD1E3F5" w14:textId="77777777" w:rsidTr="00152056">
        <w:trPr>
          <w:trHeight w:val="446"/>
        </w:trPr>
        <w:tc>
          <w:tcPr>
            <w:tcW w:w="3769" w:type="dxa"/>
          </w:tcPr>
          <w:p w14:paraId="22969FA9" w14:textId="77777777" w:rsidR="00C93D0F" w:rsidRPr="00D23897" w:rsidRDefault="00C93D0F" w:rsidP="00152056">
            <w:pPr>
              <w:rPr>
                <w:vertAlign w:val="superscript"/>
              </w:rPr>
            </w:pPr>
            <w:r>
              <w:t>Number</w:t>
            </w:r>
            <w:r w:rsidRPr="00894772">
              <w:t xml:space="preserve"> of ancillary tests per </w:t>
            </w:r>
            <w:r w:rsidRPr="00182866">
              <w:t>patient</w:t>
            </w:r>
            <w:r>
              <w:t xml:space="preserve"> </w:t>
            </w:r>
            <w:r>
              <w:rPr>
                <w:vertAlign w:val="superscript"/>
              </w:rPr>
              <w:t>j</w:t>
            </w:r>
            <w:r>
              <w:t>, median (IQR)</w:t>
            </w:r>
          </w:p>
        </w:tc>
        <w:tc>
          <w:tcPr>
            <w:tcW w:w="1502" w:type="dxa"/>
          </w:tcPr>
          <w:p w14:paraId="0777DD35" w14:textId="77777777" w:rsidR="00C93D0F" w:rsidRDefault="00C93D0F" w:rsidP="00152056">
            <w:r>
              <w:t>4 (2-6)</w:t>
            </w:r>
          </w:p>
        </w:tc>
        <w:tc>
          <w:tcPr>
            <w:tcW w:w="1502" w:type="dxa"/>
          </w:tcPr>
          <w:p w14:paraId="1C6DE052" w14:textId="77777777" w:rsidR="00C93D0F" w:rsidRDefault="00C93D0F" w:rsidP="00152056">
            <w:r>
              <w:t>2 (0-5)</w:t>
            </w:r>
          </w:p>
        </w:tc>
        <w:tc>
          <w:tcPr>
            <w:tcW w:w="1412" w:type="dxa"/>
          </w:tcPr>
          <w:p w14:paraId="3E4367C1" w14:textId="77777777" w:rsidR="00C93D0F" w:rsidRDefault="00C93D0F" w:rsidP="00152056">
            <w:r>
              <w:t>3 (1-5)</w:t>
            </w:r>
          </w:p>
        </w:tc>
        <w:tc>
          <w:tcPr>
            <w:tcW w:w="1165" w:type="dxa"/>
          </w:tcPr>
          <w:p w14:paraId="3AF03945" w14:textId="77777777" w:rsidR="00C93D0F" w:rsidRPr="00292FB4" w:rsidRDefault="00C93D0F" w:rsidP="00152056">
            <w:pPr>
              <w:rPr>
                <w:vertAlign w:val="superscript"/>
              </w:rPr>
            </w:pPr>
            <w:r>
              <w:t>&lt;.001</w:t>
            </w:r>
            <w:proofErr w:type="gramStart"/>
            <w:r>
              <w:rPr>
                <w:vertAlign w:val="superscript"/>
              </w:rPr>
              <w:t>b,c</w:t>
            </w:r>
            <w:proofErr w:type="gramEnd"/>
          </w:p>
        </w:tc>
      </w:tr>
      <w:tr w:rsidR="00C93D0F" w14:paraId="688B77E2" w14:textId="77777777" w:rsidTr="00152056">
        <w:trPr>
          <w:trHeight w:val="446"/>
        </w:trPr>
        <w:tc>
          <w:tcPr>
            <w:tcW w:w="3769" w:type="dxa"/>
          </w:tcPr>
          <w:p w14:paraId="0B230A52" w14:textId="77777777" w:rsidR="00C93D0F" w:rsidRDefault="00C93D0F" w:rsidP="00152056">
            <w:r w:rsidRPr="00894772">
              <w:t>Receiv</w:t>
            </w:r>
            <w:r>
              <w:t>ed</w:t>
            </w:r>
            <w:r w:rsidRPr="00894772">
              <w:t xml:space="preserve"> </w:t>
            </w:r>
            <w:r>
              <w:t>c</w:t>
            </w:r>
            <w:r w:rsidRPr="00894772">
              <w:t xml:space="preserve">hest </w:t>
            </w:r>
            <w:r>
              <w:t>radiograph, n</w:t>
            </w:r>
            <w:r w:rsidRPr="00894772">
              <w:t>umber (%)</w:t>
            </w:r>
          </w:p>
        </w:tc>
        <w:tc>
          <w:tcPr>
            <w:tcW w:w="1502" w:type="dxa"/>
          </w:tcPr>
          <w:p w14:paraId="5A4F96DF" w14:textId="77777777" w:rsidR="00C93D0F" w:rsidRDefault="00C93D0F" w:rsidP="00152056">
            <w:r>
              <w:t>159 (25.3)</w:t>
            </w:r>
          </w:p>
        </w:tc>
        <w:tc>
          <w:tcPr>
            <w:tcW w:w="1502" w:type="dxa"/>
          </w:tcPr>
          <w:p w14:paraId="3A5BD3DC" w14:textId="77777777" w:rsidR="00C93D0F" w:rsidRDefault="00C93D0F" w:rsidP="00152056">
            <w:r>
              <w:t>81 (16.6)</w:t>
            </w:r>
          </w:p>
        </w:tc>
        <w:tc>
          <w:tcPr>
            <w:tcW w:w="1412" w:type="dxa"/>
          </w:tcPr>
          <w:p w14:paraId="6FDB7982" w14:textId="77777777" w:rsidR="00C93D0F" w:rsidRDefault="00C93D0F" w:rsidP="00152056">
            <w:r>
              <w:t>22 (13.5)</w:t>
            </w:r>
          </w:p>
        </w:tc>
        <w:tc>
          <w:tcPr>
            <w:tcW w:w="1165" w:type="dxa"/>
          </w:tcPr>
          <w:p w14:paraId="51D16138" w14:textId="77777777" w:rsidR="00C93D0F" w:rsidRPr="00292FB4" w:rsidRDefault="00C93D0F" w:rsidP="00152056">
            <w:pPr>
              <w:rPr>
                <w:vertAlign w:val="superscript"/>
              </w:rPr>
            </w:pPr>
            <w:r>
              <w:t>&lt;.001</w:t>
            </w:r>
            <w:r>
              <w:rPr>
                <w:vertAlign w:val="superscript"/>
              </w:rPr>
              <w:t>b</w:t>
            </w:r>
          </w:p>
        </w:tc>
      </w:tr>
      <w:tr w:rsidR="00C93D0F" w14:paraId="0162390B" w14:textId="77777777" w:rsidTr="00152056">
        <w:trPr>
          <w:trHeight w:val="446"/>
        </w:trPr>
        <w:tc>
          <w:tcPr>
            <w:tcW w:w="3769" w:type="dxa"/>
          </w:tcPr>
          <w:p w14:paraId="49831170" w14:textId="77777777" w:rsidR="00C93D0F" w:rsidRPr="00D23897" w:rsidRDefault="00C93D0F" w:rsidP="00152056">
            <w:pPr>
              <w:rPr>
                <w:vertAlign w:val="superscript"/>
              </w:rPr>
            </w:pPr>
            <w:r w:rsidRPr="00894772">
              <w:t>Receiv</w:t>
            </w:r>
            <w:r>
              <w:t>ed</w:t>
            </w:r>
            <w:r w:rsidRPr="00894772">
              <w:t xml:space="preserve"> </w:t>
            </w:r>
            <w:r>
              <w:t>lumbar puncture, n</w:t>
            </w:r>
            <w:r w:rsidRPr="00894772">
              <w:t>umber (%)</w:t>
            </w:r>
          </w:p>
        </w:tc>
        <w:tc>
          <w:tcPr>
            <w:tcW w:w="1502" w:type="dxa"/>
          </w:tcPr>
          <w:p w14:paraId="4440C496" w14:textId="77777777" w:rsidR="00C93D0F" w:rsidRDefault="00C93D0F" w:rsidP="00152056">
            <w:r>
              <w:t>118 (18.8)</w:t>
            </w:r>
          </w:p>
        </w:tc>
        <w:tc>
          <w:tcPr>
            <w:tcW w:w="1502" w:type="dxa"/>
          </w:tcPr>
          <w:p w14:paraId="03C2929A" w14:textId="77777777" w:rsidR="00C93D0F" w:rsidRDefault="00C93D0F" w:rsidP="00152056">
            <w:r>
              <w:t>63 (12.9)</w:t>
            </w:r>
          </w:p>
        </w:tc>
        <w:tc>
          <w:tcPr>
            <w:tcW w:w="1412" w:type="dxa"/>
          </w:tcPr>
          <w:p w14:paraId="5A7EC4D5" w14:textId="77777777" w:rsidR="00C93D0F" w:rsidRDefault="00C93D0F" w:rsidP="00152056">
            <w:r>
              <w:t>25 (15.3)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4C5203A2" w14:textId="77777777" w:rsidR="00C93D0F" w:rsidRPr="00292FB4" w:rsidRDefault="00C93D0F" w:rsidP="00152056">
            <w:pPr>
              <w:rPr>
                <w:vertAlign w:val="superscript"/>
              </w:rPr>
            </w:pPr>
            <w:r>
              <w:t>.028</w:t>
            </w:r>
            <w:proofErr w:type="gramStart"/>
            <w:r>
              <w:rPr>
                <w:vertAlign w:val="superscript"/>
              </w:rPr>
              <w:t>b,c</w:t>
            </w:r>
            <w:proofErr w:type="gramEnd"/>
          </w:p>
        </w:tc>
      </w:tr>
    </w:tbl>
    <w:p w14:paraId="303310A5" w14:textId="77777777" w:rsidR="00C93D0F" w:rsidRDefault="00C93D0F" w:rsidP="00C93D0F">
      <w:pPr>
        <w:spacing w:after="0" w:line="240" w:lineRule="auto"/>
      </w:pPr>
      <w:r>
        <w:t>P1: 1/1/2011-12/31/2014; no clinical practice guideline or rapid multiplex polymerase chain reaction (</w:t>
      </w:r>
      <w:proofErr w:type="spellStart"/>
      <w:r>
        <w:t>mPCR</w:t>
      </w:r>
      <w:proofErr w:type="spellEnd"/>
      <w:r>
        <w:t xml:space="preserve">) testing </w:t>
      </w:r>
    </w:p>
    <w:p w14:paraId="321265E1" w14:textId="77777777" w:rsidR="00C93D0F" w:rsidRDefault="00C93D0F" w:rsidP="00C93D0F">
      <w:pPr>
        <w:spacing w:after="0" w:line="240" w:lineRule="auto"/>
      </w:pPr>
      <w:r>
        <w:t xml:space="preserve">P2: 1/1/2015-4/30/2018; clinical practice guideline available, no rapid </w:t>
      </w:r>
      <w:proofErr w:type="spellStart"/>
      <w:r>
        <w:t>mPCR</w:t>
      </w:r>
      <w:proofErr w:type="spellEnd"/>
      <w:r>
        <w:t xml:space="preserve"> testing</w:t>
      </w:r>
    </w:p>
    <w:p w14:paraId="06DB4936" w14:textId="77777777" w:rsidR="00C93D0F" w:rsidRPr="00E707B5" w:rsidRDefault="00C93D0F" w:rsidP="00C93D0F">
      <w:pPr>
        <w:spacing w:after="0" w:line="240" w:lineRule="auto"/>
      </w:pPr>
      <w:r>
        <w:t xml:space="preserve">P3: 5/1/2018-6/15/2019; clinical practice guideline and rapid </w:t>
      </w:r>
      <w:proofErr w:type="spellStart"/>
      <w:r>
        <w:t>mPCR</w:t>
      </w:r>
      <w:proofErr w:type="spellEnd"/>
      <w:r>
        <w:t xml:space="preserve"> testing available</w:t>
      </w:r>
    </w:p>
    <w:p w14:paraId="25945DFE" w14:textId="77777777" w:rsidR="00C93D0F" w:rsidRPr="00D820C8" w:rsidRDefault="00C93D0F" w:rsidP="00C93D0F">
      <w:pPr>
        <w:spacing w:after="0" w:line="240" w:lineRule="auto"/>
      </w:pPr>
      <w:r>
        <w:rPr>
          <w:vertAlign w:val="superscript"/>
        </w:rPr>
        <w:t xml:space="preserve">a </w:t>
      </w:r>
      <w:r>
        <w:t>P-value shown comparing all 3 periods</w:t>
      </w:r>
    </w:p>
    <w:p w14:paraId="47E6B267" w14:textId="77777777" w:rsidR="00C93D0F" w:rsidRPr="00D820C8" w:rsidRDefault="00C93D0F" w:rsidP="00C93D0F">
      <w:pPr>
        <w:spacing w:after="0" w:line="240" w:lineRule="auto"/>
      </w:pPr>
      <w:r>
        <w:rPr>
          <w:vertAlign w:val="superscript"/>
        </w:rPr>
        <w:t xml:space="preserve">b </w:t>
      </w:r>
      <w:r>
        <w:t>Significant difference between all 3 periods, with P-value &lt;.05</w:t>
      </w:r>
    </w:p>
    <w:p w14:paraId="7856E26F" w14:textId="77777777" w:rsidR="00C93D0F" w:rsidRPr="00D820C8" w:rsidRDefault="00C93D0F" w:rsidP="00C93D0F">
      <w:pPr>
        <w:spacing w:after="0" w:line="240" w:lineRule="auto"/>
      </w:pPr>
      <w:r>
        <w:rPr>
          <w:vertAlign w:val="superscript"/>
        </w:rPr>
        <w:t xml:space="preserve">c </w:t>
      </w:r>
      <w:r>
        <w:t>Significant difference between P1 and P2, with P-value &lt;.05</w:t>
      </w:r>
    </w:p>
    <w:p w14:paraId="3839A9B8" w14:textId="77777777" w:rsidR="00C93D0F" w:rsidRPr="00D820C8" w:rsidRDefault="00C93D0F" w:rsidP="00C93D0F">
      <w:pPr>
        <w:spacing w:after="0" w:line="240" w:lineRule="auto"/>
      </w:pPr>
      <w:r>
        <w:rPr>
          <w:vertAlign w:val="superscript"/>
        </w:rPr>
        <w:t>d</w:t>
      </w:r>
      <w:r w:rsidRPr="00312261">
        <w:t xml:space="preserve"> </w:t>
      </w:r>
      <w:r>
        <w:t>Significant difference between P2 and P3, with P-value &lt;.05</w:t>
      </w:r>
    </w:p>
    <w:p w14:paraId="1730D92E" w14:textId="77777777" w:rsidR="00C93D0F" w:rsidRPr="00312261" w:rsidRDefault="00C93D0F" w:rsidP="00C93D0F">
      <w:pPr>
        <w:spacing w:after="0" w:line="240" w:lineRule="auto"/>
      </w:pPr>
      <w:proofErr w:type="spellStart"/>
      <w:r>
        <w:rPr>
          <w:vertAlign w:val="superscript"/>
        </w:rPr>
        <w:t>e</w:t>
      </w:r>
      <w:proofErr w:type="spellEnd"/>
      <w:r w:rsidRPr="00312261">
        <w:t xml:space="preserve"> </w:t>
      </w:r>
      <w:r>
        <w:t>Considered inpatient if discharged from an inpatient unit</w:t>
      </w:r>
    </w:p>
    <w:p w14:paraId="48086B50" w14:textId="77777777" w:rsidR="00C93D0F" w:rsidRPr="00312261" w:rsidRDefault="00C93D0F" w:rsidP="00C93D0F">
      <w:pPr>
        <w:spacing w:after="0" w:line="240" w:lineRule="auto"/>
      </w:pPr>
      <w:r>
        <w:rPr>
          <w:vertAlign w:val="superscript"/>
        </w:rPr>
        <w:t>f</w:t>
      </w:r>
      <w:r>
        <w:t xml:space="preserve"> </w:t>
      </w:r>
      <w:r w:rsidRPr="00DB36F8">
        <w:t>Excludes</w:t>
      </w:r>
      <w:r>
        <w:t xml:space="preserve"> 14</w:t>
      </w:r>
      <w:r w:rsidRPr="00DB36F8">
        <w:t xml:space="preserve"> patients in Period 1 and</w:t>
      </w:r>
      <w:r>
        <w:t xml:space="preserve"> 5 </w:t>
      </w:r>
      <w:r w:rsidRPr="00DB36F8">
        <w:t xml:space="preserve">patients in Period 2 with </w:t>
      </w:r>
      <w:r>
        <w:t>unverifiable inpatient admission times</w:t>
      </w:r>
    </w:p>
    <w:p w14:paraId="0609BF59" w14:textId="77777777" w:rsidR="00C93D0F" w:rsidRDefault="00C93D0F" w:rsidP="00C93D0F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g </w:t>
      </w:r>
      <w:r>
        <w:t xml:space="preserve">Antimicrobials include </w:t>
      </w:r>
      <w:r w:rsidRPr="0070103E">
        <w:t>acyclovir, ampicillin, cefepime, cefotaxime, ceftriaxone, gentamicin, oseltamivir, penicillin, and vancomycin</w:t>
      </w:r>
    </w:p>
    <w:p w14:paraId="3EFE604C" w14:textId="77777777" w:rsidR="00C93D0F" w:rsidRDefault="00C93D0F" w:rsidP="00C93D0F">
      <w:pPr>
        <w:spacing w:after="0" w:line="240" w:lineRule="auto"/>
      </w:pPr>
      <w:r>
        <w:rPr>
          <w:vertAlign w:val="superscript"/>
        </w:rPr>
        <w:t>h</w:t>
      </w:r>
      <w:r w:rsidRPr="00312261">
        <w:t xml:space="preserve"> </w:t>
      </w:r>
      <w:r>
        <w:t>Among patients receiving more than a single dose of 1-2 antibiotics</w:t>
      </w:r>
    </w:p>
    <w:p w14:paraId="3FC10878" w14:textId="77777777" w:rsidR="00C93D0F" w:rsidRDefault="00C93D0F" w:rsidP="00C93D0F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i </w:t>
      </w:r>
      <w:r>
        <w:t>Among patients receiving more than a single dose of 1-2 antivirals</w:t>
      </w:r>
    </w:p>
    <w:p w14:paraId="6B6EBAA8" w14:textId="77777777" w:rsidR="00C93D0F" w:rsidRDefault="00C93D0F" w:rsidP="00C93D0F">
      <w:pPr>
        <w:spacing w:after="0" w:line="240" w:lineRule="auto"/>
      </w:pPr>
      <w:r>
        <w:rPr>
          <w:vertAlign w:val="superscript"/>
        </w:rPr>
        <w:lastRenderedPageBreak/>
        <w:t xml:space="preserve">j </w:t>
      </w:r>
      <w:r>
        <w:t xml:space="preserve">Includes complete blood count, </w:t>
      </w:r>
      <w:r w:rsidRPr="00412299">
        <w:t xml:space="preserve">basic metabolic panel, urinalysis, </w:t>
      </w:r>
      <w:r>
        <w:t>cerebrospinal fluid</w:t>
      </w:r>
      <w:r w:rsidRPr="00412299">
        <w:t xml:space="preserve"> cell count and chemistries, enterovirus </w:t>
      </w:r>
      <w:r>
        <w:t>PCR</w:t>
      </w:r>
      <w:r w:rsidRPr="00412299">
        <w:t xml:space="preserve">, Respiratory </w:t>
      </w:r>
      <w:r>
        <w:t>S</w:t>
      </w:r>
      <w:r w:rsidRPr="00412299">
        <w:t xml:space="preserve">yncytial </w:t>
      </w:r>
      <w:r>
        <w:t>V</w:t>
      </w:r>
      <w:r w:rsidRPr="00412299">
        <w:t xml:space="preserve">irus antigen, influenza antigen, Herpes </w:t>
      </w:r>
      <w:r>
        <w:t>S</w:t>
      </w:r>
      <w:r w:rsidRPr="00412299">
        <w:t xml:space="preserve">implex </w:t>
      </w:r>
      <w:r>
        <w:t>V</w:t>
      </w:r>
      <w:r w:rsidRPr="00412299">
        <w:t>irus PCR, aspartate aminotransferase, alanine aminotransferase, total and direct bilirubin, and bacterial cultures</w:t>
      </w:r>
      <w:r>
        <w:t xml:space="preserve"> obtained during the hospital encounter</w:t>
      </w:r>
    </w:p>
    <w:p w14:paraId="11FBC1C9" w14:textId="77777777" w:rsidR="00C93D0F" w:rsidRDefault="00C93D0F" w:rsidP="00C93D0F">
      <w:pPr>
        <w:spacing w:after="0" w:line="240" w:lineRule="auto"/>
      </w:pPr>
    </w:p>
    <w:p w14:paraId="0245EE27" w14:textId="77777777" w:rsidR="00C93D0F" w:rsidRDefault="00C93D0F">
      <w:r>
        <w:br w:type="page"/>
      </w:r>
    </w:p>
    <w:p w14:paraId="4FCDEF23" w14:textId="77777777" w:rsidR="00C93D0F" w:rsidRDefault="00C93D0F" w:rsidP="00C93D0F">
      <w:pPr>
        <w:spacing w:after="0" w:line="240" w:lineRule="auto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769"/>
        <w:gridCol w:w="1502"/>
        <w:gridCol w:w="1502"/>
        <w:gridCol w:w="2672"/>
      </w:tblGrid>
      <w:tr w:rsidR="00C93D0F" w14:paraId="22F59470" w14:textId="77777777" w:rsidTr="00152056">
        <w:tc>
          <w:tcPr>
            <w:tcW w:w="9445" w:type="dxa"/>
            <w:gridSpan w:val="4"/>
          </w:tcPr>
          <w:p w14:paraId="2A5BE890" w14:textId="77777777" w:rsidR="00C93D0F" w:rsidRPr="00A82C11" w:rsidRDefault="00C93D0F" w:rsidP="00152056">
            <w:pPr>
              <w:rPr>
                <w:b/>
              </w:rPr>
            </w:pPr>
            <w:r>
              <w:br w:type="page"/>
            </w:r>
            <w:r>
              <w:rPr>
                <w:b/>
                <w:sz w:val="32"/>
              </w:rPr>
              <w:t xml:space="preserve">Supplemental </w:t>
            </w:r>
            <w:r w:rsidRPr="00A82C11">
              <w:rPr>
                <w:b/>
                <w:sz w:val="32"/>
              </w:rPr>
              <w:t xml:space="preserve">Table </w:t>
            </w:r>
            <w:r>
              <w:rPr>
                <w:b/>
                <w:sz w:val="32"/>
              </w:rPr>
              <w:t xml:space="preserve">2: Combinations of </w:t>
            </w:r>
            <w:proofErr w:type="spellStart"/>
            <w:r>
              <w:rPr>
                <w:b/>
                <w:sz w:val="32"/>
              </w:rPr>
              <w:t>mPCR</w:t>
            </w:r>
            <w:proofErr w:type="spellEnd"/>
            <w:r>
              <w:rPr>
                <w:b/>
                <w:sz w:val="32"/>
              </w:rPr>
              <w:t xml:space="preserve"> testing in P3 (n=512)</w:t>
            </w:r>
          </w:p>
        </w:tc>
      </w:tr>
      <w:tr w:rsidR="00C93D0F" w14:paraId="1E5AB638" w14:textId="77777777" w:rsidTr="00152056">
        <w:trPr>
          <w:trHeight w:val="446"/>
        </w:trPr>
        <w:tc>
          <w:tcPr>
            <w:tcW w:w="3769" w:type="dxa"/>
            <w:vAlign w:val="bottom"/>
          </w:tcPr>
          <w:p w14:paraId="424C4209" w14:textId="77777777" w:rsidR="00C93D0F" w:rsidRPr="00A82C11" w:rsidRDefault="00C93D0F" w:rsidP="00152056">
            <w:pPr>
              <w:rPr>
                <w:b/>
              </w:rPr>
            </w:pPr>
            <w:r>
              <w:rPr>
                <w:b/>
              </w:rPr>
              <w:t>Characteristic</w:t>
            </w:r>
          </w:p>
        </w:tc>
        <w:tc>
          <w:tcPr>
            <w:tcW w:w="1502" w:type="dxa"/>
            <w:vAlign w:val="bottom"/>
          </w:tcPr>
          <w:p w14:paraId="028E39B3" w14:textId="77777777" w:rsidR="00C93D0F" w:rsidRPr="00A82C11" w:rsidRDefault="00C93D0F" w:rsidP="00152056">
            <w:pPr>
              <w:rPr>
                <w:b/>
              </w:rPr>
            </w:pPr>
            <w:r>
              <w:rPr>
                <w:b/>
              </w:rPr>
              <w:t>RP Only</w:t>
            </w:r>
          </w:p>
        </w:tc>
        <w:tc>
          <w:tcPr>
            <w:tcW w:w="1502" w:type="dxa"/>
            <w:vAlign w:val="bottom"/>
          </w:tcPr>
          <w:p w14:paraId="2548471E" w14:textId="77777777" w:rsidR="00C93D0F" w:rsidRPr="00A82C11" w:rsidRDefault="00C93D0F" w:rsidP="00152056">
            <w:pPr>
              <w:rPr>
                <w:b/>
              </w:rPr>
            </w:pPr>
            <w:r>
              <w:rPr>
                <w:b/>
              </w:rPr>
              <w:t>RP and MEP</w:t>
            </w:r>
          </w:p>
        </w:tc>
        <w:tc>
          <w:tcPr>
            <w:tcW w:w="2672" w:type="dxa"/>
            <w:vAlign w:val="bottom"/>
          </w:tcPr>
          <w:p w14:paraId="60DD217E" w14:textId="77777777" w:rsidR="00C93D0F" w:rsidRPr="00A82C11" w:rsidRDefault="00C93D0F" w:rsidP="00152056">
            <w:pPr>
              <w:rPr>
                <w:b/>
              </w:rPr>
            </w:pPr>
            <w:r>
              <w:rPr>
                <w:b/>
              </w:rPr>
              <w:t>MEP Only</w:t>
            </w:r>
          </w:p>
        </w:tc>
      </w:tr>
      <w:tr w:rsidR="00C93D0F" w14:paraId="61D9CD58" w14:textId="77777777" w:rsidTr="00152056">
        <w:trPr>
          <w:trHeight w:val="446"/>
        </w:trPr>
        <w:tc>
          <w:tcPr>
            <w:tcW w:w="3769" w:type="dxa"/>
          </w:tcPr>
          <w:p w14:paraId="190D34D9" w14:textId="77777777" w:rsidR="00C93D0F" w:rsidRPr="00211B49" w:rsidRDefault="00C93D0F" w:rsidP="00152056">
            <w:pPr>
              <w:rPr>
                <w:vertAlign w:val="superscript"/>
              </w:rPr>
            </w:pPr>
            <w:r>
              <w:t xml:space="preserve">Number (%) of patients receiving </w:t>
            </w:r>
            <w:proofErr w:type="spellStart"/>
            <w:r>
              <w:t>mPCR</w:t>
            </w:r>
            <w:proofErr w:type="spellEnd"/>
            <w:r>
              <w:t xml:space="preserve"> testing</w:t>
            </w:r>
          </w:p>
        </w:tc>
        <w:tc>
          <w:tcPr>
            <w:tcW w:w="1502" w:type="dxa"/>
          </w:tcPr>
          <w:p w14:paraId="2AB12CA5" w14:textId="77777777" w:rsidR="00C93D0F" w:rsidRDefault="00C93D0F" w:rsidP="00152056">
            <w:r>
              <w:t>308 (60.2)</w:t>
            </w:r>
          </w:p>
        </w:tc>
        <w:tc>
          <w:tcPr>
            <w:tcW w:w="1502" w:type="dxa"/>
          </w:tcPr>
          <w:p w14:paraId="6A0A782D" w14:textId="77777777" w:rsidR="00C93D0F" w:rsidRDefault="00C93D0F" w:rsidP="00152056">
            <w:r>
              <w:t>162 (31.6)</w:t>
            </w:r>
          </w:p>
        </w:tc>
        <w:tc>
          <w:tcPr>
            <w:tcW w:w="2672" w:type="dxa"/>
          </w:tcPr>
          <w:p w14:paraId="2EB14611" w14:textId="77777777" w:rsidR="00C93D0F" w:rsidRPr="004D6C78" w:rsidRDefault="00C93D0F" w:rsidP="00152056">
            <w:r w:rsidRPr="004D6C78">
              <w:t>42 (8.2)</w:t>
            </w:r>
          </w:p>
        </w:tc>
      </w:tr>
      <w:tr w:rsidR="00C93D0F" w14:paraId="5EE2EA08" w14:textId="77777777" w:rsidTr="00152056">
        <w:trPr>
          <w:trHeight w:val="446"/>
        </w:trPr>
        <w:tc>
          <w:tcPr>
            <w:tcW w:w="3769" w:type="dxa"/>
          </w:tcPr>
          <w:p w14:paraId="7BA79AA2" w14:textId="77777777" w:rsidR="00C93D0F" w:rsidRPr="00FB7130" w:rsidRDefault="00C93D0F" w:rsidP="00152056">
            <w:r>
              <w:t>Age of patients, days, median (IQR)</w:t>
            </w:r>
          </w:p>
        </w:tc>
        <w:tc>
          <w:tcPr>
            <w:tcW w:w="1502" w:type="dxa"/>
          </w:tcPr>
          <w:p w14:paraId="67E427BE" w14:textId="77777777" w:rsidR="00C93D0F" w:rsidRDefault="00C93D0F" w:rsidP="00152056">
            <w:r>
              <w:t>44 (29-57.2)</w:t>
            </w:r>
          </w:p>
        </w:tc>
        <w:tc>
          <w:tcPr>
            <w:tcW w:w="1502" w:type="dxa"/>
          </w:tcPr>
          <w:p w14:paraId="36D59DA2" w14:textId="77777777" w:rsidR="00C93D0F" w:rsidRDefault="00C93D0F" w:rsidP="00152056">
            <w:r>
              <w:t>28 (15-40)</w:t>
            </w:r>
          </w:p>
        </w:tc>
        <w:tc>
          <w:tcPr>
            <w:tcW w:w="2672" w:type="dxa"/>
          </w:tcPr>
          <w:p w14:paraId="3C0D2220" w14:textId="77777777" w:rsidR="00C93D0F" w:rsidRPr="004D6C78" w:rsidRDefault="00C93D0F" w:rsidP="00152056">
            <w:r>
              <w:t>22 (11-33)</w:t>
            </w:r>
          </w:p>
        </w:tc>
      </w:tr>
    </w:tbl>
    <w:p w14:paraId="42392EE4" w14:textId="77777777" w:rsidR="00C93D0F" w:rsidRDefault="00C93D0F" w:rsidP="00C93D0F">
      <w:pPr>
        <w:spacing w:after="0"/>
      </w:pPr>
      <w:r>
        <w:t xml:space="preserve">P3: 5/1/2018-6/15/2019. </w:t>
      </w:r>
    </w:p>
    <w:p w14:paraId="26C8AF94" w14:textId="77777777" w:rsidR="00C93D0F" w:rsidRDefault="00C93D0F" w:rsidP="00C93D0F">
      <w:pPr>
        <w:spacing w:after="0"/>
      </w:pPr>
      <w:proofErr w:type="spellStart"/>
      <w:r>
        <w:t>mPCR</w:t>
      </w:r>
      <w:proofErr w:type="spellEnd"/>
      <w:r>
        <w:t>: multiplex polymerase chain reaction</w:t>
      </w:r>
    </w:p>
    <w:p w14:paraId="7C0496EE" w14:textId="77777777" w:rsidR="00C93D0F" w:rsidRDefault="00C93D0F" w:rsidP="00C93D0F">
      <w:pPr>
        <w:spacing w:after="0"/>
      </w:pPr>
      <w:r>
        <w:t>RP: respiratory panel</w:t>
      </w:r>
    </w:p>
    <w:p w14:paraId="571F2451" w14:textId="77777777" w:rsidR="00C93D0F" w:rsidRPr="006E08D5" w:rsidRDefault="00C93D0F" w:rsidP="00C93D0F">
      <w:pPr>
        <w:spacing w:after="0"/>
      </w:pPr>
      <w:r>
        <w:t>MEP: meningitis/encephalitis panel</w:t>
      </w:r>
    </w:p>
    <w:p w14:paraId="60C11B01" w14:textId="77777777" w:rsidR="006D7227" w:rsidRDefault="006D7227"/>
    <w:sectPr w:rsidR="006D722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65ACD" w14:textId="77777777" w:rsidR="0042315E" w:rsidRDefault="00F0428E">
      <w:pPr>
        <w:spacing w:after="0" w:line="240" w:lineRule="auto"/>
      </w:pPr>
      <w:r>
        <w:separator/>
      </w:r>
    </w:p>
  </w:endnote>
  <w:endnote w:type="continuationSeparator" w:id="0">
    <w:p w14:paraId="7131C2FE" w14:textId="77777777" w:rsidR="0042315E" w:rsidRDefault="00F0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946693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270D4" w14:textId="77777777" w:rsidR="00902CB3" w:rsidRPr="00E611CB" w:rsidRDefault="00C93D0F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E611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1C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611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611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11C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C6F7524" w14:textId="77777777" w:rsidR="00902CB3" w:rsidRDefault="00301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2B8D7" w14:textId="77777777" w:rsidR="0042315E" w:rsidRDefault="00F0428E">
      <w:pPr>
        <w:spacing w:after="0" w:line="240" w:lineRule="auto"/>
      </w:pPr>
      <w:r>
        <w:separator/>
      </w:r>
    </w:p>
  </w:footnote>
  <w:footnote w:type="continuationSeparator" w:id="0">
    <w:p w14:paraId="18BECF39" w14:textId="77777777" w:rsidR="0042315E" w:rsidRDefault="00F04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0F"/>
    <w:rsid w:val="00301F15"/>
    <w:rsid w:val="0042315E"/>
    <w:rsid w:val="004D1F9F"/>
    <w:rsid w:val="006D7227"/>
    <w:rsid w:val="00764DD8"/>
    <w:rsid w:val="00B345FE"/>
    <w:rsid w:val="00C93D0F"/>
    <w:rsid w:val="00F0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B20C"/>
  <w15:chartTrackingRefBased/>
  <w15:docId w15:val="{8C161E91-C841-4DA4-88A8-DCC8A8F4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D0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D0F"/>
  </w:style>
  <w:style w:type="paragraph" w:styleId="BalloonText">
    <w:name w:val="Balloon Text"/>
    <w:basedOn w:val="Normal"/>
    <w:link w:val="BalloonTextChar"/>
    <w:uiPriority w:val="99"/>
    <w:semiHidden/>
    <w:unhideWhenUsed/>
    <w:rsid w:val="00C93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2.xml"/><Relationship Id="rId5" Type="http://schemas.openxmlformats.org/officeDocument/2006/relationships/endnotes" Target="endnotes.xml"/><Relationship Id="rId10" Type="http://schemas.openxmlformats.org/officeDocument/2006/relationships/chart" Target="charts/chart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rookj2\Box%20Sync\BioFire\Manuscript\Detected_Pathogens_Graph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crookj2\Box%20Sync\BioFire\Manuscript\Detected_Pathogens_Graph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2000"/>
              <a:t>Respiratory Pathogens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1"/>
          <c:tx>
            <c:strRef>
              <c:f>Respiratory!$A$5</c:f>
              <c:strCache>
                <c:ptCount val="1"/>
                <c:pt idx="0">
                  <c:v>P1-multiple pathogens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Respiratory!$B$3:$H$3</c:f>
              <c:strCache>
                <c:ptCount val="7"/>
                <c:pt idx="0">
                  <c:v>Rhino/Enterovirus</c:v>
                </c:pt>
                <c:pt idx="1">
                  <c:v>RSV</c:v>
                </c:pt>
                <c:pt idx="2">
                  <c:v>Parainfluenza</c:v>
                </c:pt>
                <c:pt idx="3">
                  <c:v>Coronavirus</c:v>
                </c:pt>
                <c:pt idx="4">
                  <c:v>hMPV</c:v>
                </c:pt>
                <c:pt idx="5">
                  <c:v>Adenovirus</c:v>
                </c:pt>
                <c:pt idx="6">
                  <c:v>Influenza</c:v>
                </c:pt>
              </c:strCache>
            </c:strRef>
          </c:cat>
          <c:val>
            <c:numRef>
              <c:f>Respiratory!$B$5:$H$5</c:f>
              <c:numCache>
                <c:formatCode>General</c:formatCode>
                <c:ptCount val="7"/>
                <c:pt idx="0">
                  <c:v>40.789473684210527</c:v>
                </c:pt>
                <c:pt idx="1">
                  <c:v>18.421052631578945</c:v>
                </c:pt>
                <c:pt idx="2">
                  <c:v>19.736842105263158</c:v>
                </c:pt>
                <c:pt idx="3">
                  <c:v>7.8947368421052628</c:v>
                </c:pt>
                <c:pt idx="4">
                  <c:v>3.9473684210526314</c:v>
                </c:pt>
                <c:pt idx="5">
                  <c:v>0</c:v>
                </c:pt>
                <c:pt idx="6">
                  <c:v>9.2105263157894726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09-4A76-9BB4-E0EC0DAC8B27}"/>
            </c:ext>
          </c:extLst>
        </c:ser>
        <c:ser>
          <c:idx val="2"/>
          <c:order val="3"/>
          <c:tx>
            <c:strRef>
              <c:f>Respiratory!$A$7</c:f>
              <c:strCache>
                <c:ptCount val="1"/>
                <c:pt idx="0">
                  <c:v>P2-multiple pathogens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Respiratory!$B$3:$H$3</c:f>
              <c:strCache>
                <c:ptCount val="7"/>
                <c:pt idx="0">
                  <c:v>Rhino/Enterovirus</c:v>
                </c:pt>
                <c:pt idx="1">
                  <c:v>RSV</c:v>
                </c:pt>
                <c:pt idx="2">
                  <c:v>Parainfluenza</c:v>
                </c:pt>
                <c:pt idx="3">
                  <c:v>Coronavirus</c:v>
                </c:pt>
                <c:pt idx="4">
                  <c:v>hMPV</c:v>
                </c:pt>
                <c:pt idx="5">
                  <c:v>Adenovirus</c:v>
                </c:pt>
                <c:pt idx="6">
                  <c:v>Influenza</c:v>
                </c:pt>
              </c:strCache>
            </c:strRef>
          </c:cat>
          <c:val>
            <c:numRef>
              <c:f>Respiratory!$B$7:$H$7</c:f>
              <c:numCache>
                <c:formatCode>General</c:formatCode>
                <c:ptCount val="7"/>
                <c:pt idx="0">
                  <c:v>59.036144578313255</c:v>
                </c:pt>
                <c:pt idx="1">
                  <c:v>18.072289156626507</c:v>
                </c:pt>
                <c:pt idx="2">
                  <c:v>9.6385542168674707</c:v>
                </c:pt>
                <c:pt idx="3">
                  <c:v>7.2289156626506017</c:v>
                </c:pt>
                <c:pt idx="4">
                  <c:v>3.6144578313253009</c:v>
                </c:pt>
                <c:pt idx="5">
                  <c:v>1.2048192771084338</c:v>
                </c:pt>
                <c:pt idx="6">
                  <c:v>1.2048192771084338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09-4A76-9BB4-E0EC0DAC8B27}"/>
            </c:ext>
          </c:extLst>
        </c:ser>
        <c:ser>
          <c:idx val="4"/>
          <c:order val="5"/>
          <c:tx>
            <c:strRef>
              <c:f>Respiratory!$A$9</c:f>
              <c:strCache>
                <c:ptCount val="1"/>
                <c:pt idx="0">
                  <c:v>P3-multiple pathogens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Respiratory!$B$3:$H$3</c:f>
              <c:strCache>
                <c:ptCount val="7"/>
                <c:pt idx="0">
                  <c:v>Rhino/Enterovirus</c:v>
                </c:pt>
                <c:pt idx="1">
                  <c:v>RSV</c:v>
                </c:pt>
                <c:pt idx="2">
                  <c:v>Parainfluenza</c:v>
                </c:pt>
                <c:pt idx="3">
                  <c:v>Coronavirus</c:v>
                </c:pt>
                <c:pt idx="4">
                  <c:v>hMPV</c:v>
                </c:pt>
                <c:pt idx="5">
                  <c:v>Adenovirus</c:v>
                </c:pt>
                <c:pt idx="6">
                  <c:v>Influenza</c:v>
                </c:pt>
              </c:strCache>
            </c:strRef>
          </c:cat>
          <c:val>
            <c:numRef>
              <c:f>Respiratory!$B$9:$H$9</c:f>
              <c:numCache>
                <c:formatCode>General</c:formatCode>
                <c:ptCount val="7"/>
                <c:pt idx="0">
                  <c:v>55.477031802120138</c:v>
                </c:pt>
                <c:pt idx="1">
                  <c:v>9.8939929328621901</c:v>
                </c:pt>
                <c:pt idx="2">
                  <c:v>13.074204946996467</c:v>
                </c:pt>
                <c:pt idx="3">
                  <c:v>10.247349823321555</c:v>
                </c:pt>
                <c:pt idx="4">
                  <c:v>3.8869257950530036</c:v>
                </c:pt>
                <c:pt idx="5">
                  <c:v>3.5335689045936398</c:v>
                </c:pt>
                <c:pt idx="6">
                  <c:v>3.8869257950530036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09-4A76-9BB4-E0EC0DAC8B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50987264"/>
        <c:axId val="550993496"/>
      </c:barChart>
      <c:barChart>
        <c:barDir val="col"/>
        <c:grouping val="clustered"/>
        <c:varyColors val="0"/>
        <c:ser>
          <c:idx val="1"/>
          <c:order val="0"/>
          <c:tx>
            <c:strRef>
              <c:f>Respiratory!$A$4</c:f>
              <c:strCache>
                <c:ptCount val="1"/>
                <c:pt idx="0">
                  <c:v>P1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Respiratory!$B$3:$H$3</c:f>
              <c:strCache>
                <c:ptCount val="7"/>
                <c:pt idx="0">
                  <c:v>Rhino/Enterovirus</c:v>
                </c:pt>
                <c:pt idx="1">
                  <c:v>RSV</c:v>
                </c:pt>
                <c:pt idx="2">
                  <c:v>Parainfluenza</c:v>
                </c:pt>
                <c:pt idx="3">
                  <c:v>Coronavirus</c:v>
                </c:pt>
                <c:pt idx="4">
                  <c:v>hMPV</c:v>
                </c:pt>
                <c:pt idx="5">
                  <c:v>Adenovirus</c:v>
                </c:pt>
                <c:pt idx="6">
                  <c:v>Influenza</c:v>
                </c:pt>
              </c:strCache>
            </c:strRef>
          </c:cat>
          <c:val>
            <c:numRef>
              <c:f>Respiratory!$B$4:$H$4</c:f>
              <c:numCache>
                <c:formatCode>General</c:formatCode>
                <c:ptCount val="7"/>
                <c:pt idx="0">
                  <c:v>38.157894736842103</c:v>
                </c:pt>
                <c:pt idx="1">
                  <c:v>17.105263157894736</c:v>
                </c:pt>
                <c:pt idx="2">
                  <c:v>17.105263157894736</c:v>
                </c:pt>
                <c:pt idx="3">
                  <c:v>5.2631578947368416</c:v>
                </c:pt>
                <c:pt idx="4">
                  <c:v>3.9473684210526314</c:v>
                </c:pt>
                <c:pt idx="5">
                  <c:v>0</c:v>
                </c:pt>
                <c:pt idx="6">
                  <c:v>7.8947368421052628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09-4A76-9BB4-E0EC0DAC8B27}"/>
            </c:ext>
          </c:extLst>
        </c:ser>
        <c:ser>
          <c:idx val="3"/>
          <c:order val="2"/>
          <c:tx>
            <c:strRef>
              <c:f>Respiratory!$A$6</c:f>
              <c:strCache>
                <c:ptCount val="1"/>
                <c:pt idx="0">
                  <c:v>P2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Respiratory!$B$3:$H$3</c:f>
              <c:strCache>
                <c:ptCount val="7"/>
                <c:pt idx="0">
                  <c:v>Rhino/Enterovirus</c:v>
                </c:pt>
                <c:pt idx="1">
                  <c:v>RSV</c:v>
                </c:pt>
                <c:pt idx="2">
                  <c:v>Parainfluenza</c:v>
                </c:pt>
                <c:pt idx="3">
                  <c:v>Coronavirus</c:v>
                </c:pt>
                <c:pt idx="4">
                  <c:v>hMPV</c:v>
                </c:pt>
                <c:pt idx="5">
                  <c:v>Adenovirus</c:v>
                </c:pt>
                <c:pt idx="6">
                  <c:v>Influenza</c:v>
                </c:pt>
              </c:strCache>
            </c:strRef>
          </c:cat>
          <c:val>
            <c:numRef>
              <c:f>Respiratory!$B$6:$H$6</c:f>
              <c:numCache>
                <c:formatCode>General</c:formatCode>
                <c:ptCount val="7"/>
                <c:pt idx="0">
                  <c:v>48.192771084337352</c:v>
                </c:pt>
                <c:pt idx="1">
                  <c:v>9.6385542168674707</c:v>
                </c:pt>
                <c:pt idx="2">
                  <c:v>7.2289156626506017</c:v>
                </c:pt>
                <c:pt idx="3">
                  <c:v>3.6144578313253009</c:v>
                </c:pt>
                <c:pt idx="4">
                  <c:v>3.6144578313253009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09-4A76-9BB4-E0EC0DAC8B27}"/>
            </c:ext>
          </c:extLst>
        </c:ser>
        <c:ser>
          <c:idx val="5"/>
          <c:order val="4"/>
          <c:tx>
            <c:strRef>
              <c:f>Respiratory!$A$8</c:f>
              <c:strCache>
                <c:ptCount val="1"/>
                <c:pt idx="0">
                  <c:v>P3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Respiratory!$B$3:$H$3</c:f>
              <c:strCache>
                <c:ptCount val="7"/>
                <c:pt idx="0">
                  <c:v>Rhino/Enterovirus</c:v>
                </c:pt>
                <c:pt idx="1">
                  <c:v>RSV</c:v>
                </c:pt>
                <c:pt idx="2">
                  <c:v>Parainfluenza</c:v>
                </c:pt>
                <c:pt idx="3">
                  <c:v>Coronavirus</c:v>
                </c:pt>
                <c:pt idx="4">
                  <c:v>hMPV</c:v>
                </c:pt>
                <c:pt idx="5">
                  <c:v>Adenovirus</c:v>
                </c:pt>
                <c:pt idx="6">
                  <c:v>Influenza</c:v>
                </c:pt>
              </c:strCache>
            </c:strRef>
          </c:cat>
          <c:val>
            <c:numRef>
              <c:f>Respiratory!$B$8:$H$8</c:f>
              <c:numCache>
                <c:formatCode>General</c:formatCode>
                <c:ptCount val="7"/>
                <c:pt idx="0">
                  <c:v>48.056537102473499</c:v>
                </c:pt>
                <c:pt idx="1">
                  <c:v>6.0070671378091873</c:v>
                </c:pt>
                <c:pt idx="2">
                  <c:v>8.1272084805653702</c:v>
                </c:pt>
                <c:pt idx="3">
                  <c:v>5.6537102473498235</c:v>
                </c:pt>
                <c:pt idx="4">
                  <c:v>2.8268551236749118</c:v>
                </c:pt>
                <c:pt idx="5">
                  <c:v>1.4134275618374559</c:v>
                </c:pt>
                <c:pt idx="6">
                  <c:v>3.1802120141342751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709-4A76-9BB4-E0EC0DAC8B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29780056"/>
        <c:axId val="629779728"/>
      </c:barChart>
      <c:lineChart>
        <c:grouping val="standard"/>
        <c:varyColors val="0"/>
        <c:ser>
          <c:idx val="6"/>
          <c:order val="6"/>
          <c:tx>
            <c:strRef>
              <c:f>Respiratory!$I$3</c:f>
              <c:strCache>
                <c:ptCount val="1"/>
                <c:pt idx="0">
                  <c:v>Inv.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Respiratory!$I$4</c:f>
              <c:numCache>
                <c:formatCode>General</c:formatCode>
                <c:ptCount val="1"/>
                <c:pt idx="0">
                  <c:v>59.036144578313255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709-4A76-9BB4-E0EC0DAC8B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9780056"/>
        <c:axId val="629779728"/>
      </c:lineChart>
      <c:catAx>
        <c:axId val="55098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993496"/>
        <c:crosses val="autoZero"/>
        <c:auto val="1"/>
        <c:lblAlgn val="ctr"/>
        <c:lblOffset val="100"/>
        <c:noMultiLvlLbl val="0"/>
      </c:catAx>
      <c:valAx>
        <c:axId val="550993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600"/>
                  <a:t>Percent of Detected Pathogens</a:t>
                </a:r>
              </a:p>
            </c:rich>
          </c:tx>
          <c:layout>
            <c:manualLayout>
              <c:xMode val="edge"/>
              <c:yMode val="edge"/>
              <c:x val="1.9186126439182657E-2"/>
              <c:y val="7.656525919574486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987264"/>
        <c:crosses val="autoZero"/>
        <c:crossBetween val="between"/>
      </c:valAx>
      <c:valAx>
        <c:axId val="629779728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629780056"/>
        <c:crosses val="max"/>
        <c:crossBetween val="between"/>
      </c:valAx>
      <c:catAx>
        <c:axId val="6297800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297797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egendEntry>
        <c:idx val="6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2000"/>
              <a:t>Detected Cerebrospinal Fluid Pathogens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CSF!$D$10</c:f>
              <c:strCache>
                <c:ptCount val="1"/>
                <c:pt idx="0">
                  <c:v>P3-single pathogen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CSF!$B$11:$B$15</c:f>
              <c:strCache>
                <c:ptCount val="5"/>
                <c:pt idx="0">
                  <c:v>Enterovirus</c:v>
                </c:pt>
                <c:pt idx="1">
                  <c:v>Parechovirus</c:v>
                </c:pt>
                <c:pt idx="2">
                  <c:v>HHV-6</c:v>
                </c:pt>
                <c:pt idx="3">
                  <c:v>E. coli</c:v>
                </c:pt>
                <c:pt idx="4">
                  <c:v>S. agalactiae</c:v>
                </c:pt>
              </c:strCache>
            </c:strRef>
          </c:cat>
          <c:val>
            <c:numRef>
              <c:f>CSF!$D$11:$D$15</c:f>
              <c:numCache>
                <c:formatCode>General</c:formatCode>
                <c:ptCount val="5"/>
                <c:pt idx="0">
                  <c:v>54.166666666666664</c:v>
                </c:pt>
                <c:pt idx="1">
                  <c:v>27.083333333333332</c:v>
                </c:pt>
                <c:pt idx="2">
                  <c:v>8.3333333333333321</c:v>
                </c:pt>
                <c:pt idx="3">
                  <c:v>2.083333333333333</c:v>
                </c:pt>
                <c:pt idx="4">
                  <c:v>4.1666666666666661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24-453D-BE14-209D00F5AC1B}"/>
            </c:ext>
          </c:extLst>
        </c:ser>
        <c:ser>
          <c:idx val="1"/>
          <c:order val="1"/>
          <c:tx>
            <c:strRef>
              <c:f>CSF!$C$10</c:f>
              <c:strCache>
                <c:ptCount val="1"/>
                <c:pt idx="0">
                  <c:v>P3-multiple pathogens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CSF!$B$11:$B$15</c:f>
              <c:strCache>
                <c:ptCount val="5"/>
                <c:pt idx="0">
                  <c:v>Enterovirus</c:v>
                </c:pt>
                <c:pt idx="1">
                  <c:v>Parechovirus</c:v>
                </c:pt>
                <c:pt idx="2">
                  <c:v>HHV-6</c:v>
                </c:pt>
                <c:pt idx="3">
                  <c:v>E. coli</c:v>
                </c:pt>
                <c:pt idx="4">
                  <c:v>S. agalactiae</c:v>
                </c:pt>
              </c:strCache>
            </c:strRef>
          </c:cat>
          <c:val>
            <c:numRef>
              <c:f>CSF!$C$11:$C$15</c:f>
              <c:numCache>
                <c:formatCode>General</c:formatCode>
                <c:ptCount val="5"/>
                <c:pt idx="0">
                  <c:v>4.1666666666666661</c:v>
                </c:pt>
                <c:pt idx="1">
                  <c:v>0</c:v>
                </c:pt>
                <c:pt idx="2">
                  <c:v>4.1666666666666661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24-453D-BE14-209D00F5AC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59816536"/>
        <c:axId val="659819816"/>
      </c:barChart>
      <c:catAx>
        <c:axId val="659816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9819816"/>
        <c:crosses val="autoZero"/>
        <c:auto val="1"/>
        <c:lblAlgn val="ctr"/>
        <c:lblOffset val="100"/>
        <c:noMultiLvlLbl val="0"/>
      </c:catAx>
      <c:valAx>
        <c:axId val="659819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600"/>
                  <a:t>Percent of Detected Pathogens</a:t>
                </a:r>
              </a:p>
            </c:rich>
          </c:tx>
          <c:layout>
            <c:manualLayout>
              <c:xMode val="edge"/>
              <c:yMode val="edge"/>
              <c:x val="6.5504026825544143E-3"/>
              <c:y val="0.1051812001760649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9816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2400"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Banerjee, Ritu</dc:creator>
  <cp:keywords/>
  <dc:description/>
  <cp:lastModifiedBy>Banerjee, Ritu</cp:lastModifiedBy>
  <cp:revision>3</cp:revision>
  <dcterms:created xsi:type="dcterms:W3CDTF">2020-06-16T20:32:00Z</dcterms:created>
  <dcterms:modified xsi:type="dcterms:W3CDTF">2020-06-18T03:21:00Z</dcterms:modified>
</cp:coreProperties>
</file>