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F0" w:rsidRPr="00D00C71" w:rsidRDefault="006721F0">
      <w:pPr>
        <w:tabs>
          <w:tab w:val="left" w:pos="4551"/>
        </w:tabs>
        <w:rPr>
          <w:rFonts w:ascii="Times New Roman" w:hAnsi="Times New Roman" w:cs="Times New Roman"/>
          <w:b/>
          <w:sz w:val="24"/>
          <w:szCs w:val="24"/>
        </w:rPr>
      </w:pPr>
      <w:r w:rsidRPr="00D00C71">
        <w:rPr>
          <w:rFonts w:ascii="Times New Roman" w:hAnsi="Times New Roman" w:cs="Times New Roman"/>
          <w:b/>
          <w:sz w:val="24"/>
          <w:szCs w:val="24"/>
        </w:rPr>
        <w:t>Table 1. Study characteristics of included articles</w:t>
      </w:r>
    </w:p>
    <w:tbl>
      <w:tblPr>
        <w:tblStyle w:val="Tablaconcuadrcula"/>
        <w:tblpPr w:leftFromText="180" w:rightFromText="180" w:vertAnchor="text" w:horzAnchor="margin" w:tblpXSpec="center" w:tblpY="348"/>
        <w:tblW w:w="15382" w:type="dxa"/>
        <w:jc w:val="center"/>
        <w:tblLook w:val="04A0" w:firstRow="1" w:lastRow="0" w:firstColumn="1" w:lastColumn="0" w:noHBand="0" w:noVBand="1"/>
      </w:tblPr>
      <w:tblGrid>
        <w:gridCol w:w="1343"/>
        <w:gridCol w:w="1346"/>
        <w:gridCol w:w="1350"/>
        <w:gridCol w:w="1531"/>
        <w:gridCol w:w="1263"/>
        <w:gridCol w:w="1890"/>
        <w:gridCol w:w="1260"/>
        <w:gridCol w:w="1357"/>
        <w:gridCol w:w="1350"/>
        <w:gridCol w:w="1351"/>
        <w:gridCol w:w="1341"/>
      </w:tblGrid>
      <w:tr w:rsidR="006721F0" w:rsidRPr="00D00C71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>Author, year, country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>Study period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>Study design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>No. hospitals included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Setting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>Study groups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>(intervention vs control)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>Catheter type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b/>
                <w:sz w:val="18"/>
                <w:szCs w:val="18"/>
              </w:rPr>
              <w:t>Antimicrobial-impregnated catheter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Skin antiseptic used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Maximal sterile barrier precautions during catheter insertion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Frequency of dressing change </w:t>
            </w:r>
          </w:p>
        </w:tc>
      </w:tr>
      <w:tr w:rsidR="006721F0" w:rsidRPr="00D00C71">
        <w:trPr>
          <w:trHeight w:val="587"/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Arpa</w:t>
            </w:r>
            <w:proofErr w:type="spellEnd"/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2013, Turkey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April to December 2011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Possible 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Post-operative cardiac surgery ICU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(pediatrics)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2% impregnated transparent dressing 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 transparent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 xml:space="preserve">Short-term </w:t>
            </w: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CVC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(jugular, subclavian)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Povidone-iodine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7 days or as needed</w:t>
            </w:r>
          </w:p>
        </w:tc>
      </w:tr>
      <w:tr w:rsidR="006721F0" w:rsidRPr="00D00C71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Arvaniti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2012, Greece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June 2006- May 2008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5 hospitals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ICU 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 sponge disc dressing (</w:t>
            </w:r>
            <w:proofErr w:type="spellStart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Biopatch</w:t>
            </w:r>
            <w:proofErr w:type="spellEnd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®)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polyurethane occlusive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 xml:space="preserve">Short-term CVC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(jugular, subclavian, femoral)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(there is a group with silver-impregnated catheters, which has not been included in the meta-analysis)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 Povidone-iodine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3 days or as needed</w:t>
            </w:r>
          </w:p>
        </w:tc>
      </w:tr>
      <w:tr w:rsidR="006721F0" w:rsidRPr="00D00C71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Biehl</w:t>
            </w:r>
            <w:proofErr w:type="spellEnd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2016,</w:t>
            </w:r>
          </w:p>
          <w:p w:rsidR="006721F0" w:rsidRPr="00D00C71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Germany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February 2012- September 2014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10 hematological departments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Hematologic patients undergoing chemotherapy and expected neutropenia ≥ 5 days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gel dressing (3M </w:t>
            </w:r>
            <w:proofErr w:type="spellStart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 securement dressing)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polyurethane dressing (3M </w:t>
            </w:r>
            <w:proofErr w:type="spellStart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 advanced)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Short-term CVC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(jugular, subclavian)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Yes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(~70% of patients in both groups with silver/CHG coated CVC)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3 (± 1) days</w:t>
            </w:r>
          </w:p>
        </w:tc>
      </w:tr>
      <w:tr w:rsidR="006721F0" w:rsidRPr="00D00C71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Chambers, 2005, New Zealand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August 1998- December 2001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Hematologic patients undergoing chemotherapy or bone marrow transplant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</w:t>
            </w: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 xml:space="preserve"> sponge disc dressing (</w:t>
            </w:r>
            <w:proofErr w:type="spellStart"/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Long-term CVC (</w:t>
            </w:r>
            <w:proofErr w:type="spellStart"/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hickman</w:t>
            </w:r>
            <w:proofErr w:type="spellEnd"/>
            <w:r w:rsidRPr="00D00C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hemocath</w:t>
            </w:r>
            <w:proofErr w:type="spellEnd"/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Alcoholic-povidone iodine 10%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CHG group:</w:t>
            </w: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7 days or as needed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Control group:</w:t>
            </w: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N/A</w:t>
            </w:r>
          </w:p>
        </w:tc>
      </w:tr>
      <w:tr w:rsidR="006721F0" w:rsidRPr="00D00C71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Chan, 2017, Australia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March 2014-March 2015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Non-ICU patients (medical, </w:t>
            </w: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surgical, </w:t>
            </w:r>
            <w:proofErr w:type="spellStart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onco</w:t>
            </w:r>
            <w:proofErr w:type="spellEnd"/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-hematological patients)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CHG</w:t>
            </w: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 xml:space="preserve"> sponge disc dressing (</w:t>
            </w:r>
            <w:proofErr w:type="spellStart"/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plus 3 different securement methods: SPU+SSD, PAL+ tape, CSD)</w:t>
            </w:r>
            <w:r w:rsidRPr="00D00C7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>vs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Tissue adhesive + standard polyurethane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PICC line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2% CHG in 70% alcohol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(if allergy, 10% povidone-iodine was used)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NR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7 days or as needed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Düzkaya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2016, Turkey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December 2012– January 2014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ICU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(pediatrics)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 dressing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sterilized pad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hAnsi="Times New Roman" w:cs="Times New Roman"/>
                <w:sz w:val="18"/>
                <w:szCs w:val="18"/>
              </w:rPr>
              <w:t xml:space="preserve">Short-term </w:t>
            </w: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CVC 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(jugular, subclavian, femoral)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 povidone-iodine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CHG group:</w:t>
            </w: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7 days or as needed</w:t>
            </w:r>
          </w:p>
          <w:p w:rsidR="006721F0" w:rsidRPr="00D00C71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Control group:</w:t>
            </w:r>
            <w:r w:rsidRPr="00D00C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48 hours or as needed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Ergul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2018, Turkey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October 2014-March 2017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Quasi-experimental (before-after study)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ICU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(pediatrics)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 securement dressing)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standard polyurethane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transparent film dressing)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Short-term (jugular)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&gt; 0.5% CHG-alcohol preparation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CHG group: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7 days or as needed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Control group: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48h or as needed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Garland, 2001, US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June 1994–August 1997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hospitals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ICU (neonates)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sponge disc dressing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polyurethane dressing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biocclusive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transparent dressing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Short-term CVC (not specified)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Long-term CVC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broviac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 group: 70% alcohol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 group: 10% povidone-iodine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7 days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(except 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surgically placed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Broviac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catheters: twice weekly in control group)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Gerçeker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2017, Turkey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October 2014- May 2015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-oncological patients (pediatrics, older than 2 months)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 securement dressing)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standard polyurethane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 advanced securement dressing)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Long-term CVC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hickman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port catheters)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7 days or as needed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Levy, 2005, Israel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Jan 2002-March 2003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ICU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(neonates and pediatric population)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CHG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sponge disc dressing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standard polyurethane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Short-term CVC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(jugular)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 solution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 needed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Maki, 2000, US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11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[Conference abstract]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Multicentric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study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(number not specified)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(probably 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sponge disc dressing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transparent film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Short-term CVC (not specified), arterial, pulmonary artery catheters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CHG group: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7 days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Control group: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2 days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Margatho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2018, Brazil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April-December 2014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ICU and cardiothoracic ICU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CHG IV securement dressing)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standard polyurethane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transparent film dressing)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Short-term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CVC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(jugular, subclavian, femoral)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 CHG-alcohol preparation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 + Daily CHG bathing performed in all patients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Every 7 days or as needed 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O’Horo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2013, US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13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[Conference abstract]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December 2008– August 2012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Quasi-experimental (before-after study)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(probably 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sponge disc dressing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NR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Long-term CVC (tunneled, cuffed CVC)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Pedrolo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2014, Brazil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14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October 2011–May 2012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ICU and semi-ICU 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 dressing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gauze and tape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Short-term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CVC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(jugular, subclavian)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CHG group: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7 days or before if dressing edges detached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Control group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every 48h or before if dressings edges detached 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Pivkina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2018, Russia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August 2014–December 2014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Medical ICU (patients with infectious/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septic complications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dressing) and skin protective acrylic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terpolymer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barrier film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 polyurethane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Short-term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CVC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(jugular, subclavian)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 CHG-70% alcohol preparation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7 days or as needed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Roberts, 1998, Australia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16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NR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ICU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sponge disc dressing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occlusive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CVC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(not specified)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 CHG-70% alcohol preparation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5 days or as needed</w:t>
            </w:r>
          </w:p>
        </w:tc>
      </w:tr>
      <w:tr w:rsidR="007C2281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Ruschulte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2009, Germany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January 2004–January 2006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-oncological patients 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sponge disc dressing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 sterile transparent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Short-term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CVC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(jugular, subclavian)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(CHG and silver sulfadiazine-impregnated CVC)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Alcohol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7 days or after lifted up for inspection controls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2009, France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hyperlink w:anchor="_ENREF_18" w:tooltip="Timsit, 2012 #44" w:history="1"/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December 2006- May 2008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5 hospitals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ICU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CHG sponge disc dressing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Biopatch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standard polyurethane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transparent film dressing)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Short-term CVC (jugular, subclavian, femoral)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Long-term CVC (tunneled CVC)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Arterial catheters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 povidone iodine-70% alcohol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Every 3 or 7 days. It could be changed before if needed. 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2012, France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19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May 2010-July 2011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11 hospitals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ICU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 dressing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CHG dressing) 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vs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standard polyurethane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transparent film dressing) OR highly adhesive dressing (3M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HP transparent film dressing)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Short-term CVC (jugular, subclavian, femoral)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Long-term CVC (tunneled CVC)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Arterial catheters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5% povidone iodine-70% alcohol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67% ethanol-0.5% chlorhexidine solution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0.25% CHG-0.025%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benzalkonium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chloride-4% benzyl alcohol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(if alcoholic solution not available: 2% CHG)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Every 3 or 7 days. It could be changed before if needed</w:t>
            </w:r>
          </w:p>
        </w:tc>
      </w:tr>
      <w:tr w:rsidR="006721F0">
        <w:trPr>
          <w:jc w:val="center"/>
        </w:trPr>
        <w:tc>
          <w:tcPr>
            <w:tcW w:w="1342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 w:rsidP="005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Yu, 2019, China</w:t>
            </w:r>
            <w:r w:rsidRPr="0059475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January 2014–September 2015 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Medical ICU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(adults)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transparent dressing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Tegaderm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transparent dressing)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vs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 transparent dressing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Short-term CVC 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(jugular, subclavian, femoral)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2% CHG alcohol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41" w:type="dxa"/>
            <w:tcBorders>
              <w:left w:val="nil"/>
              <w:right w:val="nil"/>
            </w:tcBorders>
            <w:shd w:val="clear" w:color="auto" w:fill="auto"/>
          </w:tcPr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CHG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group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7 days or if needed</w:t>
            </w: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  <w:p w:rsidR="006721F0" w:rsidRDefault="0067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Control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group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vertAlign w:val="superscript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every 3 or if needed</w:t>
            </w:r>
          </w:p>
        </w:tc>
      </w:tr>
    </w:tbl>
    <w:p w:rsidR="006721F0" w:rsidRDefault="006721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Abbreviations: CHG, chlorhexidine; CVC, central venous catheter; ICU, intensive care unit; PICC: peripherally inserted central catheters; N/A, non-applicable; NR: not reported;  </w:t>
      </w:r>
    </w:p>
    <w:p w:rsidR="006721F0" w:rsidRDefault="006721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SPU+</w:t>
      </w:r>
      <w:proofErr w:type="gramEnd"/>
      <w:r>
        <w:rPr>
          <w:rFonts w:ascii="Times New Roman" w:hAnsi="Times New Roman" w:cs="Times New Roman"/>
          <w:sz w:val="24"/>
          <w:szCs w:val="24"/>
        </w:rPr>
        <w:t>SSD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standard polyurethane dressing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sutureless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securement device, PAL + tape: polyurethane with absorbent lattice pad plus non-woven tape, CSD: combination securement dressing</w:t>
      </w:r>
    </w:p>
    <w:p w:rsidR="006721F0" w:rsidRDefault="006721F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obtained from preliminary results of the same study published in a previous article</w:t>
      </w:r>
      <w:r w:rsidRPr="00594752">
        <w:rPr>
          <w:rFonts w:ascii="Times New Roman" w:hAnsi="Times New Roman" w:cs="Times New Roman"/>
          <w:noProof/>
          <w:sz w:val="24"/>
          <w:szCs w:val="24"/>
          <w:vertAlign w:val="superscript"/>
        </w:rPr>
        <w:t>21</w:t>
      </w:r>
    </w:p>
    <w:p w:rsidR="006721F0" w:rsidRDefault="006721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6721F0" w:rsidRDefault="006721F0">
      <w:pPr>
        <w:rPr>
          <w:rFonts w:ascii="Times New Roman" w:hAnsi="Times New Roman" w:cs="Times New Roman"/>
          <w:sz w:val="24"/>
          <w:szCs w:val="24"/>
        </w:rPr>
        <w:sectPr w:rsidR="006721F0" w:rsidSect="007C2281">
          <w:headerReference w:type="default" r:id="rId6"/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721F0" w:rsidRPr="00D14A85" w:rsidRDefault="00D14A85">
      <w:pPr>
        <w:rPr>
          <w:rFonts w:ascii="Times New Roman" w:hAnsi="Times New Roman" w:cs="Times New Roman"/>
          <w:b/>
          <w:sz w:val="24"/>
          <w:szCs w:val="24"/>
        </w:rPr>
      </w:pPr>
      <w:r w:rsidRPr="00D14A85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ENREF_1"/>
      <w:r w:rsidRPr="00D14A85">
        <w:rPr>
          <w:rFonts w:ascii="Times New Roman" w:hAnsi="Times New Roman" w:cs="Times New Roman"/>
          <w:noProof/>
          <w:sz w:val="24"/>
          <w:szCs w:val="24"/>
        </w:rPr>
        <w:t>1.</w:t>
      </w:r>
      <w:bookmarkEnd w:id="0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D14A85">
        <w:rPr>
          <w:rFonts w:ascii="Times New Roman" w:hAnsi="Times New Roman" w:cs="Times New Roman"/>
          <w:sz w:val="24"/>
          <w:szCs w:val="24"/>
        </w:rPr>
        <w:t>Arpa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D14A85">
        <w:rPr>
          <w:rFonts w:ascii="Times New Roman" w:hAnsi="Times New Roman" w:cs="Times New Roman"/>
          <w:sz w:val="24"/>
          <w:szCs w:val="24"/>
        </w:rPr>
        <w:t>Aygün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D14A85">
        <w:rPr>
          <w:rFonts w:ascii="Times New Roman" w:hAnsi="Times New Roman" w:cs="Times New Roman"/>
          <w:sz w:val="24"/>
          <w:szCs w:val="24"/>
        </w:rPr>
        <w:t>YalçInbaş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Y, San D, </w:t>
      </w:r>
      <w:proofErr w:type="spellStart"/>
      <w:r w:rsidRPr="00D14A85">
        <w:rPr>
          <w:rFonts w:ascii="Times New Roman" w:hAnsi="Times New Roman" w:cs="Times New Roman"/>
          <w:sz w:val="24"/>
          <w:szCs w:val="24"/>
        </w:rPr>
        <w:t>Ulukol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A. Comparison of catheter related infection rates in p</w:t>
      </w:r>
      <w:r w:rsidR="007C2281" w:rsidRPr="00D14A85">
        <w:rPr>
          <w:rFonts w:ascii="Times New Roman" w:hAnsi="Times New Roman" w:cs="Times New Roman"/>
          <w:sz w:val="24"/>
          <w:szCs w:val="24"/>
        </w:rPr>
        <w:t>ediatric cardiovascular surgery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 with use of transparent cover and transparent cover saturated with </w:t>
      </w:r>
      <w:proofErr w:type="spellStart"/>
      <w:r w:rsidRPr="00D14A85">
        <w:rPr>
          <w:rFonts w:ascii="Times New Roman" w:hAnsi="Times New Roman" w:cs="Times New Roman"/>
          <w:sz w:val="24"/>
          <w:szCs w:val="24"/>
        </w:rPr>
        <w:t>chlorhexidin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gluconate in central catheter care. </w:t>
      </w:r>
      <w:r w:rsidR="007C2281" w:rsidRPr="00D14A85">
        <w:rPr>
          <w:rFonts w:ascii="Times New Roman" w:hAnsi="Times New Roman" w:cs="Times New Roman"/>
          <w:i/>
          <w:sz w:val="24"/>
          <w:szCs w:val="24"/>
        </w:rPr>
        <w:t>Turkish J</w:t>
      </w:r>
    </w:p>
    <w:p w:rsidR="006721F0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D14A85">
        <w:rPr>
          <w:rFonts w:ascii="Times New Roman" w:hAnsi="Times New Roman" w:cs="Times New Roman"/>
          <w:i/>
          <w:sz w:val="24"/>
          <w:szCs w:val="24"/>
        </w:rPr>
        <w:t xml:space="preserve">Res Dev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Nurs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Pr="00D14A85">
        <w:rPr>
          <w:rFonts w:ascii="Times New Roman" w:hAnsi="Times New Roman" w:cs="Times New Roman"/>
          <w:sz w:val="24"/>
          <w:szCs w:val="24"/>
        </w:rPr>
        <w:t>;15:57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>-67.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1" w:name="_ENREF_2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bookmarkStart w:id="2" w:name="_ENREF_3"/>
      <w:bookmarkEnd w:id="1"/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Arvaniti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Lathyris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Clouva-Molyvdas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P, et al. Comparison of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Oligon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catheters and chlorhexidine-impregnated sponges with</w:t>
      </w:r>
    </w:p>
    <w:p w:rsidR="007C2281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standard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A85">
        <w:rPr>
          <w:rFonts w:ascii="Times New Roman" w:hAnsi="Times New Roman" w:cs="Times New Roman"/>
          <w:sz w:val="24"/>
          <w:szCs w:val="24"/>
        </w:rPr>
        <w:t>multilumen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central venous catheters for prevention of associated colonization and infections in intensive care unit patients: a</w:t>
      </w:r>
    </w:p>
    <w:p w:rsidR="007C2281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multicenter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, randomized, controlled study.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Crit</w:t>
      </w:r>
      <w:proofErr w:type="spellEnd"/>
      <w:r w:rsidRPr="00D14A85">
        <w:rPr>
          <w:rFonts w:ascii="Times New Roman" w:hAnsi="Times New Roman" w:cs="Times New Roman"/>
          <w:i/>
          <w:sz w:val="24"/>
          <w:szCs w:val="24"/>
        </w:rPr>
        <w:t xml:space="preserve"> Care Med</w:t>
      </w:r>
      <w:r w:rsidRPr="00D14A85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D14A85">
        <w:rPr>
          <w:rFonts w:ascii="Times New Roman" w:hAnsi="Times New Roman" w:cs="Times New Roman"/>
          <w:sz w:val="24"/>
          <w:szCs w:val="24"/>
        </w:rPr>
        <w:t>;40:420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>-</w:t>
      </w:r>
      <w:r w:rsidR="007B3350">
        <w:rPr>
          <w:rFonts w:ascii="Times New Roman" w:hAnsi="Times New Roman" w:cs="Times New Roman"/>
          <w:sz w:val="24"/>
          <w:szCs w:val="24"/>
        </w:rPr>
        <w:t>42</w:t>
      </w:r>
      <w:r w:rsidRPr="00D14A85">
        <w:rPr>
          <w:rFonts w:ascii="Times New Roman" w:hAnsi="Times New Roman" w:cs="Times New Roman"/>
          <w:sz w:val="24"/>
          <w:szCs w:val="24"/>
        </w:rPr>
        <w:t>9.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bookmarkEnd w:id="2"/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Biehl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LM,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Huth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Panse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J, et al. A randomized trial on chlorhexidine dressings for the prevention of catheter-related bloodstream</w:t>
      </w:r>
    </w:p>
    <w:p w:rsidR="006721F0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infections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 in neutropenic patients. Ann </w:t>
      </w:r>
      <w:proofErr w:type="spellStart"/>
      <w:r w:rsidRPr="00D14A85">
        <w:rPr>
          <w:rFonts w:ascii="Times New Roman" w:hAnsi="Times New Roman" w:cs="Times New Roman"/>
          <w:sz w:val="24"/>
          <w:szCs w:val="24"/>
        </w:rPr>
        <w:t>Oncol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Start"/>
      <w:r w:rsidRPr="00D14A85">
        <w:rPr>
          <w:rFonts w:ascii="Times New Roman" w:hAnsi="Times New Roman" w:cs="Times New Roman"/>
          <w:sz w:val="24"/>
          <w:szCs w:val="24"/>
        </w:rPr>
        <w:t>;27:1916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>-</w:t>
      </w:r>
      <w:r w:rsidR="007B3350">
        <w:rPr>
          <w:rFonts w:ascii="Times New Roman" w:hAnsi="Times New Roman" w:cs="Times New Roman"/>
          <w:sz w:val="24"/>
          <w:szCs w:val="24"/>
        </w:rPr>
        <w:t>19</w:t>
      </w:r>
      <w:r w:rsidRPr="00D14A85">
        <w:rPr>
          <w:rFonts w:ascii="Times New Roman" w:hAnsi="Times New Roman" w:cs="Times New Roman"/>
          <w:sz w:val="24"/>
          <w:szCs w:val="24"/>
        </w:rPr>
        <w:t>22.</w:t>
      </w:r>
    </w:p>
    <w:p w:rsidR="006721F0" w:rsidRPr="00D14A85" w:rsidRDefault="006721F0" w:rsidP="00D14A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ENREF_4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bookmarkEnd w:id="3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Chambers ST, Sanders J, Patton WN, et al. Reduction of exit-site infections of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tunnelled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intravascular catheters among neutropenic patients by sustained-release chlorhexidine dressings: results from a prospective randomized controlled trial. </w:t>
      </w:r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J </w:t>
      </w:r>
      <w:proofErr w:type="spellStart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>Hosp</w:t>
      </w:r>
      <w:proofErr w:type="spellEnd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 Infect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proofErr w:type="gram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;61:53</w:t>
      </w:r>
      <w:proofErr w:type="gram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-61.</w:t>
      </w:r>
    </w:p>
    <w:p w:rsidR="007C2281" w:rsidRPr="00D14A85" w:rsidRDefault="006721F0" w:rsidP="00D14A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ENREF_5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bookmarkStart w:id="5" w:name="_ENREF_6"/>
      <w:bookmarkEnd w:id="4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Chan RJ, Northfield S, </w:t>
      </w:r>
      <w:proofErr w:type="gram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Larsen</w:t>
      </w:r>
      <w:proofErr w:type="gram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E, et al. </w:t>
      </w:r>
      <w:r w:rsidR="007B3350">
        <w:rPr>
          <w:rFonts w:ascii="Times New Roman" w:eastAsia="Times New Roman" w:hAnsi="Times New Roman" w:cs="Times New Roman"/>
          <w:sz w:val="24"/>
          <w:szCs w:val="24"/>
        </w:rPr>
        <w:t>Central venous access device sec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urement </w:t>
      </w:r>
      <w:r w:rsidR="007B3350">
        <w:rPr>
          <w:rFonts w:ascii="Times New Roman" w:eastAsia="Times New Roman" w:hAnsi="Times New Roman" w:cs="Times New Roman"/>
          <w:sz w:val="24"/>
          <w:szCs w:val="24"/>
        </w:rPr>
        <w:t>a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7B3350">
        <w:rPr>
          <w:rFonts w:ascii="Times New Roman" w:eastAsia="Times New Roman" w:hAnsi="Times New Roman" w:cs="Times New Roman"/>
          <w:sz w:val="24"/>
          <w:szCs w:val="24"/>
        </w:rPr>
        <w:t>d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ressing </w:t>
      </w:r>
      <w:r w:rsidR="007B3350">
        <w:rPr>
          <w:rFonts w:ascii="Times New Roman" w:eastAsia="Times New Roman" w:hAnsi="Times New Roman" w:cs="Times New Roman"/>
          <w:sz w:val="24"/>
          <w:szCs w:val="24"/>
        </w:rPr>
        <w:t>e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ffectiveness for peripherally inserted central catheters in adult acute hospital patients (CASCADE): a pilot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controlled trial. </w:t>
      </w:r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Trials 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2017</w:t>
      </w:r>
      <w:proofErr w:type="gram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;18:458</w:t>
      </w:r>
      <w:proofErr w:type="gram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1F0" w:rsidRPr="00D14A85" w:rsidRDefault="006721F0" w:rsidP="00D14A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6. </w:t>
      </w:r>
      <w:bookmarkEnd w:id="5"/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Duzkaya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DS,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Sahiner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NC,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Uysal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G, Yakut T,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Citak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A. Chlorhexidine-Impregnated Dressings and Prevention of Catheter-Associated Bloodstream Infections in a Pediatric Intensive Care Unit. </w:t>
      </w:r>
      <w:proofErr w:type="spellStart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>Crit</w:t>
      </w:r>
      <w:proofErr w:type="spellEnd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 Care Nurse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proofErr w:type="gram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;36:e1</w:t>
      </w:r>
      <w:proofErr w:type="gram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-e7.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6" w:name="_ENREF_7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bookmarkEnd w:id="6"/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Ergul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AB,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Gokcek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Ozcan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A, Cetin S, Gultekin N, Torun YA. Use of a chlorhexidine-impregnated dressing reduced catheter</w:t>
      </w:r>
    </w:p>
    <w:p w:rsidR="006721F0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D14A85">
        <w:rPr>
          <w:rFonts w:ascii="Times New Roman" w:hAnsi="Times New Roman" w:cs="Times New Roman"/>
          <w:sz w:val="24"/>
          <w:szCs w:val="24"/>
        </w:rPr>
        <w:lastRenderedPageBreak/>
        <w:t xml:space="preserve">Related bloodstream infections caused by Gram-positive microorganisms. </w:t>
      </w:r>
      <w:r w:rsidRPr="00D14A85">
        <w:rPr>
          <w:rFonts w:ascii="Times New Roman" w:hAnsi="Times New Roman" w:cs="Times New Roman"/>
          <w:i/>
          <w:sz w:val="24"/>
          <w:szCs w:val="24"/>
        </w:rPr>
        <w:t xml:space="preserve">Pak J Med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Sci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Start"/>
      <w:r w:rsidRPr="00D14A85">
        <w:rPr>
          <w:rFonts w:ascii="Times New Roman" w:hAnsi="Times New Roman" w:cs="Times New Roman"/>
          <w:sz w:val="24"/>
          <w:szCs w:val="24"/>
        </w:rPr>
        <w:t>;34:347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>-</w:t>
      </w:r>
      <w:r w:rsidR="007B3350">
        <w:rPr>
          <w:rFonts w:ascii="Times New Roman" w:hAnsi="Times New Roman" w:cs="Times New Roman"/>
          <w:sz w:val="24"/>
          <w:szCs w:val="24"/>
        </w:rPr>
        <w:t>3</w:t>
      </w:r>
      <w:r w:rsidRPr="00D14A85">
        <w:rPr>
          <w:rFonts w:ascii="Times New Roman" w:hAnsi="Times New Roman" w:cs="Times New Roman"/>
          <w:sz w:val="24"/>
          <w:szCs w:val="24"/>
        </w:rPr>
        <w:t>51.</w:t>
      </w:r>
    </w:p>
    <w:p w:rsidR="006721F0" w:rsidRPr="00D14A85" w:rsidRDefault="006721F0" w:rsidP="00D14A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ENREF_8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bookmarkEnd w:id="7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Garland JS, Alex CP, Mueller CD, et al. A randomized trial comparing povidone-iodine to a chlorhexidine gluconate-impregnated dressing for prevention of central venous catheter infections in neonates. </w:t>
      </w:r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>Pediatrics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2001</w:t>
      </w:r>
      <w:proofErr w:type="gram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;107:1431</w:t>
      </w:r>
      <w:proofErr w:type="gram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32FA">
        <w:rPr>
          <w:rFonts w:ascii="Times New Roman" w:eastAsia="Times New Roman" w:hAnsi="Times New Roman" w:cs="Times New Roman"/>
          <w:sz w:val="24"/>
          <w:szCs w:val="24"/>
        </w:rPr>
        <w:t>143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8" w:name="_ENREF_9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bookmarkEnd w:id="8"/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Gerceker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GO,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Yardimci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Aydinok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Y. Randomized controlled trial of care bundles with chlorhexidine dressing and advanced</w:t>
      </w:r>
    </w:p>
    <w:p w:rsidR="007C2281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dressings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 to prevent catheter-related bloodstream infections in pediatric hematology-oncology patients</w:t>
      </w:r>
      <w:r w:rsidRPr="00D14A8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Eur</w:t>
      </w:r>
      <w:proofErr w:type="spellEnd"/>
      <w:r w:rsidRPr="00D14A85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Oncol</w:t>
      </w:r>
      <w:proofErr w:type="spellEnd"/>
      <w:r w:rsidRPr="00D14A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Nurs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2017</w:t>
      </w:r>
      <w:proofErr w:type="gramStart"/>
      <w:r w:rsidRPr="00D14A85">
        <w:rPr>
          <w:rFonts w:ascii="Times New Roman" w:hAnsi="Times New Roman" w:cs="Times New Roman"/>
          <w:sz w:val="24"/>
          <w:szCs w:val="24"/>
        </w:rPr>
        <w:t>;28:14</w:t>
      </w:r>
      <w:proofErr w:type="gramEnd"/>
      <w:r w:rsidR="005832FA">
        <w:rPr>
          <w:rFonts w:ascii="Times New Roman" w:hAnsi="Times New Roman" w:cs="Times New Roman"/>
          <w:sz w:val="24"/>
          <w:szCs w:val="24"/>
        </w:rPr>
        <w:t>-</w:t>
      </w:r>
    </w:p>
    <w:p w:rsidR="006721F0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D14A85">
        <w:rPr>
          <w:rFonts w:ascii="Times New Roman" w:hAnsi="Times New Roman" w:cs="Times New Roman"/>
          <w:sz w:val="24"/>
          <w:szCs w:val="24"/>
        </w:rPr>
        <w:t>20.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9" w:name="_ENREF_10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bookmarkStart w:id="10" w:name="_ENREF_11"/>
      <w:bookmarkEnd w:id="9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Levy I, Katz J,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Solter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E, et al. Chlorhexidine-impregnated dressing for prevention of colonization of central venous catheters in</w:t>
      </w:r>
    </w:p>
    <w:p w:rsidR="007C2281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infants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 and children: a randomized controlled study.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D14A85">
        <w:rPr>
          <w:rFonts w:ascii="Times New Roman" w:hAnsi="Times New Roman" w:cs="Times New Roman"/>
          <w:i/>
          <w:sz w:val="24"/>
          <w:szCs w:val="24"/>
        </w:rPr>
        <w:t xml:space="preserve"> Infect Dis</w:t>
      </w:r>
      <w:r w:rsidRPr="00D14A85">
        <w:rPr>
          <w:rFonts w:ascii="Times New Roman" w:hAnsi="Times New Roman" w:cs="Times New Roman"/>
          <w:sz w:val="24"/>
          <w:szCs w:val="24"/>
        </w:rPr>
        <w:t xml:space="preserve"> J 2005</w:t>
      </w:r>
      <w:proofErr w:type="gramStart"/>
      <w:r w:rsidRPr="00D14A85">
        <w:rPr>
          <w:rFonts w:ascii="Times New Roman" w:hAnsi="Times New Roman" w:cs="Times New Roman"/>
          <w:sz w:val="24"/>
          <w:szCs w:val="24"/>
        </w:rPr>
        <w:t>;24:676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>-</w:t>
      </w:r>
      <w:r w:rsidR="005832FA">
        <w:rPr>
          <w:rFonts w:ascii="Times New Roman" w:hAnsi="Times New Roman" w:cs="Times New Roman"/>
          <w:sz w:val="24"/>
          <w:szCs w:val="24"/>
        </w:rPr>
        <w:t>67</w:t>
      </w:r>
      <w:r w:rsidRPr="00D14A85">
        <w:rPr>
          <w:rFonts w:ascii="Times New Roman" w:hAnsi="Times New Roman" w:cs="Times New Roman"/>
          <w:sz w:val="24"/>
          <w:szCs w:val="24"/>
        </w:rPr>
        <w:t>9.</w:t>
      </w:r>
    </w:p>
    <w:p w:rsidR="005832FA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11. </w:t>
      </w:r>
      <w:bookmarkEnd w:id="10"/>
      <w:r w:rsidR="007C2281" w:rsidRPr="00D14A85">
        <w:rPr>
          <w:rFonts w:ascii="Times New Roman" w:hAnsi="Times New Roman" w:cs="Times New Roman"/>
          <w:sz w:val="24"/>
          <w:szCs w:val="24"/>
        </w:rPr>
        <w:t>Maki DG</w:t>
      </w:r>
      <w:r w:rsidR="00583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2FA">
        <w:rPr>
          <w:rFonts w:ascii="Times New Roman" w:hAnsi="Times New Roman" w:cs="Times New Roman"/>
          <w:sz w:val="24"/>
          <w:szCs w:val="24"/>
        </w:rPr>
        <w:t>Mermel</w:t>
      </w:r>
      <w:proofErr w:type="spellEnd"/>
      <w:r w:rsidR="005832FA">
        <w:rPr>
          <w:rFonts w:ascii="Times New Roman" w:hAnsi="Times New Roman" w:cs="Times New Roman"/>
          <w:sz w:val="24"/>
          <w:szCs w:val="24"/>
        </w:rPr>
        <w:t xml:space="preserve"> LA</w:t>
      </w:r>
      <w:r w:rsidR="007C2281" w:rsidRPr="00D14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Kluger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D,</w:t>
      </w:r>
      <w:r w:rsidR="0058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Narans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Knasinski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Parenteau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S, Covington P. The efficacy of a chlorhexidine-impreg</w:t>
      </w:r>
      <w:r w:rsidR="005832FA">
        <w:rPr>
          <w:rFonts w:ascii="Times New Roman" w:hAnsi="Times New Roman" w:cs="Times New Roman"/>
          <w:sz w:val="24"/>
          <w:szCs w:val="24"/>
        </w:rPr>
        <w:t>nated</w:t>
      </w:r>
    </w:p>
    <w:p w:rsidR="005832FA" w:rsidRDefault="005832FA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D14A85">
        <w:rPr>
          <w:rFonts w:ascii="Times New Roman" w:hAnsi="Times New Roman" w:cs="Times New Roman"/>
          <w:sz w:val="24"/>
          <w:szCs w:val="24"/>
        </w:rPr>
        <w:t>S</w:t>
      </w:r>
      <w:r w:rsidR="007C2281" w:rsidRPr="00D14A85">
        <w:rPr>
          <w:rFonts w:ascii="Times New Roman" w:hAnsi="Times New Roman" w:cs="Times New Roman"/>
          <w:sz w:val="24"/>
          <w:szCs w:val="24"/>
        </w:rPr>
        <w:t>ponge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281" w:rsidRPr="00D14A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BiopatchTM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>) for the prevention of intravascular catheter-related infection: A prosp</w:t>
      </w:r>
      <w:r>
        <w:rPr>
          <w:rFonts w:ascii="Times New Roman" w:hAnsi="Times New Roman" w:cs="Times New Roman"/>
          <w:sz w:val="24"/>
          <w:szCs w:val="24"/>
        </w:rPr>
        <w:t>ective, randomized, controlled,</w:t>
      </w:r>
    </w:p>
    <w:p w:rsidR="006721F0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multicenter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 study.</w:t>
      </w:r>
      <w:r w:rsidR="005832F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proofErr w:type="gramStart"/>
      <w:r w:rsidR="005832FA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="0058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Interscience</w:t>
      </w:r>
      <w:proofErr w:type="spellEnd"/>
      <w:r w:rsidRPr="00D14A85">
        <w:rPr>
          <w:rFonts w:ascii="Times New Roman" w:hAnsi="Times New Roman" w:cs="Times New Roman"/>
          <w:i/>
          <w:sz w:val="24"/>
          <w:szCs w:val="24"/>
        </w:rPr>
        <w:t xml:space="preserve"> Conference on Antimicrobial Agents and Chemotherapy</w:t>
      </w:r>
      <w:r w:rsidR="005832FA">
        <w:rPr>
          <w:rFonts w:ascii="Times New Roman" w:hAnsi="Times New Roman" w:cs="Times New Roman"/>
          <w:sz w:val="24"/>
          <w:szCs w:val="24"/>
        </w:rPr>
        <w:t>. Toronto; 2000</w:t>
      </w:r>
      <w:r w:rsidRPr="00D14A85">
        <w:rPr>
          <w:rFonts w:ascii="Times New Roman" w:hAnsi="Times New Roman" w:cs="Times New Roman"/>
          <w:sz w:val="24"/>
          <w:szCs w:val="24"/>
        </w:rPr>
        <w:t>:422.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11" w:name="_ENREF_12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12. </w:t>
      </w:r>
      <w:bookmarkEnd w:id="11"/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Margatho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AS,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Ciol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MA, Hoffman JM, et al. Chlorhexidine-impregnated gel dressing compared with transparent polyurethane</w:t>
      </w:r>
    </w:p>
    <w:p w:rsidR="007C2281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dressing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 in the prevention of catheter-related infections in critically ill adult patients: A pilot </w:t>
      </w:r>
      <w:proofErr w:type="spellStart"/>
      <w:r w:rsidRPr="00D14A85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D14A85">
        <w:rPr>
          <w:rFonts w:ascii="Times New Roman" w:hAnsi="Times New Roman" w:cs="Times New Roman"/>
          <w:sz w:val="24"/>
          <w:szCs w:val="24"/>
        </w:rPr>
        <w:t xml:space="preserve"> controlled trial.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Aust</w:t>
      </w:r>
      <w:proofErr w:type="spellEnd"/>
      <w:r w:rsidRPr="00D14A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Crit</w:t>
      </w:r>
      <w:proofErr w:type="spellEnd"/>
    </w:p>
    <w:p w:rsidR="006721F0" w:rsidRPr="00D14A85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D14A85">
        <w:rPr>
          <w:rFonts w:ascii="Times New Roman" w:hAnsi="Times New Roman" w:cs="Times New Roman"/>
          <w:i/>
          <w:sz w:val="24"/>
          <w:szCs w:val="24"/>
        </w:rPr>
        <w:t xml:space="preserve">Care </w:t>
      </w:r>
      <w:r w:rsidRPr="00D14A85">
        <w:rPr>
          <w:rFonts w:ascii="Times New Roman" w:hAnsi="Times New Roman" w:cs="Times New Roman"/>
          <w:sz w:val="24"/>
          <w:szCs w:val="24"/>
        </w:rPr>
        <w:t>2018; 32:471–478.</w:t>
      </w:r>
    </w:p>
    <w:p w:rsidR="007C2281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12" w:name="_ENREF_13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13. </w:t>
      </w:r>
      <w:bookmarkEnd w:id="12"/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O'Horo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 xml:space="preserve"> SK, Corson D, Baum RA. Efficacy of </w:t>
      </w:r>
      <w:proofErr w:type="spellStart"/>
      <w:r w:rsidR="007C2281" w:rsidRPr="00D14A85">
        <w:rPr>
          <w:rFonts w:ascii="Times New Roman" w:hAnsi="Times New Roman" w:cs="Times New Roman"/>
          <w:sz w:val="24"/>
          <w:szCs w:val="24"/>
        </w:rPr>
        <w:t>biopatch</w:t>
      </w:r>
      <w:proofErr w:type="spellEnd"/>
      <w:r w:rsidR="007C2281" w:rsidRPr="00D14A85">
        <w:rPr>
          <w:rFonts w:ascii="Times New Roman" w:hAnsi="Times New Roman" w:cs="Times New Roman"/>
          <w:sz w:val="24"/>
          <w:szCs w:val="24"/>
        </w:rPr>
        <w:t>™ in reducing catheter related infections in cuffed, tunneled central venous</w:t>
      </w:r>
    </w:p>
    <w:p w:rsidR="006721F0" w:rsidRPr="001112C1" w:rsidRDefault="007C2281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catheters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. </w:t>
      </w:r>
      <w:r w:rsidRPr="001112C1">
        <w:rPr>
          <w:rFonts w:ascii="Times New Roman" w:hAnsi="Times New Roman" w:cs="Times New Roman"/>
          <w:i/>
          <w:sz w:val="24"/>
          <w:szCs w:val="24"/>
        </w:rPr>
        <w:t>J Vasc Interv Radiol</w:t>
      </w:r>
      <w:r w:rsidRPr="001112C1">
        <w:rPr>
          <w:rFonts w:ascii="Times New Roman" w:hAnsi="Times New Roman" w:cs="Times New Roman"/>
          <w:sz w:val="24"/>
          <w:szCs w:val="24"/>
        </w:rPr>
        <w:t xml:space="preserve"> 2013;24:S127.</w:t>
      </w:r>
    </w:p>
    <w:p w:rsidR="006721F0" w:rsidRPr="00D14A85" w:rsidRDefault="006721F0" w:rsidP="00D14A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ENREF_14"/>
      <w:r w:rsidRPr="00D14A85"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t xml:space="preserve">14. </w:t>
      </w:r>
      <w:bookmarkEnd w:id="13"/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  <w:lang w:val="es-ES"/>
        </w:rPr>
        <w:t>Pedrolo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  <w:lang w:val="es-ES"/>
        </w:rPr>
        <w:t>Danski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MT,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  <w:lang w:val="es-ES"/>
        </w:rPr>
        <w:t>Vayego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SA. </w:t>
      </w:r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Chlorhexidine and gauze and tape dressings for central venous catheters: a randomized clinical trial. </w:t>
      </w:r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Rev </w:t>
      </w:r>
      <w:proofErr w:type="spellStart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>Lat</w:t>
      </w:r>
      <w:proofErr w:type="spellEnd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 Am </w:t>
      </w:r>
      <w:proofErr w:type="spellStart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>Enfermagem</w:t>
      </w:r>
      <w:proofErr w:type="spellEnd"/>
      <w:r w:rsidR="00D14A85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proofErr w:type="gramStart"/>
      <w:r w:rsidR="00D14A85">
        <w:rPr>
          <w:rFonts w:ascii="Times New Roman" w:eastAsia="Times New Roman" w:hAnsi="Times New Roman" w:cs="Times New Roman"/>
          <w:sz w:val="24"/>
          <w:szCs w:val="24"/>
        </w:rPr>
        <w:t>;22:764</w:t>
      </w:r>
      <w:proofErr w:type="gramEnd"/>
      <w:r w:rsidR="00D14A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32FA">
        <w:rPr>
          <w:rFonts w:ascii="Times New Roman" w:eastAsia="Times New Roman" w:hAnsi="Times New Roman" w:cs="Times New Roman"/>
          <w:sz w:val="24"/>
          <w:szCs w:val="24"/>
        </w:rPr>
        <w:t>7</w:t>
      </w:r>
      <w:r w:rsidR="00D14A85">
        <w:rPr>
          <w:rFonts w:ascii="Times New Roman" w:eastAsia="Times New Roman" w:hAnsi="Times New Roman" w:cs="Times New Roman"/>
          <w:sz w:val="24"/>
          <w:szCs w:val="24"/>
        </w:rPr>
        <w:t>71.</w:t>
      </w:r>
    </w:p>
    <w:p w:rsidR="007C2281" w:rsidRPr="00D14A85" w:rsidRDefault="006721F0" w:rsidP="00D14A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ENREF_15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15. </w:t>
      </w:r>
      <w:bookmarkStart w:id="15" w:name="_ENREF_16"/>
      <w:bookmarkEnd w:id="14"/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Pivkina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AI,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Gusarov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VG, Blot SI,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Zhivotneva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IV,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Pasko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NV,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Zamyatin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MN. Effect of an acrylic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terpolymer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barrier film beneath transparent catheter dressings on skin integrity, risk of dressing disruption, catheter </w:t>
      </w:r>
      <w:proofErr w:type="spell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colonisation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and infection. Intensive </w:t>
      </w:r>
      <w:proofErr w:type="spellStart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>Crit</w:t>
      </w:r>
      <w:proofErr w:type="spellEnd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="007C2281" w:rsidRPr="00D14A85">
        <w:rPr>
          <w:rFonts w:ascii="Times New Roman" w:eastAsia="Times New Roman" w:hAnsi="Times New Roman" w:cs="Times New Roman"/>
          <w:i/>
          <w:sz w:val="24"/>
          <w:szCs w:val="24"/>
        </w:rPr>
        <w:t>Nurs</w:t>
      </w:r>
      <w:proofErr w:type="spell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proofErr w:type="gramStart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;46:17</w:t>
      </w:r>
      <w:proofErr w:type="gramEnd"/>
      <w:r w:rsidR="007C2281" w:rsidRPr="00D14A85">
        <w:rPr>
          <w:rFonts w:ascii="Times New Roman" w:eastAsia="Times New Roman" w:hAnsi="Times New Roman" w:cs="Times New Roman"/>
          <w:sz w:val="24"/>
          <w:szCs w:val="24"/>
        </w:rPr>
        <w:t>-23.</w:t>
      </w:r>
    </w:p>
    <w:p w:rsidR="006721F0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16. </w:t>
      </w:r>
      <w:bookmarkEnd w:id="15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Roberts B, Cheung D. </w:t>
      </w:r>
      <w:proofErr w:type="spellStart"/>
      <w:r w:rsidR="00D14A85" w:rsidRPr="00D14A85">
        <w:rPr>
          <w:rFonts w:ascii="Times New Roman" w:hAnsi="Times New Roman" w:cs="Times New Roman"/>
          <w:sz w:val="24"/>
          <w:szCs w:val="24"/>
        </w:rPr>
        <w:t>Biopatch</w:t>
      </w:r>
      <w:proofErr w:type="spellEnd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--a new concept in antimicrobial dressings for invasive devices. </w:t>
      </w:r>
      <w:proofErr w:type="spellStart"/>
      <w:r w:rsidR="00D14A85" w:rsidRPr="00D14A85">
        <w:rPr>
          <w:rFonts w:ascii="Times New Roman" w:hAnsi="Times New Roman" w:cs="Times New Roman"/>
          <w:i/>
          <w:sz w:val="24"/>
          <w:szCs w:val="24"/>
        </w:rPr>
        <w:t>Aust</w:t>
      </w:r>
      <w:proofErr w:type="spellEnd"/>
      <w:r w:rsidR="00D14A85" w:rsidRPr="00D14A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4A85" w:rsidRPr="00D14A85">
        <w:rPr>
          <w:rFonts w:ascii="Times New Roman" w:hAnsi="Times New Roman" w:cs="Times New Roman"/>
          <w:i/>
          <w:sz w:val="24"/>
          <w:szCs w:val="24"/>
        </w:rPr>
        <w:t>Crit</w:t>
      </w:r>
      <w:proofErr w:type="spellEnd"/>
      <w:r w:rsidR="00D14A85" w:rsidRPr="00D14A85">
        <w:rPr>
          <w:rFonts w:ascii="Times New Roman" w:hAnsi="Times New Roman" w:cs="Times New Roman"/>
          <w:i/>
          <w:sz w:val="24"/>
          <w:szCs w:val="24"/>
        </w:rPr>
        <w:t xml:space="preserve"> Care</w:t>
      </w:r>
      <w:r w:rsidR="00D14A85" w:rsidRPr="00D14A85">
        <w:rPr>
          <w:rFonts w:ascii="Times New Roman" w:hAnsi="Times New Roman" w:cs="Times New Roman"/>
          <w:sz w:val="24"/>
          <w:szCs w:val="24"/>
        </w:rPr>
        <w:t xml:space="preserve"> 1998</w:t>
      </w:r>
      <w:proofErr w:type="gramStart"/>
      <w:r w:rsidR="00D14A85" w:rsidRPr="00D14A85">
        <w:rPr>
          <w:rFonts w:ascii="Times New Roman" w:hAnsi="Times New Roman" w:cs="Times New Roman"/>
          <w:sz w:val="24"/>
          <w:szCs w:val="24"/>
        </w:rPr>
        <w:t>;11:16</w:t>
      </w:r>
      <w:proofErr w:type="gramEnd"/>
      <w:r w:rsidR="00D14A85" w:rsidRPr="00D14A85">
        <w:rPr>
          <w:rFonts w:ascii="Times New Roman" w:hAnsi="Times New Roman" w:cs="Times New Roman"/>
          <w:sz w:val="24"/>
          <w:szCs w:val="24"/>
        </w:rPr>
        <w:t>-</w:t>
      </w:r>
      <w:r w:rsidR="005832FA">
        <w:rPr>
          <w:rFonts w:ascii="Times New Roman" w:hAnsi="Times New Roman" w:cs="Times New Roman"/>
          <w:sz w:val="24"/>
          <w:szCs w:val="24"/>
        </w:rPr>
        <w:t>1</w:t>
      </w:r>
      <w:r w:rsidR="00D14A85" w:rsidRPr="00D14A85">
        <w:rPr>
          <w:rFonts w:ascii="Times New Roman" w:hAnsi="Times New Roman" w:cs="Times New Roman"/>
          <w:sz w:val="24"/>
          <w:szCs w:val="24"/>
        </w:rPr>
        <w:t>9.</w:t>
      </w:r>
    </w:p>
    <w:p w:rsidR="006721F0" w:rsidRPr="00D14A85" w:rsidRDefault="006721F0" w:rsidP="00D14A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ENREF_17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17. </w:t>
      </w:r>
      <w:bookmarkEnd w:id="16"/>
      <w:proofErr w:type="spellStart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>Ruschulte</w:t>
      </w:r>
      <w:proofErr w:type="spellEnd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 xml:space="preserve"> H, Franke M, </w:t>
      </w:r>
      <w:proofErr w:type="spellStart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>Gastmeier</w:t>
      </w:r>
      <w:proofErr w:type="spellEnd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 xml:space="preserve"> P, et al. Prevention of central venous catheter related infections with chlorhexidine gluconate impregnated wound dressings: a randomized controlled trial. </w:t>
      </w:r>
      <w:r w:rsidR="00D14A85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Ann </w:t>
      </w:r>
      <w:proofErr w:type="spellStart"/>
      <w:r w:rsidR="00D14A85" w:rsidRPr="00D14A85">
        <w:rPr>
          <w:rFonts w:ascii="Times New Roman" w:eastAsia="Times New Roman" w:hAnsi="Times New Roman" w:cs="Times New Roman"/>
          <w:i/>
          <w:sz w:val="24"/>
          <w:szCs w:val="24"/>
        </w:rPr>
        <w:t>Hematol</w:t>
      </w:r>
      <w:proofErr w:type="spellEnd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proofErr w:type="gramStart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>;88:267</w:t>
      </w:r>
      <w:proofErr w:type="gramEnd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32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>72.</w:t>
      </w:r>
    </w:p>
    <w:p w:rsid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17" w:name="_ENREF_18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18. </w:t>
      </w:r>
      <w:bookmarkStart w:id="18" w:name="_ENREF_19"/>
      <w:bookmarkEnd w:id="17"/>
      <w:proofErr w:type="spellStart"/>
      <w:r w:rsidR="00D14A85" w:rsidRPr="00D14A85">
        <w:rPr>
          <w:rFonts w:ascii="Times New Roman" w:hAnsi="Times New Roman" w:cs="Times New Roman"/>
          <w:sz w:val="24"/>
          <w:szCs w:val="24"/>
        </w:rPr>
        <w:t>Timsit</w:t>
      </w:r>
      <w:proofErr w:type="spellEnd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 JF, </w:t>
      </w:r>
      <w:proofErr w:type="spellStart"/>
      <w:r w:rsidR="00D14A85" w:rsidRPr="00D14A85">
        <w:rPr>
          <w:rFonts w:ascii="Times New Roman" w:hAnsi="Times New Roman" w:cs="Times New Roman"/>
          <w:sz w:val="24"/>
          <w:szCs w:val="24"/>
        </w:rPr>
        <w:t>Schwebel</w:t>
      </w:r>
      <w:proofErr w:type="spellEnd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="00D14A85" w:rsidRPr="00D14A85">
        <w:rPr>
          <w:rFonts w:ascii="Times New Roman" w:hAnsi="Times New Roman" w:cs="Times New Roman"/>
          <w:sz w:val="24"/>
          <w:szCs w:val="24"/>
        </w:rPr>
        <w:t>Bouadma</w:t>
      </w:r>
      <w:proofErr w:type="spellEnd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 L, et al. Chlorhexidine-impregnated sponges and less frequent dre</w:t>
      </w:r>
      <w:r w:rsidR="00D14A85">
        <w:rPr>
          <w:rFonts w:ascii="Times New Roman" w:hAnsi="Times New Roman" w:cs="Times New Roman"/>
          <w:sz w:val="24"/>
          <w:szCs w:val="24"/>
        </w:rPr>
        <w:t>ssing changes for prevention</w:t>
      </w:r>
    </w:p>
    <w:p w:rsidR="00D14A85" w:rsidRPr="00D14A85" w:rsidRDefault="00D14A85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D14A85"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85">
        <w:rPr>
          <w:rFonts w:ascii="Times New Roman" w:hAnsi="Times New Roman" w:cs="Times New Roman"/>
          <w:sz w:val="24"/>
          <w:szCs w:val="24"/>
        </w:rPr>
        <w:t xml:space="preserve">catheter-related infections in critically ill adults: a randomized controlled trial. </w:t>
      </w:r>
      <w:r w:rsidRPr="00D14A85">
        <w:rPr>
          <w:rFonts w:ascii="Times New Roman" w:hAnsi="Times New Roman" w:cs="Times New Roman"/>
          <w:i/>
          <w:sz w:val="24"/>
          <w:szCs w:val="24"/>
        </w:rPr>
        <w:t>JAMA</w:t>
      </w:r>
      <w:r w:rsidRPr="00D14A85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D14A85">
        <w:rPr>
          <w:rFonts w:ascii="Times New Roman" w:hAnsi="Times New Roman" w:cs="Times New Roman"/>
          <w:sz w:val="24"/>
          <w:szCs w:val="24"/>
        </w:rPr>
        <w:t>;301:1231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>-</w:t>
      </w:r>
      <w:r w:rsidR="005832FA">
        <w:rPr>
          <w:rFonts w:ascii="Times New Roman" w:hAnsi="Times New Roman" w:cs="Times New Roman"/>
          <w:sz w:val="24"/>
          <w:szCs w:val="24"/>
        </w:rPr>
        <w:t>12</w:t>
      </w:r>
      <w:r w:rsidRPr="00D14A85">
        <w:rPr>
          <w:rFonts w:ascii="Times New Roman" w:hAnsi="Times New Roman" w:cs="Times New Roman"/>
          <w:sz w:val="24"/>
          <w:szCs w:val="24"/>
        </w:rPr>
        <w:t>41.</w:t>
      </w:r>
    </w:p>
    <w:p w:rsidR="00D14A85" w:rsidRPr="00D14A85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19. </w:t>
      </w:r>
      <w:bookmarkEnd w:id="18"/>
      <w:proofErr w:type="spellStart"/>
      <w:r w:rsidR="00D14A85" w:rsidRPr="00D14A85">
        <w:rPr>
          <w:rFonts w:ascii="Times New Roman" w:hAnsi="Times New Roman" w:cs="Times New Roman"/>
          <w:sz w:val="24"/>
          <w:szCs w:val="24"/>
        </w:rPr>
        <w:t>Timsit</w:t>
      </w:r>
      <w:proofErr w:type="spellEnd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 JF, </w:t>
      </w:r>
      <w:proofErr w:type="spellStart"/>
      <w:r w:rsidR="00D14A85" w:rsidRPr="00D14A85">
        <w:rPr>
          <w:rFonts w:ascii="Times New Roman" w:hAnsi="Times New Roman" w:cs="Times New Roman"/>
          <w:sz w:val="24"/>
          <w:szCs w:val="24"/>
        </w:rPr>
        <w:t>Mimoz</w:t>
      </w:r>
      <w:proofErr w:type="spellEnd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 O, </w:t>
      </w:r>
      <w:proofErr w:type="spellStart"/>
      <w:r w:rsidR="00D14A85" w:rsidRPr="00D14A85">
        <w:rPr>
          <w:rFonts w:ascii="Times New Roman" w:hAnsi="Times New Roman" w:cs="Times New Roman"/>
          <w:sz w:val="24"/>
          <w:szCs w:val="24"/>
        </w:rPr>
        <w:t>Mourvillier</w:t>
      </w:r>
      <w:proofErr w:type="spellEnd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 B, et al. Randomized controlled trial of chlorhexidine dressing and highly adhesive dressing for</w:t>
      </w:r>
    </w:p>
    <w:p w:rsidR="006721F0" w:rsidRPr="00D14A85" w:rsidRDefault="00D14A85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D14A85">
        <w:rPr>
          <w:rFonts w:ascii="Times New Roman" w:hAnsi="Times New Roman" w:cs="Times New Roman"/>
          <w:sz w:val="24"/>
          <w:szCs w:val="24"/>
        </w:rPr>
        <w:t>preventing</w:t>
      </w:r>
      <w:proofErr w:type="gramEnd"/>
      <w:r w:rsidRPr="00D14A85">
        <w:rPr>
          <w:rFonts w:ascii="Times New Roman" w:hAnsi="Times New Roman" w:cs="Times New Roman"/>
          <w:sz w:val="24"/>
          <w:szCs w:val="24"/>
        </w:rPr>
        <w:t xml:space="preserve"> catheter-related infections in critically ill adults. </w:t>
      </w:r>
      <w:r w:rsidRPr="00D14A85">
        <w:rPr>
          <w:rFonts w:ascii="Times New Roman" w:hAnsi="Times New Roman" w:cs="Times New Roman"/>
          <w:i/>
          <w:sz w:val="24"/>
          <w:szCs w:val="24"/>
        </w:rPr>
        <w:t xml:space="preserve">Am J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Respir</w:t>
      </w:r>
      <w:proofErr w:type="spellEnd"/>
      <w:r w:rsidRPr="00D14A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A85">
        <w:rPr>
          <w:rFonts w:ascii="Times New Roman" w:hAnsi="Times New Roman" w:cs="Times New Roman"/>
          <w:i/>
          <w:sz w:val="24"/>
          <w:szCs w:val="24"/>
        </w:rPr>
        <w:t>Crit</w:t>
      </w:r>
      <w:proofErr w:type="spellEnd"/>
      <w:r w:rsidRPr="00D14A85">
        <w:rPr>
          <w:rFonts w:ascii="Times New Roman" w:hAnsi="Times New Roman" w:cs="Times New Roman"/>
          <w:i/>
          <w:sz w:val="24"/>
          <w:szCs w:val="24"/>
        </w:rPr>
        <w:t xml:space="preserve"> Care Med</w:t>
      </w:r>
      <w:r w:rsidRPr="00D14A85">
        <w:rPr>
          <w:rFonts w:ascii="Times New Roman" w:hAnsi="Times New Roman" w:cs="Times New Roman"/>
          <w:sz w:val="24"/>
          <w:szCs w:val="24"/>
        </w:rPr>
        <w:t xml:space="preserve"> 2012;186:1272-</w:t>
      </w:r>
      <w:r w:rsidR="005832FA">
        <w:rPr>
          <w:rFonts w:ascii="Times New Roman" w:hAnsi="Times New Roman" w:cs="Times New Roman"/>
          <w:sz w:val="24"/>
          <w:szCs w:val="24"/>
        </w:rPr>
        <w:t>127</w:t>
      </w:r>
      <w:bookmarkStart w:id="19" w:name="_GoBack"/>
      <w:bookmarkEnd w:id="19"/>
      <w:r w:rsidRPr="00D14A85">
        <w:rPr>
          <w:rFonts w:ascii="Times New Roman" w:hAnsi="Times New Roman" w:cs="Times New Roman"/>
          <w:sz w:val="24"/>
          <w:szCs w:val="24"/>
        </w:rPr>
        <w:t>8.</w:t>
      </w:r>
    </w:p>
    <w:p w:rsidR="006721F0" w:rsidRPr="00D14A85" w:rsidRDefault="006721F0" w:rsidP="00D14A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ENREF_20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20. </w:t>
      </w:r>
      <w:bookmarkEnd w:id="20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 xml:space="preserve">Yu K, Lu M, </w:t>
      </w:r>
      <w:proofErr w:type="spellStart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>Meng</w:t>
      </w:r>
      <w:proofErr w:type="spellEnd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 xml:space="preserve"> Y, Zhao Y, Li Z. Chlorhexidine gluconate transparent dressing does not decrease central line-associated bloodstream infection in critically ill patients: A randomized controlled trial. </w:t>
      </w:r>
      <w:proofErr w:type="spellStart"/>
      <w:r w:rsidR="00D14A85" w:rsidRPr="00D14A85"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proofErr w:type="spellEnd"/>
      <w:r w:rsidR="00D14A85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 J </w:t>
      </w:r>
      <w:proofErr w:type="spellStart"/>
      <w:r w:rsidR="00D14A85" w:rsidRPr="00D14A85">
        <w:rPr>
          <w:rFonts w:ascii="Times New Roman" w:eastAsia="Times New Roman" w:hAnsi="Times New Roman" w:cs="Times New Roman"/>
          <w:i/>
          <w:sz w:val="24"/>
          <w:szCs w:val="24"/>
        </w:rPr>
        <w:t>Nurs</w:t>
      </w:r>
      <w:proofErr w:type="spellEnd"/>
      <w:r w:rsidR="00D14A85" w:rsidRPr="00D14A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4A85" w:rsidRPr="00D14A85">
        <w:rPr>
          <w:rFonts w:ascii="Times New Roman" w:eastAsia="Times New Roman" w:hAnsi="Times New Roman" w:cs="Times New Roman"/>
          <w:i/>
          <w:sz w:val="24"/>
          <w:szCs w:val="24"/>
        </w:rPr>
        <w:t>Pract</w:t>
      </w:r>
      <w:proofErr w:type="spellEnd"/>
      <w:r w:rsidR="00D14A85" w:rsidRPr="00D14A85">
        <w:rPr>
          <w:rFonts w:ascii="Times New Roman" w:eastAsia="Times New Roman" w:hAnsi="Times New Roman" w:cs="Times New Roman"/>
          <w:sz w:val="24"/>
          <w:szCs w:val="24"/>
        </w:rPr>
        <w:t xml:space="preserve"> 2019:e12776.</w:t>
      </w:r>
    </w:p>
    <w:p w:rsidR="00B768DA" w:rsidRDefault="006721F0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21" w:name="_ENREF_21"/>
      <w:r w:rsidRPr="00D14A85">
        <w:rPr>
          <w:rFonts w:ascii="Times New Roman" w:hAnsi="Times New Roman" w:cs="Times New Roman"/>
          <w:noProof/>
          <w:sz w:val="24"/>
          <w:szCs w:val="24"/>
        </w:rPr>
        <w:t xml:space="preserve">21. </w:t>
      </w:r>
      <w:bookmarkEnd w:id="21"/>
      <w:r w:rsidR="00D14A85" w:rsidRPr="00D14A85">
        <w:rPr>
          <w:rFonts w:ascii="Times New Roman" w:hAnsi="Times New Roman" w:cs="Times New Roman"/>
          <w:sz w:val="24"/>
          <w:szCs w:val="24"/>
        </w:rPr>
        <w:t>Yu K, Li Z, Wang J, Li H, Lu M. Effect and cost analysis of two kinds of transparent dressings on th</w:t>
      </w:r>
      <w:r w:rsidR="00B768DA">
        <w:rPr>
          <w:rFonts w:ascii="Times New Roman" w:hAnsi="Times New Roman" w:cs="Times New Roman"/>
          <w:sz w:val="24"/>
          <w:szCs w:val="24"/>
        </w:rPr>
        <w:t>e bloodstream infection rate</w:t>
      </w:r>
    </w:p>
    <w:p w:rsidR="006721F0" w:rsidRPr="00D14A85" w:rsidRDefault="00B768DA" w:rsidP="00D14A85">
      <w:pPr>
        <w:pStyle w:val="EndNoteBibliography"/>
        <w:spacing w:after="0"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14A85" w:rsidRPr="00D14A8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A85" w:rsidRPr="00D14A85">
        <w:rPr>
          <w:rFonts w:ascii="Times New Roman" w:hAnsi="Times New Roman" w:cs="Times New Roman"/>
          <w:sz w:val="24"/>
          <w:szCs w:val="24"/>
        </w:rPr>
        <w:t xml:space="preserve">central venous catheter. </w:t>
      </w:r>
      <w:r w:rsidR="00D14A85" w:rsidRPr="00D14A85">
        <w:rPr>
          <w:rFonts w:ascii="Times New Roman" w:hAnsi="Times New Roman" w:cs="Times New Roman"/>
          <w:i/>
          <w:sz w:val="24"/>
          <w:szCs w:val="24"/>
        </w:rPr>
        <w:t xml:space="preserve">Chin J </w:t>
      </w:r>
      <w:proofErr w:type="spellStart"/>
      <w:r w:rsidR="00D14A85" w:rsidRPr="00D14A85">
        <w:rPr>
          <w:rFonts w:ascii="Times New Roman" w:hAnsi="Times New Roman" w:cs="Times New Roman"/>
          <w:i/>
          <w:sz w:val="24"/>
          <w:szCs w:val="24"/>
        </w:rPr>
        <w:t>Pract</w:t>
      </w:r>
      <w:proofErr w:type="spellEnd"/>
      <w:r w:rsidR="00D14A85" w:rsidRPr="00D14A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4A85" w:rsidRPr="00D14A85">
        <w:rPr>
          <w:rFonts w:ascii="Times New Roman" w:hAnsi="Times New Roman" w:cs="Times New Roman"/>
          <w:i/>
          <w:sz w:val="24"/>
          <w:szCs w:val="24"/>
        </w:rPr>
        <w:t>Nurs</w:t>
      </w:r>
      <w:proofErr w:type="spellEnd"/>
      <w:r w:rsidR="00D14A85" w:rsidRPr="00D14A85"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Start"/>
      <w:r w:rsidR="00D14A85" w:rsidRPr="00D14A85">
        <w:rPr>
          <w:rFonts w:ascii="Times New Roman" w:hAnsi="Times New Roman" w:cs="Times New Roman"/>
          <w:sz w:val="24"/>
          <w:szCs w:val="24"/>
        </w:rPr>
        <w:t>;31:2777</w:t>
      </w:r>
      <w:proofErr w:type="gramEnd"/>
      <w:r w:rsidR="00D14A85" w:rsidRPr="00D14A85">
        <w:rPr>
          <w:rFonts w:ascii="Times New Roman" w:hAnsi="Times New Roman" w:cs="Times New Roman"/>
          <w:sz w:val="24"/>
          <w:szCs w:val="24"/>
        </w:rPr>
        <w:t>-80.</w:t>
      </w:r>
    </w:p>
    <w:p w:rsidR="0054215F" w:rsidRDefault="00E71446"/>
    <w:sectPr w:rsidR="0054215F" w:rsidSect="007C228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1D" w:rsidRDefault="001112C1">
      <w:pPr>
        <w:spacing w:after="0" w:line="240" w:lineRule="auto"/>
      </w:pPr>
      <w:r>
        <w:separator/>
      </w:r>
    </w:p>
  </w:endnote>
  <w:endnote w:type="continuationSeparator" w:id="0">
    <w:p w:rsidR="00CB4F1D" w:rsidRDefault="0011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 Medium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263154"/>
      <w:docPartObj>
        <w:docPartGallery w:val="Page Numbers (Bottom of Page)"/>
        <w:docPartUnique/>
      </w:docPartObj>
    </w:sdtPr>
    <w:sdtEndPr/>
    <w:sdtContent>
      <w:p w:rsidR="00881CE0" w:rsidRDefault="00B768DA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71446">
          <w:rPr>
            <w:noProof/>
          </w:rPr>
          <w:t>5</w:t>
        </w:r>
        <w:r>
          <w:fldChar w:fldCharType="end"/>
        </w:r>
      </w:p>
    </w:sdtContent>
  </w:sdt>
  <w:p w:rsidR="00881CE0" w:rsidRDefault="00E714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566353"/>
      <w:docPartObj>
        <w:docPartGallery w:val="Page Numbers (Bottom of Page)"/>
        <w:docPartUnique/>
      </w:docPartObj>
    </w:sdtPr>
    <w:sdtEndPr/>
    <w:sdtContent>
      <w:p w:rsidR="00881CE0" w:rsidRDefault="00B768DA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71446">
          <w:rPr>
            <w:noProof/>
          </w:rPr>
          <w:t>8</w:t>
        </w:r>
        <w:r>
          <w:fldChar w:fldCharType="end"/>
        </w:r>
      </w:p>
    </w:sdtContent>
  </w:sdt>
  <w:p w:rsidR="00881CE0" w:rsidRDefault="00E71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1D" w:rsidRDefault="001112C1">
      <w:pPr>
        <w:spacing w:after="0" w:line="240" w:lineRule="auto"/>
      </w:pPr>
      <w:r>
        <w:separator/>
      </w:r>
    </w:p>
  </w:footnote>
  <w:footnote w:type="continuationSeparator" w:id="0">
    <w:p w:rsidR="00CB4F1D" w:rsidRDefault="0011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0" w:rsidRDefault="00E71446">
    <w:pPr>
      <w:pStyle w:val="Encabezado"/>
      <w:jc w:val="right"/>
    </w:pPr>
  </w:p>
  <w:p w:rsidR="00881CE0" w:rsidRDefault="00E714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E0" w:rsidRDefault="00E71446">
    <w:pPr>
      <w:pStyle w:val="Encabezado"/>
      <w:jc w:val="right"/>
    </w:pPr>
  </w:p>
  <w:p w:rsidR="00881CE0" w:rsidRDefault="00E714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721F0"/>
    <w:rsid w:val="001112C1"/>
    <w:rsid w:val="005832FA"/>
    <w:rsid w:val="00624AB0"/>
    <w:rsid w:val="006721F0"/>
    <w:rsid w:val="007B3350"/>
    <w:rsid w:val="007C2281"/>
    <w:rsid w:val="00B768DA"/>
    <w:rsid w:val="00CB4F1D"/>
    <w:rsid w:val="00D14A85"/>
    <w:rsid w:val="00E71446"/>
    <w:rsid w:val="00E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16AB"/>
  <w15:chartTrackingRefBased/>
  <w15:docId w15:val="{B16E788F-F730-4131-9F53-06D18CF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F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6721F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6721F0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721F0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721F0"/>
    <w:rPr>
      <w:rFonts w:ascii="Tahoma" w:hAnsi="Tahoma" w:cs="Tahoma"/>
      <w:sz w:val="16"/>
      <w:szCs w:val="16"/>
    </w:rPr>
  </w:style>
  <w:style w:type="character" w:customStyle="1" w:styleId="EndNoteBibliographyTitleChar">
    <w:name w:val="EndNote Bibliography Title Char"/>
    <w:basedOn w:val="Fuentedeprrafopredeter"/>
    <w:link w:val="EndNoteBibliographyTitle"/>
    <w:qFormat/>
    <w:rsid w:val="006721F0"/>
    <w:rPr>
      <w:rFonts w:ascii="Calibri" w:hAnsi="Calibri" w:cs="Calibri"/>
    </w:rPr>
  </w:style>
  <w:style w:type="character" w:customStyle="1" w:styleId="EndNoteBibliographyChar">
    <w:name w:val="EndNote Bibliography Char"/>
    <w:basedOn w:val="Fuentedeprrafopredeter"/>
    <w:link w:val="EndNoteBibliography"/>
    <w:qFormat/>
    <w:rsid w:val="006721F0"/>
    <w:rPr>
      <w:rFonts w:ascii="Calibri" w:hAnsi="Calibri" w:cs="Calibri"/>
    </w:rPr>
  </w:style>
  <w:style w:type="character" w:customStyle="1" w:styleId="EnlacedeInternet">
    <w:name w:val="Enlace de Internet"/>
    <w:basedOn w:val="Fuentedeprrafopredeter"/>
    <w:uiPriority w:val="99"/>
    <w:unhideWhenUsed/>
    <w:rsid w:val="006721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721F0"/>
    <w:rPr>
      <w:b/>
      <w:bCs/>
    </w:rPr>
  </w:style>
  <w:style w:type="character" w:customStyle="1" w:styleId="A13">
    <w:name w:val="A13"/>
    <w:uiPriority w:val="99"/>
    <w:qFormat/>
    <w:rsid w:val="006721F0"/>
    <w:rPr>
      <w:rFonts w:cs="Verdana"/>
      <w:color w:val="211D1E"/>
      <w:sz w:val="9"/>
      <w:szCs w:val="9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721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721F0"/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6721F0"/>
    <w:rPr>
      <w:color w:val="954F72" w:themeColor="followedHyperlink"/>
      <w:u w:val="single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customStyle="1" w:styleId="Destacado">
    <w:name w:val="Destacado"/>
    <w:basedOn w:val="Fuentedeprrafopredeter"/>
    <w:uiPriority w:val="20"/>
    <w:qFormat/>
    <w:rsid w:val="006721F0"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6721F0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qFormat/>
    <w:rsid w:val="006721F0"/>
  </w:style>
  <w:style w:type="character" w:customStyle="1" w:styleId="ListLabel1">
    <w:name w:val="ListLabel 1"/>
    <w:qFormat/>
    <w:rsid w:val="006721F0"/>
    <w:rPr>
      <w:sz w:val="18"/>
    </w:rPr>
  </w:style>
  <w:style w:type="character" w:customStyle="1" w:styleId="ListLabel2">
    <w:name w:val="ListLabel 2"/>
    <w:qFormat/>
    <w:rsid w:val="006721F0"/>
    <w:rPr>
      <w:rFonts w:cs="Courier New"/>
    </w:rPr>
  </w:style>
  <w:style w:type="character" w:customStyle="1" w:styleId="ListLabel3">
    <w:name w:val="ListLabel 3"/>
    <w:qFormat/>
    <w:rsid w:val="006721F0"/>
    <w:rPr>
      <w:rFonts w:cs="Courier New"/>
    </w:rPr>
  </w:style>
  <w:style w:type="character" w:customStyle="1" w:styleId="ListLabel4">
    <w:name w:val="ListLabel 4"/>
    <w:qFormat/>
    <w:rsid w:val="006721F0"/>
    <w:rPr>
      <w:rFonts w:cs="Courier New"/>
    </w:rPr>
  </w:style>
  <w:style w:type="character" w:customStyle="1" w:styleId="ListLabel5">
    <w:name w:val="ListLabel 5"/>
    <w:qFormat/>
    <w:rsid w:val="006721F0"/>
    <w:rPr>
      <w:sz w:val="18"/>
    </w:rPr>
  </w:style>
  <w:style w:type="character" w:customStyle="1" w:styleId="ListLabel6">
    <w:name w:val="ListLabel 6"/>
    <w:qFormat/>
    <w:rsid w:val="006721F0"/>
    <w:rPr>
      <w:rFonts w:cs="Courier New"/>
    </w:rPr>
  </w:style>
  <w:style w:type="character" w:customStyle="1" w:styleId="ListLabel7">
    <w:name w:val="ListLabel 7"/>
    <w:qFormat/>
    <w:rsid w:val="006721F0"/>
    <w:rPr>
      <w:rFonts w:cs="Courier New"/>
    </w:rPr>
  </w:style>
  <w:style w:type="character" w:customStyle="1" w:styleId="ListLabel8">
    <w:name w:val="ListLabel 8"/>
    <w:qFormat/>
    <w:rsid w:val="006721F0"/>
    <w:rPr>
      <w:rFonts w:cs="Courier New"/>
    </w:rPr>
  </w:style>
  <w:style w:type="character" w:customStyle="1" w:styleId="ListLabel9">
    <w:name w:val="ListLabel 9"/>
    <w:qFormat/>
    <w:rsid w:val="006721F0"/>
    <w:rPr>
      <w:sz w:val="18"/>
    </w:rPr>
  </w:style>
  <w:style w:type="character" w:customStyle="1" w:styleId="ListLabel10">
    <w:name w:val="ListLabel 10"/>
    <w:qFormat/>
    <w:rsid w:val="006721F0"/>
    <w:rPr>
      <w:rFonts w:cs="Courier New"/>
    </w:rPr>
  </w:style>
  <w:style w:type="character" w:customStyle="1" w:styleId="ListLabel11">
    <w:name w:val="ListLabel 11"/>
    <w:qFormat/>
    <w:rsid w:val="006721F0"/>
    <w:rPr>
      <w:rFonts w:cs="Courier New"/>
    </w:rPr>
  </w:style>
  <w:style w:type="character" w:customStyle="1" w:styleId="ListLabel12">
    <w:name w:val="ListLabel 12"/>
    <w:qFormat/>
    <w:rsid w:val="006721F0"/>
    <w:rPr>
      <w:rFonts w:cs="Courier New"/>
    </w:rPr>
  </w:style>
  <w:style w:type="character" w:customStyle="1" w:styleId="ListLabel13">
    <w:name w:val="ListLabel 13"/>
    <w:qFormat/>
    <w:rsid w:val="006721F0"/>
    <w:rPr>
      <w:sz w:val="18"/>
    </w:rPr>
  </w:style>
  <w:style w:type="character" w:customStyle="1" w:styleId="ListLabel14">
    <w:name w:val="ListLabel 14"/>
    <w:qFormat/>
    <w:rsid w:val="006721F0"/>
    <w:rPr>
      <w:rFonts w:cs="Courier New"/>
    </w:rPr>
  </w:style>
  <w:style w:type="character" w:customStyle="1" w:styleId="ListLabel15">
    <w:name w:val="ListLabel 15"/>
    <w:qFormat/>
    <w:rsid w:val="006721F0"/>
    <w:rPr>
      <w:rFonts w:cs="Courier New"/>
    </w:rPr>
  </w:style>
  <w:style w:type="character" w:customStyle="1" w:styleId="ListLabel16">
    <w:name w:val="ListLabel 16"/>
    <w:qFormat/>
    <w:rsid w:val="006721F0"/>
    <w:rPr>
      <w:rFonts w:cs="Courier New"/>
    </w:rPr>
  </w:style>
  <w:style w:type="character" w:customStyle="1" w:styleId="ListLabel17">
    <w:name w:val="ListLabel 17"/>
    <w:qFormat/>
    <w:rsid w:val="006721F0"/>
    <w:rPr>
      <w:sz w:val="18"/>
    </w:rPr>
  </w:style>
  <w:style w:type="character" w:customStyle="1" w:styleId="ListLabel18">
    <w:name w:val="ListLabel 18"/>
    <w:qFormat/>
    <w:rsid w:val="006721F0"/>
    <w:rPr>
      <w:rFonts w:cs="Courier New"/>
    </w:rPr>
  </w:style>
  <w:style w:type="character" w:customStyle="1" w:styleId="ListLabel19">
    <w:name w:val="ListLabel 19"/>
    <w:qFormat/>
    <w:rsid w:val="006721F0"/>
    <w:rPr>
      <w:rFonts w:cs="Courier New"/>
    </w:rPr>
  </w:style>
  <w:style w:type="character" w:customStyle="1" w:styleId="ListLabel20">
    <w:name w:val="ListLabel 20"/>
    <w:qFormat/>
    <w:rsid w:val="006721F0"/>
    <w:rPr>
      <w:rFonts w:cs="Courier New"/>
    </w:rPr>
  </w:style>
  <w:style w:type="character" w:customStyle="1" w:styleId="ListLabel21">
    <w:name w:val="ListLabel 21"/>
    <w:qFormat/>
    <w:rsid w:val="006721F0"/>
    <w:rPr>
      <w:rFonts w:eastAsia="Calibri" w:cs="Times New Roman"/>
    </w:rPr>
  </w:style>
  <w:style w:type="character" w:customStyle="1" w:styleId="ListLabel22">
    <w:name w:val="ListLabel 22"/>
    <w:qFormat/>
    <w:rsid w:val="006721F0"/>
    <w:rPr>
      <w:rFonts w:cs="Courier New"/>
    </w:rPr>
  </w:style>
  <w:style w:type="character" w:customStyle="1" w:styleId="ListLabel23">
    <w:name w:val="ListLabel 23"/>
    <w:qFormat/>
    <w:rsid w:val="006721F0"/>
    <w:rPr>
      <w:rFonts w:cs="Courier New"/>
    </w:rPr>
  </w:style>
  <w:style w:type="character" w:customStyle="1" w:styleId="ListLabel24">
    <w:name w:val="ListLabel 24"/>
    <w:qFormat/>
    <w:rsid w:val="006721F0"/>
    <w:rPr>
      <w:rFonts w:cs="Courier New"/>
    </w:rPr>
  </w:style>
  <w:style w:type="character" w:customStyle="1" w:styleId="ListLabel25">
    <w:name w:val="ListLabel 25"/>
    <w:qFormat/>
    <w:rsid w:val="006721F0"/>
    <w:rPr>
      <w:rFonts w:cs="Courier New"/>
    </w:rPr>
  </w:style>
  <w:style w:type="character" w:customStyle="1" w:styleId="ListLabel26">
    <w:name w:val="ListLabel 26"/>
    <w:qFormat/>
    <w:rsid w:val="006721F0"/>
    <w:rPr>
      <w:rFonts w:cs="Courier New"/>
    </w:rPr>
  </w:style>
  <w:style w:type="character" w:customStyle="1" w:styleId="ListLabel27">
    <w:name w:val="ListLabel 27"/>
    <w:qFormat/>
    <w:rsid w:val="006721F0"/>
    <w:rPr>
      <w:rFonts w:cs="Courier New"/>
    </w:rPr>
  </w:style>
  <w:style w:type="character" w:customStyle="1" w:styleId="ListLabel28">
    <w:name w:val="ListLabel 28"/>
    <w:qFormat/>
    <w:rsid w:val="006721F0"/>
    <w:rPr>
      <w:rFonts w:ascii="Times New Roman" w:hAnsi="Times New Roman" w:cs="Times New Roman"/>
      <w:sz w:val="24"/>
      <w:szCs w:val="24"/>
      <w:lang w:val="en-GB"/>
    </w:rPr>
  </w:style>
  <w:style w:type="character" w:customStyle="1" w:styleId="ListLabel29">
    <w:name w:val="ListLabel 29"/>
    <w:qFormat/>
    <w:rsid w:val="006721F0"/>
    <w:rPr>
      <w:rFonts w:ascii="Times New Roman" w:hAnsi="Times New Roman" w:cs="Times New Roman"/>
      <w:sz w:val="24"/>
      <w:szCs w:val="24"/>
    </w:rPr>
  </w:style>
  <w:style w:type="character" w:customStyle="1" w:styleId="ListLabel30">
    <w:name w:val="ListLabel 30"/>
    <w:qFormat/>
    <w:rsid w:val="006721F0"/>
    <w:rPr>
      <w:rFonts w:ascii="Times New Roman" w:hAnsi="Times New Roman" w:cs="Times New Roman"/>
      <w:sz w:val="24"/>
      <w:szCs w:val="24"/>
      <w:lang w:val="en-GB"/>
    </w:rPr>
  </w:style>
  <w:style w:type="character" w:customStyle="1" w:styleId="ListLabel31">
    <w:name w:val="ListLabel 31"/>
    <w:qFormat/>
    <w:rsid w:val="006721F0"/>
    <w:rPr>
      <w:rFonts w:ascii="Times New Roman" w:hAnsi="Times New Roman" w:cs="Times New Roman"/>
      <w:sz w:val="24"/>
      <w:szCs w:val="24"/>
    </w:rPr>
  </w:style>
  <w:style w:type="character" w:customStyle="1" w:styleId="ListLabel32">
    <w:name w:val="ListLabel 32"/>
    <w:qFormat/>
    <w:rsid w:val="006721F0"/>
    <w:rPr>
      <w:rFonts w:ascii="Times New Roman" w:hAnsi="Times New Roman" w:cs="Times New Roman"/>
      <w:sz w:val="24"/>
      <w:szCs w:val="24"/>
      <w:lang w:val="en-GB"/>
    </w:rPr>
  </w:style>
  <w:style w:type="character" w:customStyle="1" w:styleId="ListLabel33">
    <w:name w:val="ListLabel 33"/>
    <w:qFormat/>
    <w:rsid w:val="006721F0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next w:val="Textoindependiente"/>
    <w:link w:val="TtuloCar"/>
    <w:qFormat/>
    <w:rsid w:val="006721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6721F0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6721F0"/>
    <w:pPr>
      <w:spacing w:after="140"/>
    </w:pPr>
  </w:style>
  <w:style w:type="character" w:customStyle="1" w:styleId="TextoindependienteCar">
    <w:name w:val="Texto independiente Car"/>
    <w:basedOn w:val="Fuentedeprrafopredeter"/>
    <w:link w:val="Textoindependiente"/>
    <w:rsid w:val="006721F0"/>
  </w:style>
  <w:style w:type="paragraph" w:styleId="Lista">
    <w:name w:val="List"/>
    <w:basedOn w:val="Textoindependiente"/>
    <w:rsid w:val="006721F0"/>
    <w:rPr>
      <w:rFonts w:cs="Lucida Sans"/>
    </w:rPr>
  </w:style>
  <w:style w:type="paragraph" w:styleId="Descripcin">
    <w:name w:val="caption"/>
    <w:basedOn w:val="Normal"/>
    <w:qFormat/>
    <w:rsid w:val="006721F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721F0"/>
    <w:pPr>
      <w:suppressLineNumbers/>
    </w:pPr>
    <w:rPr>
      <w:rFonts w:cs="Lucida San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6721F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Fuentedeprrafopredeter"/>
    <w:uiPriority w:val="99"/>
    <w:semiHidden/>
    <w:rsid w:val="006721F0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6721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721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7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Fuentedeprrafopredeter"/>
    <w:uiPriority w:val="99"/>
    <w:semiHidden/>
    <w:rsid w:val="006721F0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6721F0"/>
    <w:pPr>
      <w:spacing w:after="0"/>
      <w:jc w:val="center"/>
    </w:pPr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qFormat/>
    <w:rsid w:val="006721F0"/>
    <w:pPr>
      <w:spacing w:line="240" w:lineRule="auto"/>
      <w:jc w:val="both"/>
    </w:pPr>
    <w:rPr>
      <w:rFonts w:ascii="Calibri" w:hAnsi="Calibri" w:cs="Calibri"/>
    </w:rPr>
  </w:style>
  <w:style w:type="paragraph" w:styleId="Prrafodelista">
    <w:name w:val="List Paragraph"/>
    <w:basedOn w:val="Normal"/>
    <w:uiPriority w:val="34"/>
    <w:qFormat/>
    <w:rsid w:val="006721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Fuentedeprrafopredeter"/>
    <w:uiPriority w:val="99"/>
    <w:semiHidden/>
    <w:rsid w:val="006721F0"/>
  </w:style>
  <w:style w:type="paragraph" w:styleId="Piedepgina">
    <w:name w:val="footer"/>
    <w:basedOn w:val="Normal"/>
    <w:link w:val="PiedepginaCar"/>
    <w:uiPriority w:val="99"/>
    <w:unhideWhenUsed/>
    <w:rsid w:val="0067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Fuentedeprrafopredeter"/>
    <w:uiPriority w:val="99"/>
    <w:semiHidden/>
    <w:rsid w:val="006721F0"/>
  </w:style>
  <w:style w:type="paragraph" w:styleId="Revisin">
    <w:name w:val="Revision"/>
    <w:uiPriority w:val="99"/>
    <w:semiHidden/>
    <w:qFormat/>
    <w:rsid w:val="006721F0"/>
    <w:pPr>
      <w:spacing w:after="0" w:line="240" w:lineRule="auto"/>
    </w:pPr>
  </w:style>
  <w:style w:type="paragraph" w:customStyle="1" w:styleId="Default">
    <w:name w:val="Default"/>
    <w:qFormat/>
    <w:rsid w:val="006721F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customStyle="1" w:styleId="Pa15">
    <w:name w:val="Pa15"/>
    <w:basedOn w:val="Normal"/>
    <w:next w:val="Normal"/>
    <w:uiPriority w:val="99"/>
    <w:qFormat/>
    <w:rsid w:val="006721F0"/>
    <w:pPr>
      <w:spacing w:after="0" w:line="167" w:lineRule="atLeast"/>
    </w:pPr>
    <w:rPr>
      <w:rFonts w:ascii="Meta Pro Medium" w:hAnsi="Meta Pro Medium"/>
      <w:sz w:val="24"/>
      <w:szCs w:val="24"/>
    </w:rPr>
  </w:style>
  <w:style w:type="table" w:styleId="Tablaconcuadrcula">
    <w:name w:val="Table Grid"/>
    <w:basedOn w:val="Tablanormal"/>
    <w:uiPriority w:val="59"/>
    <w:rsid w:val="006721F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1946</Words>
  <Characters>10707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 Health Care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puigasensio</dc:creator>
  <cp:keywords/>
  <dc:description/>
  <cp:lastModifiedBy>Mireia Puig</cp:lastModifiedBy>
  <cp:revision>5</cp:revision>
  <dcterms:created xsi:type="dcterms:W3CDTF">2020-09-03T08:43:00Z</dcterms:created>
  <dcterms:modified xsi:type="dcterms:W3CDTF">2020-09-03T09:05:00Z</dcterms:modified>
</cp:coreProperties>
</file>