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1846" w:rsidRDefault="00581846" w:rsidP="00581846">
      <w:pPr>
        <w:rPr>
          <w:rFonts w:ascii="Georgia" w:hAnsi="Georgia" w:cstheme="minorHAnsi"/>
        </w:rPr>
      </w:pPr>
      <w:r w:rsidRPr="00EB25A5">
        <w:rPr>
          <w:rFonts w:ascii="Georgia" w:hAnsi="Georgia" w:cstheme="minorHAnsi"/>
          <w:b/>
          <w:bCs/>
        </w:rPr>
        <w:t>Appendix A.</w:t>
      </w:r>
      <w:r w:rsidRPr="00581846">
        <w:rPr>
          <w:rFonts w:ascii="Georgia" w:hAnsi="Georgia" w:cstheme="minorHAnsi"/>
        </w:rPr>
        <w:t xml:space="preserve"> </w:t>
      </w:r>
      <w:r>
        <w:rPr>
          <w:rFonts w:ascii="Georgia" w:hAnsi="Georgia" w:cstheme="minorHAnsi"/>
        </w:rPr>
        <w:t>C</w:t>
      </w:r>
      <w:r w:rsidRPr="001937B8">
        <w:rPr>
          <w:rFonts w:ascii="Georgia" w:hAnsi="Georgia" w:cstheme="minorHAnsi"/>
        </w:rPr>
        <w:t xml:space="preserve">hange in </w:t>
      </w:r>
      <w:r w:rsidRPr="006837CE">
        <w:rPr>
          <w:rFonts w:ascii="Georgia" w:hAnsi="Georgia" w:cstheme="minorHAnsi"/>
        </w:rPr>
        <w:t>condition</w:t>
      </w:r>
      <w:r>
        <w:rPr>
          <w:rFonts w:ascii="Georgia" w:hAnsi="Georgia" w:cstheme="minorHAnsi"/>
        </w:rPr>
        <w:t>s</w:t>
      </w:r>
      <w:r w:rsidRPr="006837CE">
        <w:rPr>
          <w:rFonts w:ascii="Georgia" w:hAnsi="Georgia" w:cstheme="minorHAnsi"/>
        </w:rPr>
        <w:t xml:space="preserve"> of interest </w:t>
      </w:r>
      <w:r>
        <w:rPr>
          <w:rFonts w:ascii="Georgia" w:hAnsi="Georgia" w:cstheme="minorHAnsi"/>
        </w:rPr>
        <w:t xml:space="preserve">among </w:t>
      </w:r>
      <w:r w:rsidRPr="006837CE">
        <w:rPr>
          <w:rFonts w:ascii="Georgia" w:hAnsi="Georgia" w:cstheme="minorHAnsi"/>
        </w:rPr>
        <w:t xml:space="preserve">Minimum Data Set </w:t>
      </w:r>
      <w:r w:rsidRPr="001937B8">
        <w:rPr>
          <w:rFonts w:ascii="Georgia" w:hAnsi="Georgia"/>
        </w:rPr>
        <w:t xml:space="preserve">3.0 </w:t>
      </w:r>
      <w:r>
        <w:rPr>
          <w:rFonts w:ascii="Georgia" w:hAnsi="Georgia"/>
        </w:rPr>
        <w:t xml:space="preserve">assessments showing </w:t>
      </w:r>
      <w:r w:rsidRPr="001937B8">
        <w:rPr>
          <w:rFonts w:ascii="Georgia" w:hAnsi="Georgia" w:cstheme="minorHAnsi"/>
        </w:rPr>
        <w:t xml:space="preserve">1-day </w:t>
      </w:r>
      <w:r w:rsidRPr="006837CE">
        <w:rPr>
          <w:rFonts w:ascii="Georgia" w:hAnsi="Georgia" w:cstheme="minorHAnsi"/>
        </w:rPr>
        <w:t>antibiotic use</w:t>
      </w:r>
      <w:r>
        <w:rPr>
          <w:rFonts w:ascii="Georgia" w:hAnsi="Georgia" w:cstheme="minorHAnsi"/>
        </w:rPr>
        <w:t>,</w:t>
      </w:r>
      <w:r w:rsidRPr="006837CE">
        <w:rPr>
          <w:rFonts w:ascii="Georgia" w:hAnsi="Georgia" w:cstheme="minorHAnsi"/>
        </w:rPr>
        <w:t xml:space="preserve"> </w:t>
      </w:r>
      <w:r>
        <w:rPr>
          <w:rFonts w:ascii="Georgia" w:hAnsi="Georgia"/>
        </w:rPr>
        <w:t>comparing</w:t>
      </w:r>
      <w:r w:rsidRPr="001937B8">
        <w:rPr>
          <w:rFonts w:ascii="Georgia" w:hAnsi="Georgia"/>
        </w:rPr>
        <w:t xml:space="preserve"> 2012</w:t>
      </w:r>
      <w:r>
        <w:rPr>
          <w:rFonts w:ascii="Georgia" w:hAnsi="Georgia"/>
        </w:rPr>
        <w:t xml:space="preserve"> vs. </w:t>
      </w:r>
      <w:r w:rsidRPr="001937B8">
        <w:rPr>
          <w:rFonts w:ascii="Georgia" w:hAnsi="Georgia"/>
        </w:rPr>
        <w:t>2016</w:t>
      </w:r>
      <w:r w:rsidRPr="006837CE">
        <w:rPr>
          <w:rFonts w:ascii="Georgia" w:hAnsi="Georgia" w:cstheme="minorHAnsi"/>
        </w:rPr>
        <w:t>,</w:t>
      </w:r>
      <w:r>
        <w:rPr>
          <w:rFonts w:ascii="Georgia" w:hAnsi="Georgia" w:cstheme="minorHAnsi"/>
        </w:rPr>
        <w:t>**</w:t>
      </w:r>
      <w:r w:rsidRPr="006837CE">
        <w:rPr>
          <w:rFonts w:ascii="Georgia" w:hAnsi="Georgia" w:cstheme="minorHAnsi"/>
        </w:rPr>
        <w:t xml:space="preserve"> adjusted for seasonality (calendar month)</w:t>
      </w:r>
      <w:r>
        <w:rPr>
          <w:rFonts w:ascii="Georgia" w:hAnsi="Georgia" w:cstheme="minorHAnsi"/>
        </w:rPr>
        <w:t xml:space="preserve"> and NH cluster standard errors</w:t>
      </w:r>
      <w:r w:rsidRPr="006837CE">
        <w:rPr>
          <w:rFonts w:ascii="Georgia" w:hAnsi="Georgia" w:cstheme="minorHAnsi"/>
        </w:rPr>
        <w:t>.</w:t>
      </w:r>
    </w:p>
    <w:p w:rsidR="00581846" w:rsidRPr="00581846" w:rsidRDefault="00581846" w:rsidP="00581846"/>
    <w:tbl>
      <w:tblPr>
        <w:tblW w:w="12955" w:type="dxa"/>
        <w:tblLayout w:type="fixed"/>
        <w:tblLook w:val="04A0" w:firstRow="1" w:lastRow="0" w:firstColumn="1" w:lastColumn="0" w:noHBand="0" w:noVBand="1"/>
      </w:tblPr>
      <w:tblGrid>
        <w:gridCol w:w="2060"/>
        <w:gridCol w:w="2795"/>
        <w:gridCol w:w="2700"/>
        <w:gridCol w:w="2700"/>
        <w:gridCol w:w="2700"/>
      </w:tblGrid>
      <w:tr w:rsidR="00581846" w:rsidRPr="00E70C61" w:rsidTr="00840021">
        <w:trPr>
          <w:trHeight w:val="182"/>
        </w:trPr>
        <w:tc>
          <w:tcPr>
            <w:tcW w:w="2060" w:type="dxa"/>
            <w:noWrap/>
            <w:hideMark/>
          </w:tcPr>
          <w:p w:rsidR="00581846" w:rsidRPr="00E70C61" w:rsidRDefault="00581846" w:rsidP="00840021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795" w:type="dxa"/>
            <w:noWrap/>
            <w:hideMark/>
          </w:tcPr>
          <w:p w:rsidR="00581846" w:rsidRPr="00E70C61" w:rsidRDefault="00581846" w:rsidP="00840021">
            <w:pPr>
              <w:jc w:val="center"/>
              <w:rPr>
                <w:rFonts w:ascii="Georgia" w:hAnsi="Georgia" w:cs="Calibri"/>
                <w:b/>
                <w:bCs/>
                <w:color w:val="000000" w:themeColor="text1"/>
              </w:rPr>
            </w:pPr>
            <w:r w:rsidRPr="00E70C61">
              <w:rPr>
                <w:rFonts w:ascii="Georgia" w:hAnsi="Georgia" w:cs="Calibri"/>
                <w:color w:val="000000" w:themeColor="text1"/>
              </w:rPr>
              <w:t xml:space="preserve">All </w:t>
            </w:r>
            <w:r w:rsidRPr="00E70C61">
              <w:rPr>
                <w:rFonts w:ascii="Georgia" w:hAnsi="Georgia" w:cs="Calibri"/>
                <w:i/>
                <w:color w:val="000000" w:themeColor="text1"/>
              </w:rPr>
              <w:t>(regardless of cognitive status)</w:t>
            </w:r>
          </w:p>
        </w:tc>
        <w:tc>
          <w:tcPr>
            <w:tcW w:w="2700" w:type="dxa"/>
            <w:noWrap/>
            <w:hideMark/>
          </w:tcPr>
          <w:p w:rsidR="00581846" w:rsidRPr="00E70C61" w:rsidRDefault="00581846" w:rsidP="00840021">
            <w:pPr>
              <w:jc w:val="center"/>
              <w:rPr>
                <w:rFonts w:ascii="Georgia" w:hAnsi="Georgia" w:cs="Calibri"/>
                <w:b/>
                <w:bCs/>
                <w:color w:val="000000" w:themeColor="text1"/>
              </w:rPr>
            </w:pPr>
            <w:r w:rsidRPr="00E70C61">
              <w:rPr>
                <w:rFonts w:ascii="Georgia" w:hAnsi="Georgia" w:cs="Calibri"/>
                <w:color w:val="000000" w:themeColor="text1"/>
              </w:rPr>
              <w:t>All ADRD</w:t>
            </w:r>
          </w:p>
          <w:p w:rsidR="00581846" w:rsidRPr="00E70C61" w:rsidRDefault="00581846" w:rsidP="00840021">
            <w:pPr>
              <w:jc w:val="center"/>
              <w:rPr>
                <w:rFonts w:ascii="Georgia" w:hAnsi="Georgia" w:cs="Calibri"/>
                <w:b/>
                <w:bCs/>
                <w:i/>
                <w:color w:val="000000" w:themeColor="text1"/>
              </w:rPr>
            </w:pPr>
            <w:r w:rsidRPr="00E70C61">
              <w:rPr>
                <w:rFonts w:ascii="Georgia" w:hAnsi="Georgia" w:cs="Calibri"/>
                <w:i/>
                <w:color w:val="000000" w:themeColor="text1"/>
              </w:rPr>
              <w:t>(n=</w:t>
            </w:r>
            <w:r w:rsidRPr="00E70C61">
              <w:rPr>
                <w:rFonts w:ascii="Georgia" w:hAnsi="Georgia"/>
                <w:color w:val="000000" w:themeColor="text1"/>
              </w:rPr>
              <w:t xml:space="preserve"> </w:t>
            </w:r>
            <w:r w:rsidRPr="00E70C61">
              <w:rPr>
                <w:rFonts w:ascii="Georgia" w:hAnsi="Georgia" w:cs="Calibri"/>
                <w:i/>
                <w:color w:val="000000" w:themeColor="text1"/>
              </w:rPr>
              <w:t>1,243,779)</w:t>
            </w:r>
          </w:p>
        </w:tc>
        <w:tc>
          <w:tcPr>
            <w:tcW w:w="2700" w:type="dxa"/>
            <w:noWrap/>
            <w:hideMark/>
          </w:tcPr>
          <w:p w:rsidR="00581846" w:rsidRPr="00E70C61" w:rsidRDefault="00581846" w:rsidP="00840021">
            <w:pPr>
              <w:jc w:val="center"/>
              <w:rPr>
                <w:rFonts w:ascii="Georgia" w:hAnsi="Georgia" w:cs="Calibri"/>
                <w:b/>
                <w:bCs/>
                <w:color w:val="000000" w:themeColor="text1"/>
              </w:rPr>
            </w:pPr>
            <w:r w:rsidRPr="00E70C61">
              <w:rPr>
                <w:rFonts w:ascii="Georgia" w:hAnsi="Georgia" w:cs="Calibri"/>
                <w:color w:val="000000" w:themeColor="text1"/>
              </w:rPr>
              <w:t>ADRD with ACI</w:t>
            </w:r>
          </w:p>
          <w:p w:rsidR="00581846" w:rsidRPr="00E70C61" w:rsidRDefault="00581846" w:rsidP="00840021">
            <w:pPr>
              <w:jc w:val="center"/>
              <w:rPr>
                <w:rFonts w:ascii="Georgia" w:hAnsi="Georgia" w:cs="Calibri"/>
                <w:b/>
                <w:bCs/>
                <w:i/>
                <w:color w:val="000000" w:themeColor="text1"/>
              </w:rPr>
            </w:pPr>
            <w:r w:rsidRPr="00E70C61">
              <w:rPr>
                <w:rFonts w:ascii="Georgia" w:hAnsi="Georgia" w:cs="Calibri"/>
                <w:i/>
                <w:color w:val="000000" w:themeColor="text1"/>
              </w:rPr>
              <w:t>(n=</w:t>
            </w:r>
            <w:r w:rsidRPr="00E70C61">
              <w:rPr>
                <w:rFonts w:ascii="Georgia" w:hAnsi="Georgia"/>
                <w:color w:val="000000" w:themeColor="text1"/>
              </w:rPr>
              <w:t xml:space="preserve"> </w:t>
            </w:r>
            <w:r w:rsidRPr="00E70C61">
              <w:rPr>
                <w:rFonts w:ascii="Georgia" w:hAnsi="Georgia" w:cs="Calibri"/>
                <w:i/>
                <w:color w:val="000000" w:themeColor="text1"/>
              </w:rPr>
              <w:t>286,066)</w:t>
            </w:r>
          </w:p>
        </w:tc>
        <w:tc>
          <w:tcPr>
            <w:tcW w:w="2700" w:type="dxa"/>
            <w:noWrap/>
            <w:hideMark/>
          </w:tcPr>
          <w:p w:rsidR="00581846" w:rsidRPr="00E70C61" w:rsidRDefault="00581846" w:rsidP="00840021">
            <w:pPr>
              <w:jc w:val="center"/>
              <w:rPr>
                <w:rFonts w:ascii="Georgia" w:hAnsi="Georgia" w:cs="Calibri"/>
                <w:b/>
                <w:bCs/>
                <w:color w:val="000000" w:themeColor="text1"/>
              </w:rPr>
            </w:pPr>
            <w:r w:rsidRPr="00E70C61">
              <w:rPr>
                <w:rFonts w:ascii="Georgia" w:hAnsi="Georgia" w:cs="Calibri"/>
                <w:color w:val="000000" w:themeColor="text1"/>
              </w:rPr>
              <w:t>ADRD without ACI</w:t>
            </w:r>
          </w:p>
          <w:p w:rsidR="00581846" w:rsidRPr="00E70C61" w:rsidRDefault="00581846" w:rsidP="00840021">
            <w:pPr>
              <w:jc w:val="center"/>
              <w:rPr>
                <w:rFonts w:ascii="Georgia" w:hAnsi="Georgia" w:cs="Calibri"/>
                <w:b/>
                <w:bCs/>
                <w:i/>
                <w:color w:val="000000" w:themeColor="text1"/>
              </w:rPr>
            </w:pPr>
            <w:r w:rsidRPr="00E70C61">
              <w:rPr>
                <w:rFonts w:ascii="Georgia" w:hAnsi="Georgia" w:cs="Calibri"/>
                <w:i/>
                <w:color w:val="000000" w:themeColor="text1"/>
              </w:rPr>
              <w:t>(n=</w:t>
            </w:r>
            <w:r w:rsidRPr="00E70C61">
              <w:rPr>
                <w:rFonts w:ascii="Georgia" w:hAnsi="Georgia"/>
                <w:color w:val="000000" w:themeColor="text1"/>
              </w:rPr>
              <w:t xml:space="preserve"> </w:t>
            </w:r>
            <w:r w:rsidRPr="00E70C61">
              <w:rPr>
                <w:rFonts w:ascii="Georgia" w:hAnsi="Georgia" w:cs="Calibri"/>
                <w:i/>
                <w:color w:val="000000" w:themeColor="text1"/>
              </w:rPr>
              <w:t>957,783)</w:t>
            </w:r>
          </w:p>
        </w:tc>
      </w:tr>
    </w:tbl>
    <w:tbl>
      <w:tblPr>
        <w:tblStyle w:val="PlainTable1"/>
        <w:tblW w:w="12955" w:type="dxa"/>
        <w:tblLayout w:type="fixed"/>
        <w:tblLook w:val="04A0" w:firstRow="1" w:lastRow="0" w:firstColumn="1" w:lastColumn="0" w:noHBand="0" w:noVBand="1"/>
      </w:tblPr>
      <w:tblGrid>
        <w:gridCol w:w="2060"/>
        <w:gridCol w:w="906"/>
        <w:gridCol w:w="907"/>
        <w:gridCol w:w="908"/>
        <w:gridCol w:w="74"/>
        <w:gridCol w:w="810"/>
        <w:gridCol w:w="24"/>
        <w:gridCol w:w="907"/>
        <w:gridCol w:w="908"/>
        <w:gridCol w:w="51"/>
        <w:gridCol w:w="857"/>
        <w:gridCol w:w="43"/>
        <w:gridCol w:w="865"/>
        <w:gridCol w:w="907"/>
        <w:gridCol w:w="28"/>
        <w:gridCol w:w="880"/>
        <w:gridCol w:w="20"/>
        <w:gridCol w:w="888"/>
        <w:gridCol w:w="912"/>
      </w:tblGrid>
      <w:tr w:rsidR="00581846" w:rsidRPr="00E70C61" w:rsidTr="00840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noWrap/>
            <w:hideMark/>
          </w:tcPr>
          <w:p w:rsidR="00581846" w:rsidRPr="00E70C61" w:rsidRDefault="00581846" w:rsidP="00840021">
            <w:pPr>
              <w:jc w:val="center"/>
              <w:rPr>
                <w:rFonts w:ascii="Georgia" w:hAnsi="Georgia" w:cs="Calibri"/>
                <w:b w:val="0"/>
                <w:bCs w:val="0"/>
                <w:color w:val="000000" w:themeColor="text1"/>
              </w:rPr>
            </w:pPr>
          </w:p>
        </w:tc>
        <w:tc>
          <w:tcPr>
            <w:tcW w:w="906" w:type="dxa"/>
            <w:noWrap/>
            <w:hideMark/>
          </w:tcPr>
          <w:p w:rsidR="00581846" w:rsidRPr="00E70C61" w:rsidRDefault="00581846" w:rsidP="008400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</w:rPr>
            </w:pPr>
            <w:r>
              <w:rPr>
                <w:rFonts w:ascii="Georgia" w:hAnsi="Georgia" w:cs="Calibri"/>
                <w:color w:val="000000" w:themeColor="text1"/>
              </w:rPr>
              <w:t>A</w:t>
            </w:r>
            <w:r w:rsidRPr="00E70C61">
              <w:rPr>
                <w:rFonts w:ascii="Georgia" w:hAnsi="Georgia" w:cs="Calibri"/>
                <w:color w:val="000000" w:themeColor="text1"/>
              </w:rPr>
              <w:t>OR</w:t>
            </w:r>
          </w:p>
        </w:tc>
        <w:tc>
          <w:tcPr>
            <w:tcW w:w="1889" w:type="dxa"/>
            <w:gridSpan w:val="3"/>
            <w:noWrap/>
            <w:hideMark/>
          </w:tcPr>
          <w:p w:rsidR="00581846" w:rsidRPr="00E70C61" w:rsidRDefault="00581846" w:rsidP="008400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</w:rPr>
            </w:pPr>
            <w:r w:rsidRPr="00E70C61">
              <w:rPr>
                <w:rFonts w:ascii="Georgia" w:hAnsi="Georgia" w:cs="Calibri"/>
                <w:color w:val="000000" w:themeColor="text1"/>
              </w:rPr>
              <w:t>95% CI</w:t>
            </w:r>
          </w:p>
        </w:tc>
        <w:tc>
          <w:tcPr>
            <w:tcW w:w="810" w:type="dxa"/>
            <w:noWrap/>
            <w:hideMark/>
          </w:tcPr>
          <w:p w:rsidR="00581846" w:rsidRPr="00E70C61" w:rsidRDefault="00581846" w:rsidP="008400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</w:rPr>
            </w:pPr>
            <w:r>
              <w:rPr>
                <w:rFonts w:ascii="Georgia" w:hAnsi="Georgia" w:cs="Calibri"/>
                <w:color w:val="000000" w:themeColor="text1"/>
              </w:rPr>
              <w:t>A</w:t>
            </w:r>
            <w:r w:rsidRPr="00E70C61">
              <w:rPr>
                <w:rFonts w:ascii="Georgia" w:hAnsi="Georgia" w:cs="Calibri"/>
                <w:color w:val="000000" w:themeColor="text1"/>
              </w:rPr>
              <w:t>OR</w:t>
            </w:r>
          </w:p>
        </w:tc>
        <w:tc>
          <w:tcPr>
            <w:tcW w:w="1890" w:type="dxa"/>
            <w:gridSpan w:val="4"/>
            <w:noWrap/>
            <w:hideMark/>
          </w:tcPr>
          <w:p w:rsidR="00581846" w:rsidRPr="00E70C61" w:rsidRDefault="00581846" w:rsidP="008400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</w:rPr>
            </w:pPr>
            <w:r w:rsidRPr="00E70C61">
              <w:rPr>
                <w:rFonts w:ascii="Georgia" w:hAnsi="Georgia" w:cs="Calibri"/>
                <w:color w:val="000000" w:themeColor="text1"/>
              </w:rPr>
              <w:t>95% CI</w:t>
            </w:r>
          </w:p>
        </w:tc>
        <w:tc>
          <w:tcPr>
            <w:tcW w:w="900" w:type="dxa"/>
            <w:gridSpan w:val="2"/>
            <w:noWrap/>
            <w:hideMark/>
          </w:tcPr>
          <w:p w:rsidR="00581846" w:rsidRPr="00E70C61" w:rsidRDefault="00581846" w:rsidP="008400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</w:rPr>
            </w:pPr>
            <w:r>
              <w:rPr>
                <w:rFonts w:ascii="Georgia" w:hAnsi="Georgia" w:cs="Calibri"/>
                <w:color w:val="000000" w:themeColor="text1"/>
              </w:rPr>
              <w:t>A</w:t>
            </w:r>
            <w:r w:rsidRPr="00E70C61">
              <w:rPr>
                <w:rFonts w:ascii="Georgia" w:hAnsi="Georgia" w:cs="Calibri"/>
                <w:color w:val="000000" w:themeColor="text1"/>
              </w:rPr>
              <w:t>OR</w:t>
            </w:r>
          </w:p>
        </w:tc>
        <w:tc>
          <w:tcPr>
            <w:tcW w:w="1800" w:type="dxa"/>
            <w:gridSpan w:val="3"/>
            <w:noWrap/>
            <w:hideMark/>
          </w:tcPr>
          <w:p w:rsidR="00581846" w:rsidRPr="00E70C61" w:rsidRDefault="00581846" w:rsidP="008400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</w:rPr>
            </w:pPr>
            <w:r w:rsidRPr="00E70C61">
              <w:rPr>
                <w:rFonts w:ascii="Georgia" w:hAnsi="Georgia" w:cs="Calibri"/>
                <w:color w:val="000000" w:themeColor="text1"/>
              </w:rPr>
              <w:t>95% CI</w:t>
            </w:r>
          </w:p>
        </w:tc>
        <w:tc>
          <w:tcPr>
            <w:tcW w:w="900" w:type="dxa"/>
            <w:gridSpan w:val="2"/>
            <w:noWrap/>
            <w:hideMark/>
          </w:tcPr>
          <w:p w:rsidR="00581846" w:rsidRPr="00E70C61" w:rsidRDefault="00581846" w:rsidP="008400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</w:rPr>
            </w:pPr>
            <w:r>
              <w:rPr>
                <w:rFonts w:ascii="Georgia" w:hAnsi="Georgia" w:cs="Calibri"/>
                <w:color w:val="000000" w:themeColor="text1"/>
              </w:rPr>
              <w:t>A</w:t>
            </w:r>
            <w:r w:rsidRPr="00E70C61">
              <w:rPr>
                <w:rFonts w:ascii="Georgia" w:hAnsi="Georgia" w:cs="Calibri"/>
                <w:color w:val="000000" w:themeColor="text1"/>
              </w:rPr>
              <w:t>OR</w:t>
            </w:r>
          </w:p>
        </w:tc>
        <w:tc>
          <w:tcPr>
            <w:tcW w:w="1800" w:type="dxa"/>
            <w:gridSpan w:val="2"/>
            <w:noWrap/>
            <w:hideMark/>
          </w:tcPr>
          <w:p w:rsidR="00581846" w:rsidRPr="00E70C61" w:rsidRDefault="00581846" w:rsidP="008400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</w:rPr>
            </w:pPr>
            <w:r w:rsidRPr="00E70C61">
              <w:rPr>
                <w:rFonts w:ascii="Georgia" w:hAnsi="Georgia" w:cs="Calibri"/>
                <w:color w:val="000000" w:themeColor="text1"/>
              </w:rPr>
              <w:t>95% CI</w:t>
            </w:r>
          </w:p>
        </w:tc>
      </w:tr>
      <w:tr w:rsidR="00581846" w:rsidRPr="00E70C61" w:rsidTr="00EB2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noWrap/>
            <w:vAlign w:val="center"/>
            <w:hideMark/>
          </w:tcPr>
          <w:p w:rsidR="00581846" w:rsidRPr="00581846" w:rsidRDefault="00581846" w:rsidP="00581846">
            <w:pPr>
              <w:ind w:left="-16"/>
              <w:rPr>
                <w:rFonts w:ascii="Georgia" w:hAnsi="Georgia" w:cs="Calibri"/>
                <w:b w:val="0"/>
                <w:bCs w:val="0"/>
                <w:color w:val="000000" w:themeColor="text1"/>
              </w:rPr>
            </w:pPr>
            <w:r w:rsidRPr="00581846">
              <w:rPr>
                <w:rFonts w:ascii="Georgia" w:hAnsi="Georgia" w:cs="Calibri"/>
                <w:b w:val="0"/>
                <w:bCs w:val="0"/>
                <w:color w:val="000000" w:themeColor="text1"/>
              </w:rPr>
              <w:t>UTI</w:t>
            </w:r>
          </w:p>
        </w:tc>
        <w:tc>
          <w:tcPr>
            <w:tcW w:w="906" w:type="dxa"/>
            <w:noWrap/>
            <w:vAlign w:val="center"/>
            <w:hideMark/>
          </w:tcPr>
          <w:p w:rsidR="00581846" w:rsidRDefault="00581846" w:rsidP="00EB2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0.56*</w:t>
            </w:r>
          </w:p>
        </w:tc>
        <w:tc>
          <w:tcPr>
            <w:tcW w:w="907" w:type="dxa"/>
            <w:noWrap/>
            <w:vAlign w:val="center"/>
            <w:hideMark/>
          </w:tcPr>
          <w:p w:rsidR="00581846" w:rsidRDefault="00581846" w:rsidP="00EB2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0.53</w:t>
            </w:r>
          </w:p>
        </w:tc>
        <w:tc>
          <w:tcPr>
            <w:tcW w:w="908" w:type="dxa"/>
            <w:noWrap/>
            <w:vAlign w:val="center"/>
            <w:hideMark/>
          </w:tcPr>
          <w:p w:rsidR="00581846" w:rsidRDefault="00581846" w:rsidP="00EB2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0.59</w:t>
            </w:r>
          </w:p>
        </w:tc>
        <w:tc>
          <w:tcPr>
            <w:tcW w:w="908" w:type="dxa"/>
            <w:gridSpan w:val="3"/>
            <w:noWrap/>
            <w:vAlign w:val="center"/>
            <w:hideMark/>
          </w:tcPr>
          <w:p w:rsidR="00581846" w:rsidRDefault="00581846" w:rsidP="00EB2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0.53*</w:t>
            </w:r>
          </w:p>
        </w:tc>
        <w:tc>
          <w:tcPr>
            <w:tcW w:w="907" w:type="dxa"/>
            <w:noWrap/>
            <w:vAlign w:val="center"/>
            <w:hideMark/>
          </w:tcPr>
          <w:p w:rsidR="00581846" w:rsidRDefault="00581846" w:rsidP="00EB2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0.48</w:t>
            </w:r>
          </w:p>
        </w:tc>
        <w:tc>
          <w:tcPr>
            <w:tcW w:w="908" w:type="dxa"/>
            <w:noWrap/>
            <w:vAlign w:val="center"/>
            <w:hideMark/>
          </w:tcPr>
          <w:p w:rsidR="00581846" w:rsidRDefault="00581846" w:rsidP="00EB2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0.59</w:t>
            </w:r>
          </w:p>
        </w:tc>
        <w:tc>
          <w:tcPr>
            <w:tcW w:w="908" w:type="dxa"/>
            <w:gridSpan w:val="2"/>
            <w:noWrap/>
            <w:vAlign w:val="center"/>
            <w:hideMark/>
          </w:tcPr>
          <w:p w:rsidR="00581846" w:rsidRDefault="00581846" w:rsidP="00EB2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0.58*</w:t>
            </w:r>
          </w:p>
        </w:tc>
        <w:tc>
          <w:tcPr>
            <w:tcW w:w="908" w:type="dxa"/>
            <w:gridSpan w:val="2"/>
            <w:noWrap/>
            <w:vAlign w:val="center"/>
            <w:hideMark/>
          </w:tcPr>
          <w:p w:rsidR="00581846" w:rsidRDefault="00581846" w:rsidP="00EB2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0.54</w:t>
            </w:r>
          </w:p>
        </w:tc>
        <w:tc>
          <w:tcPr>
            <w:tcW w:w="907" w:type="dxa"/>
            <w:noWrap/>
            <w:vAlign w:val="center"/>
            <w:hideMark/>
          </w:tcPr>
          <w:p w:rsidR="00581846" w:rsidRDefault="00581846" w:rsidP="00EB2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0.61</w:t>
            </w:r>
          </w:p>
        </w:tc>
        <w:tc>
          <w:tcPr>
            <w:tcW w:w="908" w:type="dxa"/>
            <w:gridSpan w:val="2"/>
            <w:noWrap/>
            <w:vAlign w:val="center"/>
            <w:hideMark/>
          </w:tcPr>
          <w:p w:rsidR="00581846" w:rsidRDefault="00581846" w:rsidP="00EB2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0.59*</w:t>
            </w:r>
          </w:p>
        </w:tc>
        <w:tc>
          <w:tcPr>
            <w:tcW w:w="908" w:type="dxa"/>
            <w:gridSpan w:val="2"/>
            <w:noWrap/>
            <w:vAlign w:val="center"/>
            <w:hideMark/>
          </w:tcPr>
          <w:p w:rsidR="00581846" w:rsidRDefault="00581846" w:rsidP="00EB2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0.55</w:t>
            </w:r>
          </w:p>
        </w:tc>
        <w:tc>
          <w:tcPr>
            <w:tcW w:w="912" w:type="dxa"/>
            <w:noWrap/>
            <w:vAlign w:val="center"/>
            <w:hideMark/>
          </w:tcPr>
          <w:p w:rsidR="00581846" w:rsidRDefault="00581846" w:rsidP="00EB2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0.63</w:t>
            </w:r>
          </w:p>
        </w:tc>
      </w:tr>
      <w:tr w:rsidR="00581846" w:rsidRPr="00E70C61" w:rsidTr="00EB25A5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noWrap/>
            <w:vAlign w:val="center"/>
            <w:hideMark/>
          </w:tcPr>
          <w:p w:rsidR="00581846" w:rsidRPr="00581846" w:rsidRDefault="00581846" w:rsidP="00581846">
            <w:pPr>
              <w:rPr>
                <w:rFonts w:ascii="Georgia" w:hAnsi="Georgia" w:cs="Calibri"/>
                <w:b w:val="0"/>
                <w:bCs w:val="0"/>
                <w:color w:val="000000" w:themeColor="text1"/>
              </w:rPr>
            </w:pPr>
            <w:r w:rsidRPr="00581846">
              <w:rPr>
                <w:rFonts w:ascii="Georgia" w:hAnsi="Georgia" w:cs="Calibri"/>
                <w:b w:val="0"/>
                <w:bCs w:val="0"/>
                <w:color w:val="000000" w:themeColor="text1"/>
              </w:rPr>
              <w:t>No Infection</w:t>
            </w:r>
          </w:p>
        </w:tc>
        <w:tc>
          <w:tcPr>
            <w:tcW w:w="906" w:type="dxa"/>
            <w:noWrap/>
            <w:vAlign w:val="center"/>
            <w:hideMark/>
          </w:tcPr>
          <w:p w:rsidR="00581846" w:rsidRDefault="00581846" w:rsidP="00EB2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1.44*</w:t>
            </w:r>
          </w:p>
        </w:tc>
        <w:tc>
          <w:tcPr>
            <w:tcW w:w="907" w:type="dxa"/>
            <w:noWrap/>
            <w:vAlign w:val="center"/>
            <w:hideMark/>
          </w:tcPr>
          <w:p w:rsidR="00581846" w:rsidRDefault="00581846" w:rsidP="00EB2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1.37</w:t>
            </w:r>
          </w:p>
        </w:tc>
        <w:tc>
          <w:tcPr>
            <w:tcW w:w="908" w:type="dxa"/>
            <w:noWrap/>
            <w:vAlign w:val="center"/>
            <w:hideMark/>
          </w:tcPr>
          <w:p w:rsidR="00581846" w:rsidRDefault="00581846" w:rsidP="00EB2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1.50</w:t>
            </w:r>
          </w:p>
        </w:tc>
        <w:tc>
          <w:tcPr>
            <w:tcW w:w="908" w:type="dxa"/>
            <w:gridSpan w:val="3"/>
            <w:noWrap/>
            <w:vAlign w:val="center"/>
            <w:hideMark/>
          </w:tcPr>
          <w:p w:rsidR="00581846" w:rsidRDefault="00581846" w:rsidP="00EB2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1.07*</w:t>
            </w:r>
          </w:p>
        </w:tc>
        <w:tc>
          <w:tcPr>
            <w:tcW w:w="907" w:type="dxa"/>
            <w:noWrap/>
            <w:vAlign w:val="center"/>
            <w:hideMark/>
          </w:tcPr>
          <w:p w:rsidR="00581846" w:rsidRDefault="00581846" w:rsidP="00EB2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1.02</w:t>
            </w:r>
          </w:p>
        </w:tc>
        <w:tc>
          <w:tcPr>
            <w:tcW w:w="908" w:type="dxa"/>
            <w:noWrap/>
            <w:vAlign w:val="center"/>
            <w:hideMark/>
          </w:tcPr>
          <w:p w:rsidR="00581846" w:rsidRDefault="00581846" w:rsidP="00EB2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1.11</w:t>
            </w:r>
          </w:p>
        </w:tc>
        <w:tc>
          <w:tcPr>
            <w:tcW w:w="908" w:type="dxa"/>
            <w:gridSpan w:val="2"/>
            <w:noWrap/>
            <w:vAlign w:val="center"/>
            <w:hideMark/>
          </w:tcPr>
          <w:p w:rsidR="00581846" w:rsidRDefault="00581846" w:rsidP="00EB2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1.18*</w:t>
            </w:r>
          </w:p>
        </w:tc>
        <w:tc>
          <w:tcPr>
            <w:tcW w:w="908" w:type="dxa"/>
            <w:gridSpan w:val="2"/>
            <w:noWrap/>
            <w:vAlign w:val="center"/>
            <w:hideMark/>
          </w:tcPr>
          <w:p w:rsidR="00581846" w:rsidRDefault="00581846" w:rsidP="00EB2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1.15</w:t>
            </w:r>
          </w:p>
        </w:tc>
        <w:tc>
          <w:tcPr>
            <w:tcW w:w="907" w:type="dxa"/>
            <w:noWrap/>
            <w:vAlign w:val="center"/>
            <w:hideMark/>
          </w:tcPr>
          <w:p w:rsidR="00581846" w:rsidRDefault="00581846" w:rsidP="00EB2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1.21</w:t>
            </w:r>
          </w:p>
        </w:tc>
        <w:tc>
          <w:tcPr>
            <w:tcW w:w="908" w:type="dxa"/>
            <w:gridSpan w:val="2"/>
            <w:noWrap/>
            <w:vAlign w:val="center"/>
            <w:hideMark/>
          </w:tcPr>
          <w:p w:rsidR="00581846" w:rsidRDefault="00581846" w:rsidP="00EB2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1.15*</w:t>
            </w:r>
          </w:p>
        </w:tc>
        <w:tc>
          <w:tcPr>
            <w:tcW w:w="908" w:type="dxa"/>
            <w:gridSpan w:val="2"/>
            <w:noWrap/>
            <w:vAlign w:val="center"/>
            <w:hideMark/>
          </w:tcPr>
          <w:p w:rsidR="00581846" w:rsidRDefault="00581846" w:rsidP="00EB2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1.12</w:t>
            </w:r>
          </w:p>
        </w:tc>
        <w:tc>
          <w:tcPr>
            <w:tcW w:w="912" w:type="dxa"/>
            <w:noWrap/>
            <w:vAlign w:val="center"/>
            <w:hideMark/>
          </w:tcPr>
          <w:p w:rsidR="00581846" w:rsidRDefault="00581846" w:rsidP="00EB2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1.18</w:t>
            </w:r>
          </w:p>
        </w:tc>
      </w:tr>
      <w:tr w:rsidR="00581846" w:rsidRPr="00E70C61" w:rsidTr="00EB2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noWrap/>
            <w:vAlign w:val="center"/>
          </w:tcPr>
          <w:p w:rsidR="00581846" w:rsidRPr="00DB1021" w:rsidRDefault="00581846" w:rsidP="00581846">
            <w:pPr>
              <w:rPr>
                <w:rFonts w:ascii="Georgia" w:hAnsi="Georgia" w:cs="Calibri"/>
                <w:b w:val="0"/>
                <w:bCs w:val="0"/>
                <w:color w:val="000000" w:themeColor="text1"/>
              </w:rPr>
            </w:pPr>
            <w:r w:rsidRPr="00DB1021">
              <w:rPr>
                <w:rFonts w:ascii="Georgia" w:hAnsi="Georgia" w:cs="Calibri"/>
                <w:b w:val="0"/>
                <w:bCs w:val="0"/>
                <w:color w:val="000000" w:themeColor="text1"/>
              </w:rPr>
              <w:t xml:space="preserve">Any </w:t>
            </w:r>
            <w:r>
              <w:rPr>
                <w:rFonts w:ascii="Georgia" w:hAnsi="Georgia" w:cs="Calibri"/>
                <w:b w:val="0"/>
                <w:bCs w:val="0"/>
                <w:color w:val="000000" w:themeColor="text1"/>
              </w:rPr>
              <w:t>I</w:t>
            </w:r>
            <w:r w:rsidRPr="00DB1021">
              <w:rPr>
                <w:rFonts w:ascii="Georgia" w:hAnsi="Georgia" w:cs="Calibri"/>
                <w:b w:val="0"/>
                <w:bCs w:val="0"/>
                <w:color w:val="000000" w:themeColor="text1"/>
              </w:rPr>
              <w:t>nfection</w:t>
            </w:r>
            <w:r>
              <w:rPr>
                <w:rFonts w:ascii="Georgia" w:hAnsi="Georgia" w:cs="Calibri"/>
                <w:b w:val="0"/>
                <w:bCs w:val="0"/>
                <w:color w:val="000000" w:themeColor="text1"/>
              </w:rPr>
              <w:t>, Except UTI</w:t>
            </w:r>
            <w:r w:rsidRPr="00DB1021">
              <w:rPr>
                <w:rFonts w:ascii="Georgia" w:hAnsi="Georgia" w:cs="Calibri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906" w:type="dxa"/>
            <w:noWrap/>
            <w:vAlign w:val="center"/>
          </w:tcPr>
          <w:p w:rsidR="00581846" w:rsidRDefault="00581846" w:rsidP="00EB2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0.99</w:t>
            </w:r>
          </w:p>
        </w:tc>
        <w:tc>
          <w:tcPr>
            <w:tcW w:w="907" w:type="dxa"/>
            <w:noWrap/>
            <w:vAlign w:val="center"/>
          </w:tcPr>
          <w:p w:rsidR="00581846" w:rsidRDefault="00581846" w:rsidP="00EB2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0.92</w:t>
            </w:r>
          </w:p>
        </w:tc>
        <w:tc>
          <w:tcPr>
            <w:tcW w:w="908" w:type="dxa"/>
            <w:noWrap/>
            <w:vAlign w:val="center"/>
          </w:tcPr>
          <w:p w:rsidR="00581846" w:rsidRDefault="00581846" w:rsidP="00EB2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1.06</w:t>
            </w:r>
          </w:p>
        </w:tc>
        <w:tc>
          <w:tcPr>
            <w:tcW w:w="908" w:type="dxa"/>
            <w:gridSpan w:val="3"/>
            <w:noWrap/>
            <w:vAlign w:val="center"/>
          </w:tcPr>
          <w:p w:rsidR="00581846" w:rsidRDefault="00581846" w:rsidP="00EB2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0.89</w:t>
            </w:r>
          </w:p>
        </w:tc>
        <w:tc>
          <w:tcPr>
            <w:tcW w:w="907" w:type="dxa"/>
            <w:noWrap/>
            <w:vAlign w:val="center"/>
          </w:tcPr>
          <w:p w:rsidR="00581846" w:rsidRDefault="00581846" w:rsidP="00EB2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0.79</w:t>
            </w:r>
          </w:p>
        </w:tc>
        <w:tc>
          <w:tcPr>
            <w:tcW w:w="908" w:type="dxa"/>
            <w:noWrap/>
            <w:vAlign w:val="center"/>
          </w:tcPr>
          <w:p w:rsidR="00581846" w:rsidRDefault="00581846" w:rsidP="00EB2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1.00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581846" w:rsidRDefault="00581846" w:rsidP="00EB2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0.98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581846" w:rsidRDefault="00581846" w:rsidP="00EB2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0.91</w:t>
            </w:r>
          </w:p>
        </w:tc>
        <w:tc>
          <w:tcPr>
            <w:tcW w:w="907" w:type="dxa"/>
            <w:noWrap/>
            <w:vAlign w:val="center"/>
          </w:tcPr>
          <w:p w:rsidR="00581846" w:rsidRDefault="00581846" w:rsidP="00EB2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1.06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581846" w:rsidRDefault="00581846" w:rsidP="00EB2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1.01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581846" w:rsidRDefault="00581846" w:rsidP="00EB2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0.92</w:t>
            </w:r>
          </w:p>
        </w:tc>
        <w:tc>
          <w:tcPr>
            <w:tcW w:w="912" w:type="dxa"/>
            <w:noWrap/>
            <w:vAlign w:val="center"/>
          </w:tcPr>
          <w:p w:rsidR="00581846" w:rsidRDefault="00581846" w:rsidP="00EB2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1.09</w:t>
            </w:r>
          </w:p>
        </w:tc>
      </w:tr>
    </w:tbl>
    <w:p w:rsidR="00EB25A5" w:rsidRPr="001937B8" w:rsidRDefault="00581846" w:rsidP="00EB25A5">
      <w:pPr>
        <w:spacing w:line="480" w:lineRule="auto"/>
        <w:rPr>
          <w:rFonts w:ascii="Georgia" w:hAnsi="Georgia"/>
          <w:color w:val="000000" w:themeColor="text1"/>
        </w:rPr>
      </w:pPr>
      <w:r w:rsidRPr="00E70C61">
        <w:rPr>
          <w:rFonts w:ascii="Georgia" w:hAnsi="Georgia" w:cstheme="minorHAnsi"/>
        </w:rPr>
        <w:t xml:space="preserve">Note: *Statistically significant at alpha = .05; </w:t>
      </w:r>
      <w:r>
        <w:rPr>
          <w:rFonts w:ascii="Georgia" w:hAnsi="Georgia" w:cstheme="minorHAnsi"/>
        </w:rPr>
        <w:t>**</w:t>
      </w:r>
      <w:r>
        <w:rPr>
          <w:rFonts w:ascii="Georgia" w:hAnsi="Georgia"/>
        </w:rPr>
        <w:t>Represents</w:t>
      </w:r>
      <w:r w:rsidRPr="00E70C61">
        <w:rPr>
          <w:rFonts w:ascii="Georgia" w:hAnsi="Georgia"/>
        </w:rPr>
        <w:t xml:space="preserve"> </w:t>
      </w:r>
      <w:r>
        <w:rPr>
          <w:rFonts w:ascii="Georgia" w:hAnsi="Georgia" w:cstheme="minorHAnsi"/>
        </w:rPr>
        <w:t xml:space="preserve">a </w:t>
      </w:r>
      <w:r w:rsidRPr="001937B8">
        <w:rPr>
          <w:rFonts w:ascii="Georgia" w:hAnsi="Georgia"/>
        </w:rPr>
        <w:t xml:space="preserve">10% random sample of </w:t>
      </w:r>
      <w:r>
        <w:rPr>
          <w:rFonts w:ascii="Georgia" w:hAnsi="Georgia"/>
        </w:rPr>
        <w:t xml:space="preserve">CMS-certified </w:t>
      </w:r>
      <w:r w:rsidRPr="001937B8">
        <w:rPr>
          <w:rFonts w:ascii="Georgia" w:hAnsi="Georgia"/>
        </w:rPr>
        <w:t>U.S. NHs</w:t>
      </w:r>
      <w:r>
        <w:rPr>
          <w:rFonts w:ascii="Georgia" w:hAnsi="Georgia"/>
        </w:rPr>
        <w:t>’</w:t>
      </w:r>
      <w:r w:rsidRPr="001937B8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quarterly and annual assessments, 2012 includes </w:t>
      </w:r>
      <w:r w:rsidRPr="00E70C61">
        <w:rPr>
          <w:rFonts w:ascii="Georgia" w:hAnsi="Georgia"/>
        </w:rPr>
        <w:t>April 1</w:t>
      </w:r>
      <w:r w:rsidRPr="00E70C61">
        <w:rPr>
          <w:rFonts w:ascii="Georgia" w:hAnsi="Georgia"/>
          <w:vertAlign w:val="superscript"/>
        </w:rPr>
        <w:t>st</w:t>
      </w:r>
      <w:r w:rsidRPr="00E70C61">
        <w:rPr>
          <w:rFonts w:ascii="Georgia" w:hAnsi="Georgia"/>
        </w:rPr>
        <w:t xml:space="preserve"> 2012</w:t>
      </w:r>
      <w:r>
        <w:rPr>
          <w:rFonts w:ascii="Georgia" w:hAnsi="Georgia"/>
        </w:rPr>
        <w:t>- December 31</w:t>
      </w:r>
      <w:r w:rsidRPr="00840021">
        <w:rPr>
          <w:rFonts w:ascii="Georgia" w:hAnsi="Georgia"/>
          <w:vertAlign w:val="superscript"/>
        </w:rPr>
        <w:t>st</w:t>
      </w:r>
      <w:r>
        <w:rPr>
          <w:rFonts w:ascii="Georgia" w:hAnsi="Georgia"/>
        </w:rPr>
        <w:t xml:space="preserve"> 2012 and 2016 includes January 1</w:t>
      </w:r>
      <w:r w:rsidRPr="00840021">
        <w:rPr>
          <w:rFonts w:ascii="Georgia" w:hAnsi="Georgia"/>
          <w:vertAlign w:val="superscript"/>
        </w:rPr>
        <w:t>st</w:t>
      </w:r>
      <w:r>
        <w:rPr>
          <w:rFonts w:ascii="Georgia" w:hAnsi="Georgia"/>
        </w:rPr>
        <w:t xml:space="preserve"> 2016 -</w:t>
      </w:r>
      <w:r w:rsidRPr="00E70C61">
        <w:rPr>
          <w:rFonts w:ascii="Georgia" w:hAnsi="Georgia"/>
        </w:rPr>
        <w:t>November 30</w:t>
      </w:r>
      <w:r w:rsidRPr="00E70C61">
        <w:rPr>
          <w:rFonts w:ascii="Georgia" w:hAnsi="Georgia"/>
          <w:vertAlign w:val="superscript"/>
        </w:rPr>
        <w:t>th</w:t>
      </w:r>
      <w:r w:rsidRPr="00E70C61">
        <w:rPr>
          <w:rFonts w:ascii="Georgia" w:hAnsi="Georgia"/>
        </w:rPr>
        <w:t xml:space="preserve"> 2016</w:t>
      </w:r>
      <w:r>
        <w:rPr>
          <w:rFonts w:ascii="Georgia" w:hAnsi="Georgia"/>
        </w:rPr>
        <w:t xml:space="preserve"> as per consistently defined variables and data availability</w:t>
      </w:r>
      <w:r w:rsidRPr="00E70C61">
        <w:rPr>
          <w:rFonts w:ascii="Georgia" w:hAnsi="Georgia"/>
        </w:rPr>
        <w:t>.</w:t>
      </w:r>
      <w:r>
        <w:rPr>
          <w:rFonts w:ascii="Georgia" w:hAnsi="Georgia"/>
        </w:rPr>
        <w:t xml:space="preserve"> </w:t>
      </w:r>
      <w:r w:rsidR="00EB25A5">
        <w:rPr>
          <w:rFonts w:ascii="Georgia" w:hAnsi="Georgia" w:cstheme="minorHAnsi"/>
        </w:rPr>
        <w:t>A</w:t>
      </w:r>
      <w:r w:rsidR="00EB25A5" w:rsidRPr="00E70C61">
        <w:rPr>
          <w:rFonts w:ascii="Georgia" w:hAnsi="Georgia" w:cstheme="minorHAnsi"/>
        </w:rPr>
        <w:t xml:space="preserve">OR, </w:t>
      </w:r>
      <w:r w:rsidR="00EB25A5">
        <w:rPr>
          <w:rFonts w:ascii="Georgia" w:hAnsi="Georgia" w:cstheme="minorHAnsi"/>
        </w:rPr>
        <w:t xml:space="preserve">Adjusted </w:t>
      </w:r>
      <w:r w:rsidR="00EB25A5" w:rsidRPr="00E70C61">
        <w:rPr>
          <w:rFonts w:ascii="Georgia" w:hAnsi="Georgia" w:cstheme="minorHAnsi"/>
        </w:rPr>
        <w:t xml:space="preserve">Odds Ratio; CI: Confidence Interval; “All” represents all quarterly and annual resident assessments; </w:t>
      </w:r>
      <w:r w:rsidR="00EB25A5" w:rsidRPr="002B662C">
        <w:rPr>
          <w:rFonts w:ascii="Georgia" w:hAnsi="Georgia" w:cstheme="minorHAnsi"/>
        </w:rPr>
        <w:t xml:space="preserve">ADRD, Alzheimer's Disease </w:t>
      </w:r>
      <w:r w:rsidR="00EB25A5">
        <w:rPr>
          <w:rFonts w:ascii="Georgia" w:hAnsi="Georgia" w:cstheme="minorHAnsi"/>
        </w:rPr>
        <w:t xml:space="preserve"> or </w:t>
      </w:r>
      <w:r w:rsidR="00EB25A5" w:rsidRPr="002B662C">
        <w:rPr>
          <w:rFonts w:ascii="Georgia" w:hAnsi="Georgia" w:cstheme="minorHAnsi"/>
        </w:rPr>
        <w:t>Related Dementia</w:t>
      </w:r>
      <w:r w:rsidR="00EB25A5" w:rsidRPr="00E70C61">
        <w:rPr>
          <w:rFonts w:ascii="Georgia" w:hAnsi="Georgia" w:cstheme="minorHAnsi"/>
        </w:rPr>
        <w:t xml:space="preserve">; </w:t>
      </w:r>
      <w:r w:rsidR="00EB25A5" w:rsidRPr="00E70C61">
        <w:rPr>
          <w:rFonts w:ascii="Georgia" w:hAnsi="Georgia"/>
        </w:rPr>
        <w:t>ACI, advanced cognitive i</w:t>
      </w:r>
      <w:r w:rsidR="00EB25A5">
        <w:rPr>
          <w:rFonts w:ascii="Georgia" w:hAnsi="Georgia"/>
        </w:rPr>
        <w:t>mpairment</w:t>
      </w:r>
      <w:r w:rsidR="00EB25A5" w:rsidRPr="00E70C61">
        <w:rPr>
          <w:rFonts w:ascii="Georgia" w:hAnsi="Georgia"/>
        </w:rPr>
        <w:t xml:space="preserve">; </w:t>
      </w:r>
      <w:r w:rsidR="00EB25A5" w:rsidRPr="00E70C61">
        <w:rPr>
          <w:rFonts w:ascii="Georgia" w:hAnsi="Georgia" w:cstheme="minorHAnsi"/>
        </w:rPr>
        <w:t>UTI, urinary tract infection.</w:t>
      </w:r>
      <w:r w:rsidR="00EB25A5" w:rsidRPr="001937B8" w:rsidDel="00E70C61">
        <w:rPr>
          <w:rFonts w:ascii="Georgia" w:hAnsi="Georgia"/>
          <w:b/>
        </w:rPr>
        <w:t xml:space="preserve"> </w:t>
      </w:r>
    </w:p>
    <w:p w:rsidR="00581846" w:rsidRDefault="00581846" w:rsidP="00581846">
      <w:pPr>
        <w:spacing w:line="480" w:lineRule="auto"/>
        <w:rPr>
          <w:rFonts w:ascii="Georgia" w:hAnsi="Georgia"/>
        </w:rPr>
      </w:pPr>
    </w:p>
    <w:p w:rsidR="00EB25A5" w:rsidRDefault="00EB25A5">
      <w:pPr>
        <w:rPr>
          <w:rFonts w:ascii="Georgia" w:hAnsi="Georgia" w:cstheme="minorHAnsi"/>
        </w:rPr>
      </w:pPr>
      <w:r>
        <w:rPr>
          <w:rFonts w:ascii="Georgia" w:hAnsi="Georgia" w:cstheme="minorHAnsi"/>
        </w:rPr>
        <w:br w:type="page"/>
      </w:r>
    </w:p>
    <w:p w:rsidR="00581846" w:rsidRDefault="00581846" w:rsidP="00581846">
      <w:pPr>
        <w:rPr>
          <w:rFonts w:ascii="Georgia" w:hAnsi="Georgia" w:cstheme="minorHAnsi"/>
        </w:rPr>
      </w:pPr>
      <w:r w:rsidRPr="00EB25A5">
        <w:rPr>
          <w:rFonts w:ascii="Georgia" w:hAnsi="Georgia" w:cstheme="minorHAnsi"/>
          <w:b/>
          <w:bCs/>
        </w:rPr>
        <w:lastRenderedPageBreak/>
        <w:t>Appendix B.</w:t>
      </w:r>
      <w:r w:rsidRPr="00581846">
        <w:rPr>
          <w:rFonts w:ascii="Georgia" w:hAnsi="Georgia" w:cstheme="minorHAnsi"/>
        </w:rPr>
        <w:t xml:space="preserve"> </w:t>
      </w:r>
      <w:r>
        <w:rPr>
          <w:rFonts w:ascii="Georgia" w:hAnsi="Georgia" w:cstheme="minorHAnsi"/>
        </w:rPr>
        <w:t xml:space="preserve">Proportion of </w:t>
      </w:r>
      <w:r w:rsidRPr="006837CE">
        <w:rPr>
          <w:rFonts w:ascii="Georgia" w:hAnsi="Georgia" w:cstheme="minorHAnsi"/>
        </w:rPr>
        <w:t xml:space="preserve">Minimum Data Set </w:t>
      </w:r>
      <w:r w:rsidRPr="001937B8">
        <w:rPr>
          <w:rFonts w:ascii="Georgia" w:hAnsi="Georgia"/>
        </w:rPr>
        <w:t xml:space="preserve">3.0 </w:t>
      </w:r>
      <w:r>
        <w:rPr>
          <w:rFonts w:ascii="Georgia" w:hAnsi="Georgia" w:cstheme="minorHAnsi"/>
        </w:rPr>
        <w:t>assessments recording</w:t>
      </w:r>
      <w:r w:rsidRPr="001937B8">
        <w:rPr>
          <w:rFonts w:ascii="Georgia" w:hAnsi="Georgia" w:cstheme="minorHAnsi"/>
        </w:rPr>
        <w:t xml:space="preserve"> </w:t>
      </w:r>
      <w:r w:rsidRPr="006837CE">
        <w:rPr>
          <w:rFonts w:ascii="Georgia" w:hAnsi="Georgia" w:cstheme="minorHAnsi"/>
        </w:rPr>
        <w:t>condition</w:t>
      </w:r>
      <w:r>
        <w:rPr>
          <w:rFonts w:ascii="Georgia" w:hAnsi="Georgia" w:cstheme="minorHAnsi"/>
        </w:rPr>
        <w:t>s</w:t>
      </w:r>
      <w:r w:rsidRPr="006837CE">
        <w:rPr>
          <w:rFonts w:ascii="Georgia" w:hAnsi="Georgia" w:cstheme="minorHAnsi"/>
        </w:rPr>
        <w:t xml:space="preserve"> of interest </w:t>
      </w:r>
      <w:r>
        <w:rPr>
          <w:rFonts w:ascii="Georgia" w:hAnsi="Georgia" w:cstheme="minorHAnsi"/>
        </w:rPr>
        <w:t xml:space="preserve">among </w:t>
      </w:r>
      <w:r>
        <w:rPr>
          <w:rFonts w:ascii="Georgia" w:hAnsi="Georgia"/>
        </w:rPr>
        <w:t xml:space="preserve">those with </w:t>
      </w:r>
      <w:r w:rsidRPr="001937B8">
        <w:rPr>
          <w:rFonts w:ascii="Georgia" w:hAnsi="Georgia" w:cstheme="minorHAnsi"/>
        </w:rPr>
        <w:t xml:space="preserve">1-day </w:t>
      </w:r>
      <w:r w:rsidRPr="006837CE">
        <w:rPr>
          <w:rFonts w:ascii="Georgia" w:hAnsi="Georgia" w:cstheme="minorHAnsi"/>
        </w:rPr>
        <w:t>antibiotic use</w:t>
      </w:r>
      <w:r>
        <w:rPr>
          <w:rFonts w:ascii="Georgia" w:hAnsi="Georgia" w:cstheme="minorHAnsi"/>
        </w:rPr>
        <w:t>,</w:t>
      </w:r>
      <w:r w:rsidRPr="006837CE">
        <w:rPr>
          <w:rFonts w:ascii="Georgia" w:hAnsi="Georgia" w:cstheme="minorHAnsi"/>
        </w:rPr>
        <w:t xml:space="preserve"> </w:t>
      </w:r>
      <w:r>
        <w:rPr>
          <w:rFonts w:ascii="Georgia" w:hAnsi="Georgia"/>
        </w:rPr>
        <w:t>comparing</w:t>
      </w:r>
      <w:r w:rsidRPr="001937B8">
        <w:rPr>
          <w:rFonts w:ascii="Georgia" w:hAnsi="Georgia"/>
        </w:rPr>
        <w:t xml:space="preserve"> 2012</w:t>
      </w:r>
      <w:r>
        <w:rPr>
          <w:rFonts w:ascii="Georgia" w:hAnsi="Georgia"/>
        </w:rPr>
        <w:t xml:space="preserve"> vs. </w:t>
      </w:r>
      <w:r w:rsidRPr="001937B8">
        <w:rPr>
          <w:rFonts w:ascii="Georgia" w:hAnsi="Georgia"/>
        </w:rPr>
        <w:t>2016</w:t>
      </w:r>
      <w:r w:rsidRPr="006837CE">
        <w:rPr>
          <w:rFonts w:ascii="Georgia" w:hAnsi="Georgia" w:cstheme="minorHAnsi"/>
        </w:rPr>
        <w:t>,</w:t>
      </w:r>
      <w:r>
        <w:rPr>
          <w:rFonts w:ascii="Georgia" w:hAnsi="Georgia" w:cstheme="minorHAnsi"/>
        </w:rPr>
        <w:t>*</w:t>
      </w:r>
      <w:r w:rsidRPr="006837CE">
        <w:rPr>
          <w:rFonts w:ascii="Georgia" w:hAnsi="Georgia" w:cstheme="minorHAnsi"/>
        </w:rPr>
        <w:t xml:space="preserve"> adjusted for seasonality (calendar month)</w:t>
      </w:r>
      <w:r>
        <w:rPr>
          <w:rFonts w:ascii="Georgia" w:hAnsi="Georgia" w:cstheme="minorHAnsi"/>
        </w:rPr>
        <w:t xml:space="preserve"> and NH cluster standard errors</w:t>
      </w:r>
      <w:r w:rsidRPr="006837CE">
        <w:rPr>
          <w:rFonts w:ascii="Georgia" w:hAnsi="Georgia" w:cstheme="minorHAnsi"/>
        </w:rPr>
        <w:t>.</w:t>
      </w:r>
    </w:p>
    <w:p w:rsidR="00581846" w:rsidRPr="00E70C61" w:rsidRDefault="00581846" w:rsidP="00581846">
      <w:pPr>
        <w:spacing w:line="480" w:lineRule="auto"/>
        <w:rPr>
          <w:rFonts w:ascii="Georgia" w:hAnsi="Georgia" w:cstheme="minorHAnsi"/>
        </w:rPr>
      </w:pPr>
    </w:p>
    <w:p w:rsidR="00581846" w:rsidRPr="00E70C61" w:rsidRDefault="00581846" w:rsidP="00581846">
      <w:pPr>
        <w:spacing w:line="480" w:lineRule="auto"/>
        <w:jc w:val="center"/>
        <w:rPr>
          <w:rFonts w:ascii="Georgia" w:hAnsi="Georgia" w:cstheme="minorHAnsi"/>
        </w:rPr>
      </w:pPr>
      <w:r w:rsidRPr="00581846">
        <w:rPr>
          <w:rFonts w:ascii="Georgia" w:hAnsi="Georgia" w:cstheme="minorHAnsi"/>
          <w:noProof/>
        </w:rPr>
        <w:drawing>
          <wp:inline distT="0" distB="0" distL="0" distR="0" wp14:anchorId="05E898D9" wp14:editId="7C52662C">
            <wp:extent cx="6715208" cy="3747770"/>
            <wp:effectExtent l="0" t="0" r="3175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0872" cy="378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5A5" w:rsidRPr="001937B8" w:rsidRDefault="00EB25A5" w:rsidP="00EB25A5">
      <w:pPr>
        <w:spacing w:line="480" w:lineRule="auto"/>
        <w:rPr>
          <w:rFonts w:ascii="Georgia" w:hAnsi="Georgia"/>
          <w:color w:val="000000" w:themeColor="text1"/>
        </w:rPr>
      </w:pPr>
      <w:r>
        <w:t xml:space="preserve">Note: </w:t>
      </w:r>
      <w:r>
        <w:rPr>
          <w:rFonts w:ascii="Georgia" w:hAnsi="Georgia" w:cstheme="minorHAnsi"/>
        </w:rPr>
        <w:t>*</w:t>
      </w:r>
      <w:r>
        <w:rPr>
          <w:rFonts w:ascii="Georgia" w:hAnsi="Georgia"/>
        </w:rPr>
        <w:t>Represents</w:t>
      </w:r>
      <w:r w:rsidRPr="00E70C61">
        <w:rPr>
          <w:rFonts w:ascii="Georgia" w:hAnsi="Georgia"/>
        </w:rPr>
        <w:t xml:space="preserve"> </w:t>
      </w:r>
      <w:r>
        <w:rPr>
          <w:rFonts w:ascii="Georgia" w:hAnsi="Georgia" w:cstheme="minorHAnsi"/>
        </w:rPr>
        <w:t xml:space="preserve">a </w:t>
      </w:r>
      <w:r w:rsidRPr="001937B8">
        <w:rPr>
          <w:rFonts w:ascii="Georgia" w:hAnsi="Georgia"/>
        </w:rPr>
        <w:t xml:space="preserve">10% random sample of </w:t>
      </w:r>
      <w:r>
        <w:rPr>
          <w:rFonts w:ascii="Georgia" w:hAnsi="Georgia"/>
        </w:rPr>
        <w:t xml:space="preserve">CMS-certified </w:t>
      </w:r>
      <w:r w:rsidRPr="001937B8">
        <w:rPr>
          <w:rFonts w:ascii="Georgia" w:hAnsi="Georgia"/>
        </w:rPr>
        <w:t>U.S. NHs</w:t>
      </w:r>
      <w:r>
        <w:rPr>
          <w:rFonts w:ascii="Georgia" w:hAnsi="Georgia"/>
        </w:rPr>
        <w:t>’</w:t>
      </w:r>
      <w:r w:rsidRPr="001937B8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quarterly and annual assessments, 2012 includes </w:t>
      </w:r>
      <w:r w:rsidRPr="00E70C61">
        <w:rPr>
          <w:rFonts w:ascii="Georgia" w:hAnsi="Georgia"/>
        </w:rPr>
        <w:t>April 1</w:t>
      </w:r>
      <w:r w:rsidRPr="00E70C61">
        <w:rPr>
          <w:rFonts w:ascii="Georgia" w:hAnsi="Georgia"/>
          <w:vertAlign w:val="superscript"/>
        </w:rPr>
        <w:t>st</w:t>
      </w:r>
      <w:r w:rsidRPr="00E70C61">
        <w:rPr>
          <w:rFonts w:ascii="Georgia" w:hAnsi="Georgia"/>
        </w:rPr>
        <w:t xml:space="preserve"> 2012</w:t>
      </w:r>
      <w:r>
        <w:rPr>
          <w:rFonts w:ascii="Georgia" w:hAnsi="Georgia"/>
        </w:rPr>
        <w:t>- December 31</w:t>
      </w:r>
      <w:r w:rsidRPr="00840021">
        <w:rPr>
          <w:rFonts w:ascii="Georgia" w:hAnsi="Georgia"/>
          <w:vertAlign w:val="superscript"/>
        </w:rPr>
        <w:t>st</w:t>
      </w:r>
      <w:r>
        <w:rPr>
          <w:rFonts w:ascii="Georgia" w:hAnsi="Georgia"/>
        </w:rPr>
        <w:t xml:space="preserve"> 2012 and 2016 includes January 1</w:t>
      </w:r>
      <w:r w:rsidRPr="00840021">
        <w:rPr>
          <w:rFonts w:ascii="Georgia" w:hAnsi="Georgia"/>
          <w:vertAlign w:val="superscript"/>
        </w:rPr>
        <w:t>st</w:t>
      </w:r>
      <w:r>
        <w:rPr>
          <w:rFonts w:ascii="Georgia" w:hAnsi="Georgia"/>
        </w:rPr>
        <w:t xml:space="preserve"> 2016 -</w:t>
      </w:r>
      <w:r w:rsidRPr="00E70C61">
        <w:rPr>
          <w:rFonts w:ascii="Georgia" w:hAnsi="Georgia"/>
        </w:rPr>
        <w:t>November 30</w:t>
      </w:r>
      <w:r w:rsidRPr="00E70C61">
        <w:rPr>
          <w:rFonts w:ascii="Georgia" w:hAnsi="Georgia"/>
          <w:vertAlign w:val="superscript"/>
        </w:rPr>
        <w:t>th</w:t>
      </w:r>
      <w:r w:rsidRPr="00E70C61">
        <w:rPr>
          <w:rFonts w:ascii="Georgia" w:hAnsi="Georgia"/>
        </w:rPr>
        <w:t xml:space="preserve"> 2016</w:t>
      </w:r>
      <w:r>
        <w:rPr>
          <w:rFonts w:ascii="Georgia" w:hAnsi="Georgia"/>
        </w:rPr>
        <w:t xml:space="preserve"> as per consistently defined variables and data availability</w:t>
      </w:r>
      <w:r w:rsidRPr="00E70C61">
        <w:rPr>
          <w:rFonts w:ascii="Georgia" w:hAnsi="Georgia"/>
        </w:rPr>
        <w:t>.</w:t>
      </w:r>
      <w:r>
        <w:rPr>
          <w:rFonts w:ascii="Georgia" w:hAnsi="Georgia"/>
        </w:rPr>
        <w:t xml:space="preserve"> </w:t>
      </w:r>
      <w:r w:rsidRPr="00E70C61">
        <w:rPr>
          <w:rFonts w:ascii="Georgia" w:hAnsi="Georgia" w:cstheme="minorHAnsi"/>
        </w:rPr>
        <w:t>UTI, urinary tract infection.</w:t>
      </w:r>
      <w:r w:rsidRPr="001937B8" w:rsidDel="00E70C61">
        <w:rPr>
          <w:rFonts w:ascii="Georgia" w:hAnsi="Georgia"/>
          <w:b/>
        </w:rPr>
        <w:t xml:space="preserve"> </w:t>
      </w:r>
    </w:p>
    <w:p w:rsidR="00EB25A5" w:rsidRDefault="00EB25A5" w:rsidP="00EB25A5">
      <w:pPr>
        <w:spacing w:line="480" w:lineRule="auto"/>
        <w:rPr>
          <w:rFonts w:ascii="Georgia" w:hAnsi="Georgia"/>
        </w:rPr>
      </w:pPr>
    </w:p>
    <w:p w:rsidR="00581846" w:rsidRDefault="00581846" w:rsidP="00581846"/>
    <w:sectPr w:rsidR="00581846" w:rsidSect="005818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A335E"/>
    <w:multiLevelType w:val="hybridMultilevel"/>
    <w:tmpl w:val="0EFA08E8"/>
    <w:lvl w:ilvl="0" w:tplc="3850AD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46"/>
    <w:rsid w:val="00003B8F"/>
    <w:rsid w:val="00004F16"/>
    <w:rsid w:val="00012194"/>
    <w:rsid w:val="00016023"/>
    <w:rsid w:val="00017950"/>
    <w:rsid w:val="0002048F"/>
    <w:rsid w:val="000259DC"/>
    <w:rsid w:val="00032EEF"/>
    <w:rsid w:val="000400A3"/>
    <w:rsid w:val="00042CE1"/>
    <w:rsid w:val="00053FFA"/>
    <w:rsid w:val="00056B8C"/>
    <w:rsid w:val="00071E19"/>
    <w:rsid w:val="00086E8A"/>
    <w:rsid w:val="00093042"/>
    <w:rsid w:val="00095CA3"/>
    <w:rsid w:val="00095E7B"/>
    <w:rsid w:val="00096F10"/>
    <w:rsid w:val="00097BB3"/>
    <w:rsid w:val="000A0D12"/>
    <w:rsid w:val="000A1EDB"/>
    <w:rsid w:val="000A6342"/>
    <w:rsid w:val="000D12F3"/>
    <w:rsid w:val="000D5453"/>
    <w:rsid w:val="000E1F23"/>
    <w:rsid w:val="000E3FBE"/>
    <w:rsid w:val="000E5D48"/>
    <w:rsid w:val="00102096"/>
    <w:rsid w:val="00107FCD"/>
    <w:rsid w:val="00111F2D"/>
    <w:rsid w:val="00112364"/>
    <w:rsid w:val="00114FB0"/>
    <w:rsid w:val="001268CB"/>
    <w:rsid w:val="001317C9"/>
    <w:rsid w:val="00133BAA"/>
    <w:rsid w:val="001416FE"/>
    <w:rsid w:val="00147EA2"/>
    <w:rsid w:val="001519D9"/>
    <w:rsid w:val="00154586"/>
    <w:rsid w:val="00171407"/>
    <w:rsid w:val="00174938"/>
    <w:rsid w:val="00182235"/>
    <w:rsid w:val="00186845"/>
    <w:rsid w:val="00191DB8"/>
    <w:rsid w:val="001A7075"/>
    <w:rsid w:val="001B0CD8"/>
    <w:rsid w:val="001B1922"/>
    <w:rsid w:val="001C493A"/>
    <w:rsid w:val="001D37F2"/>
    <w:rsid w:val="001D44B7"/>
    <w:rsid w:val="001D5883"/>
    <w:rsid w:val="001D7A15"/>
    <w:rsid w:val="001E2786"/>
    <w:rsid w:val="001E2A50"/>
    <w:rsid w:val="001E6523"/>
    <w:rsid w:val="00275D9B"/>
    <w:rsid w:val="00282FE9"/>
    <w:rsid w:val="00284AB5"/>
    <w:rsid w:val="00293919"/>
    <w:rsid w:val="002A03DB"/>
    <w:rsid w:val="002B26ED"/>
    <w:rsid w:val="002C1D3E"/>
    <w:rsid w:val="002C433A"/>
    <w:rsid w:val="002D305F"/>
    <w:rsid w:val="002D32CB"/>
    <w:rsid w:val="002D3D19"/>
    <w:rsid w:val="002E208B"/>
    <w:rsid w:val="002E4ED8"/>
    <w:rsid w:val="002E79BA"/>
    <w:rsid w:val="002F3D3C"/>
    <w:rsid w:val="00310FBA"/>
    <w:rsid w:val="0031480B"/>
    <w:rsid w:val="003157B4"/>
    <w:rsid w:val="00322076"/>
    <w:rsid w:val="003247D5"/>
    <w:rsid w:val="00333B27"/>
    <w:rsid w:val="00334A25"/>
    <w:rsid w:val="003405BD"/>
    <w:rsid w:val="00351234"/>
    <w:rsid w:val="003564AC"/>
    <w:rsid w:val="0037668A"/>
    <w:rsid w:val="003773E4"/>
    <w:rsid w:val="00387836"/>
    <w:rsid w:val="003A5092"/>
    <w:rsid w:val="003B3ECA"/>
    <w:rsid w:val="003C4668"/>
    <w:rsid w:val="003D01BE"/>
    <w:rsid w:val="003D0962"/>
    <w:rsid w:val="003D7E5E"/>
    <w:rsid w:val="003F7C2F"/>
    <w:rsid w:val="004060DE"/>
    <w:rsid w:val="00407F55"/>
    <w:rsid w:val="0041281A"/>
    <w:rsid w:val="00423C4F"/>
    <w:rsid w:val="004416B8"/>
    <w:rsid w:val="00445D43"/>
    <w:rsid w:val="00452555"/>
    <w:rsid w:val="00455246"/>
    <w:rsid w:val="004647C2"/>
    <w:rsid w:val="00464998"/>
    <w:rsid w:val="0048024E"/>
    <w:rsid w:val="004867A6"/>
    <w:rsid w:val="00487073"/>
    <w:rsid w:val="004978C5"/>
    <w:rsid w:val="004A428F"/>
    <w:rsid w:val="004A4C15"/>
    <w:rsid w:val="004E27EF"/>
    <w:rsid w:val="004F1F88"/>
    <w:rsid w:val="004F268D"/>
    <w:rsid w:val="004F2907"/>
    <w:rsid w:val="004F2A8B"/>
    <w:rsid w:val="0050623F"/>
    <w:rsid w:val="00507494"/>
    <w:rsid w:val="00514DA9"/>
    <w:rsid w:val="00526D1E"/>
    <w:rsid w:val="005327F9"/>
    <w:rsid w:val="005416A2"/>
    <w:rsid w:val="005568D9"/>
    <w:rsid w:val="00561749"/>
    <w:rsid w:val="005775A7"/>
    <w:rsid w:val="00581846"/>
    <w:rsid w:val="005847B1"/>
    <w:rsid w:val="005A2C34"/>
    <w:rsid w:val="005A5B79"/>
    <w:rsid w:val="005B17D8"/>
    <w:rsid w:val="005C2A65"/>
    <w:rsid w:val="005D0CEF"/>
    <w:rsid w:val="005E0209"/>
    <w:rsid w:val="005E42CE"/>
    <w:rsid w:val="005E4818"/>
    <w:rsid w:val="005F2020"/>
    <w:rsid w:val="00606507"/>
    <w:rsid w:val="00607DC0"/>
    <w:rsid w:val="0061443C"/>
    <w:rsid w:val="00617B04"/>
    <w:rsid w:val="00623CB0"/>
    <w:rsid w:val="00627238"/>
    <w:rsid w:val="006305AC"/>
    <w:rsid w:val="00637676"/>
    <w:rsid w:val="00637C48"/>
    <w:rsid w:val="0067723F"/>
    <w:rsid w:val="00681BC3"/>
    <w:rsid w:val="006902BB"/>
    <w:rsid w:val="006A549E"/>
    <w:rsid w:val="006B2F8D"/>
    <w:rsid w:val="006B5646"/>
    <w:rsid w:val="006B5CFF"/>
    <w:rsid w:val="006B6250"/>
    <w:rsid w:val="006C0F2B"/>
    <w:rsid w:val="006D0E53"/>
    <w:rsid w:val="006D7686"/>
    <w:rsid w:val="006F7C59"/>
    <w:rsid w:val="007133DC"/>
    <w:rsid w:val="00716257"/>
    <w:rsid w:val="007168E0"/>
    <w:rsid w:val="00716AAC"/>
    <w:rsid w:val="00720F85"/>
    <w:rsid w:val="00735BD6"/>
    <w:rsid w:val="00740D64"/>
    <w:rsid w:val="00761669"/>
    <w:rsid w:val="007640E1"/>
    <w:rsid w:val="00764B5C"/>
    <w:rsid w:val="007658F4"/>
    <w:rsid w:val="00774E60"/>
    <w:rsid w:val="00776B9A"/>
    <w:rsid w:val="00786A16"/>
    <w:rsid w:val="00787A8B"/>
    <w:rsid w:val="00790BF4"/>
    <w:rsid w:val="00792FD3"/>
    <w:rsid w:val="007A679D"/>
    <w:rsid w:val="007B7BC6"/>
    <w:rsid w:val="007C3872"/>
    <w:rsid w:val="007C5394"/>
    <w:rsid w:val="007E3EB7"/>
    <w:rsid w:val="008002A9"/>
    <w:rsid w:val="00832F38"/>
    <w:rsid w:val="00833C07"/>
    <w:rsid w:val="00847098"/>
    <w:rsid w:val="00855DCF"/>
    <w:rsid w:val="008A2F1B"/>
    <w:rsid w:val="008B4052"/>
    <w:rsid w:val="008B61DF"/>
    <w:rsid w:val="008C1A19"/>
    <w:rsid w:val="008E1048"/>
    <w:rsid w:val="008E66D8"/>
    <w:rsid w:val="009075C4"/>
    <w:rsid w:val="00917C0D"/>
    <w:rsid w:val="00930BBB"/>
    <w:rsid w:val="00931202"/>
    <w:rsid w:val="009335AA"/>
    <w:rsid w:val="009414DC"/>
    <w:rsid w:val="00956FB8"/>
    <w:rsid w:val="0095701C"/>
    <w:rsid w:val="0096458E"/>
    <w:rsid w:val="00973CD8"/>
    <w:rsid w:val="00975D47"/>
    <w:rsid w:val="009963C7"/>
    <w:rsid w:val="009A437F"/>
    <w:rsid w:val="009C25EB"/>
    <w:rsid w:val="009C4E03"/>
    <w:rsid w:val="009E1003"/>
    <w:rsid w:val="009E4FFA"/>
    <w:rsid w:val="009F7227"/>
    <w:rsid w:val="00A036AF"/>
    <w:rsid w:val="00A14FED"/>
    <w:rsid w:val="00A27701"/>
    <w:rsid w:val="00A3134C"/>
    <w:rsid w:val="00A34FA0"/>
    <w:rsid w:val="00A3622D"/>
    <w:rsid w:val="00A372C7"/>
    <w:rsid w:val="00A43927"/>
    <w:rsid w:val="00A52AB9"/>
    <w:rsid w:val="00A57CDB"/>
    <w:rsid w:val="00A67669"/>
    <w:rsid w:val="00A713DB"/>
    <w:rsid w:val="00A7288B"/>
    <w:rsid w:val="00A8379C"/>
    <w:rsid w:val="00A8637D"/>
    <w:rsid w:val="00A902D4"/>
    <w:rsid w:val="00AA3A63"/>
    <w:rsid w:val="00AA6806"/>
    <w:rsid w:val="00AB03AF"/>
    <w:rsid w:val="00AB2C1D"/>
    <w:rsid w:val="00AC750C"/>
    <w:rsid w:val="00AE5BB7"/>
    <w:rsid w:val="00AE78F3"/>
    <w:rsid w:val="00B00B91"/>
    <w:rsid w:val="00B02D92"/>
    <w:rsid w:val="00B12626"/>
    <w:rsid w:val="00B14967"/>
    <w:rsid w:val="00B170C3"/>
    <w:rsid w:val="00B20978"/>
    <w:rsid w:val="00B25049"/>
    <w:rsid w:val="00B60117"/>
    <w:rsid w:val="00B7588C"/>
    <w:rsid w:val="00B82EB4"/>
    <w:rsid w:val="00B90FD6"/>
    <w:rsid w:val="00B962D7"/>
    <w:rsid w:val="00BA6CE0"/>
    <w:rsid w:val="00BC3C38"/>
    <w:rsid w:val="00BC52C6"/>
    <w:rsid w:val="00BC7891"/>
    <w:rsid w:val="00BE223C"/>
    <w:rsid w:val="00BE2F9C"/>
    <w:rsid w:val="00BF6BDD"/>
    <w:rsid w:val="00C01F11"/>
    <w:rsid w:val="00C02693"/>
    <w:rsid w:val="00C054C9"/>
    <w:rsid w:val="00C11F3C"/>
    <w:rsid w:val="00C3258A"/>
    <w:rsid w:val="00C46317"/>
    <w:rsid w:val="00C46441"/>
    <w:rsid w:val="00C55C9E"/>
    <w:rsid w:val="00C65D31"/>
    <w:rsid w:val="00C85D74"/>
    <w:rsid w:val="00C87C0F"/>
    <w:rsid w:val="00C93607"/>
    <w:rsid w:val="00CA38AA"/>
    <w:rsid w:val="00CA55CB"/>
    <w:rsid w:val="00CB23DF"/>
    <w:rsid w:val="00CD1187"/>
    <w:rsid w:val="00CD35EC"/>
    <w:rsid w:val="00CF7C0B"/>
    <w:rsid w:val="00D154D5"/>
    <w:rsid w:val="00D166BC"/>
    <w:rsid w:val="00D16C8F"/>
    <w:rsid w:val="00D262C9"/>
    <w:rsid w:val="00D53568"/>
    <w:rsid w:val="00D6091B"/>
    <w:rsid w:val="00D62BD9"/>
    <w:rsid w:val="00D64662"/>
    <w:rsid w:val="00D70C5F"/>
    <w:rsid w:val="00D91EAB"/>
    <w:rsid w:val="00D91FA6"/>
    <w:rsid w:val="00DA1D27"/>
    <w:rsid w:val="00DA5BF7"/>
    <w:rsid w:val="00DB2BD7"/>
    <w:rsid w:val="00DC4994"/>
    <w:rsid w:val="00DD3E6E"/>
    <w:rsid w:val="00DE614C"/>
    <w:rsid w:val="00E075B0"/>
    <w:rsid w:val="00E4534D"/>
    <w:rsid w:val="00E511B4"/>
    <w:rsid w:val="00E6203D"/>
    <w:rsid w:val="00E648A6"/>
    <w:rsid w:val="00E728CE"/>
    <w:rsid w:val="00E92297"/>
    <w:rsid w:val="00EA2A23"/>
    <w:rsid w:val="00EA58B4"/>
    <w:rsid w:val="00EB1777"/>
    <w:rsid w:val="00EB25A5"/>
    <w:rsid w:val="00EB374B"/>
    <w:rsid w:val="00EC187A"/>
    <w:rsid w:val="00EC344F"/>
    <w:rsid w:val="00ED29EC"/>
    <w:rsid w:val="00EE074A"/>
    <w:rsid w:val="00EE224C"/>
    <w:rsid w:val="00EF4881"/>
    <w:rsid w:val="00EF6098"/>
    <w:rsid w:val="00F00D17"/>
    <w:rsid w:val="00F01BE5"/>
    <w:rsid w:val="00F031AF"/>
    <w:rsid w:val="00F03409"/>
    <w:rsid w:val="00F131FC"/>
    <w:rsid w:val="00F16CFF"/>
    <w:rsid w:val="00F33C41"/>
    <w:rsid w:val="00F539D6"/>
    <w:rsid w:val="00F55335"/>
    <w:rsid w:val="00F653D5"/>
    <w:rsid w:val="00F6592A"/>
    <w:rsid w:val="00F67501"/>
    <w:rsid w:val="00F6763E"/>
    <w:rsid w:val="00F75595"/>
    <w:rsid w:val="00F76765"/>
    <w:rsid w:val="00F8771A"/>
    <w:rsid w:val="00F96F81"/>
    <w:rsid w:val="00FA79B6"/>
    <w:rsid w:val="00FB0306"/>
    <w:rsid w:val="00FD5A1D"/>
    <w:rsid w:val="00FD5E2C"/>
    <w:rsid w:val="00FE3296"/>
    <w:rsid w:val="00FE3BF7"/>
    <w:rsid w:val="00FE4C05"/>
    <w:rsid w:val="00FF0B0D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CD6DAA"/>
  <w15:chartTrackingRefBased/>
  <w15:docId w15:val="{419882BA-E756-8D4E-8770-9F15FD51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58184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8184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846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581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Catherine</dc:creator>
  <cp:keywords/>
  <dc:description/>
  <cp:lastModifiedBy>Cohen, Catherine</cp:lastModifiedBy>
  <cp:revision>2</cp:revision>
  <dcterms:created xsi:type="dcterms:W3CDTF">2020-07-09T17:03:00Z</dcterms:created>
  <dcterms:modified xsi:type="dcterms:W3CDTF">2020-07-15T20:25:00Z</dcterms:modified>
</cp:coreProperties>
</file>