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A089B" w14:textId="58476A0F" w:rsidR="001B38D9" w:rsidRPr="00105466" w:rsidRDefault="001B38D9" w:rsidP="001B3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466">
        <w:rPr>
          <w:rFonts w:ascii="Times New Roman" w:hAnsi="Times New Roman" w:cs="Times New Roman"/>
          <w:sz w:val="24"/>
          <w:szCs w:val="24"/>
        </w:rPr>
        <w:t xml:space="preserve">Supplemental Table 1.  </w:t>
      </w:r>
      <w:r w:rsidR="000E3716" w:rsidRPr="00105466">
        <w:rPr>
          <w:rFonts w:ascii="Times New Roman" w:hAnsi="Times New Roman" w:cs="Times New Roman"/>
          <w:sz w:val="24"/>
          <w:szCs w:val="24"/>
        </w:rPr>
        <w:t>Results from multivariable logistic regression models for each indicated outcome. Odds ratios and log transformed fold-difference comparing patients with beta-lactam allergy vs. those without are shown, after adjustment for patient age, sex, race, public insurance, hospital location, primary diagnosis (as defined by service line), and presence of any comorbidities.</w:t>
      </w:r>
    </w:p>
    <w:p w14:paraId="326130FA" w14:textId="55A0A9CE" w:rsidR="000E3716" w:rsidRPr="00105466" w:rsidRDefault="000E3716" w:rsidP="001B38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2D90C1" w14:textId="21A94CE6" w:rsidR="000E3716" w:rsidRDefault="000E37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2226"/>
        <w:gridCol w:w="2035"/>
        <w:gridCol w:w="1911"/>
      </w:tblGrid>
      <w:tr w:rsidR="00A1552F" w:rsidRPr="00A1552F" w14:paraId="6C2B6044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130A433B" w14:textId="4720C0EA" w:rsidR="00A1552F" w:rsidRPr="00A1552F" w:rsidRDefault="00A1552F" w:rsidP="00B006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Outcome</w:t>
            </w:r>
          </w:p>
        </w:tc>
        <w:tc>
          <w:tcPr>
            <w:tcW w:w="2226" w:type="dxa"/>
            <w:noWrap/>
            <w:vAlign w:val="bottom"/>
            <w:hideMark/>
          </w:tcPr>
          <w:p w14:paraId="0BC1FAB7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Beta-Lactam Allergy</w:t>
            </w:r>
          </w:p>
        </w:tc>
        <w:tc>
          <w:tcPr>
            <w:tcW w:w="2035" w:type="dxa"/>
            <w:noWrap/>
            <w:vAlign w:val="bottom"/>
            <w:hideMark/>
          </w:tcPr>
          <w:p w14:paraId="2BBBEE83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Cephalosporin Allergy</w:t>
            </w:r>
          </w:p>
        </w:tc>
        <w:tc>
          <w:tcPr>
            <w:tcW w:w="1911" w:type="dxa"/>
            <w:noWrap/>
            <w:vAlign w:val="bottom"/>
            <w:hideMark/>
          </w:tcPr>
          <w:p w14:paraId="63B9DB9F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Penicillin Allergy</w:t>
            </w:r>
          </w:p>
        </w:tc>
      </w:tr>
      <w:tr w:rsidR="00A1552F" w:rsidRPr="00A1552F" w14:paraId="3152EF30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5718F40F" w14:textId="77777777" w:rsidR="00A1552F" w:rsidRPr="00A1552F" w:rsidRDefault="00A1552F" w:rsidP="00B00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noWrap/>
            <w:vAlign w:val="bottom"/>
            <w:hideMark/>
          </w:tcPr>
          <w:p w14:paraId="7357B7E4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Odds Ratio (95% CI)</w:t>
            </w:r>
          </w:p>
        </w:tc>
        <w:tc>
          <w:tcPr>
            <w:tcW w:w="2035" w:type="dxa"/>
            <w:noWrap/>
            <w:vAlign w:val="bottom"/>
            <w:hideMark/>
          </w:tcPr>
          <w:p w14:paraId="07369ADF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Odds Ratio (95% CI)</w:t>
            </w:r>
          </w:p>
        </w:tc>
        <w:tc>
          <w:tcPr>
            <w:tcW w:w="1911" w:type="dxa"/>
            <w:noWrap/>
            <w:vAlign w:val="bottom"/>
            <w:hideMark/>
          </w:tcPr>
          <w:p w14:paraId="54E005FF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Odds Ratio (95% CI)</w:t>
            </w:r>
          </w:p>
        </w:tc>
      </w:tr>
      <w:tr w:rsidR="00A1552F" w:rsidRPr="00A1552F" w14:paraId="60B21EFA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55AEDF53" w14:textId="77777777" w:rsidR="00A1552F" w:rsidRPr="00A1552F" w:rsidRDefault="00A1552F" w:rsidP="00B006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Receipt of Broader-Spectrum Agents</w:t>
            </w:r>
          </w:p>
        </w:tc>
        <w:tc>
          <w:tcPr>
            <w:tcW w:w="2226" w:type="dxa"/>
            <w:noWrap/>
            <w:vAlign w:val="bottom"/>
            <w:hideMark/>
          </w:tcPr>
          <w:p w14:paraId="30BA59A8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 (2.12, 2.73)</w:t>
            </w:r>
          </w:p>
        </w:tc>
        <w:tc>
          <w:tcPr>
            <w:tcW w:w="2035" w:type="dxa"/>
            <w:noWrap/>
            <w:vAlign w:val="bottom"/>
            <w:hideMark/>
          </w:tcPr>
          <w:p w14:paraId="780E4816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7.62 (5.59, 10.41)</w:t>
            </w:r>
          </w:p>
        </w:tc>
        <w:tc>
          <w:tcPr>
            <w:tcW w:w="1911" w:type="dxa"/>
            <w:noWrap/>
            <w:vAlign w:val="bottom"/>
            <w:hideMark/>
          </w:tcPr>
          <w:p w14:paraId="56F06DD3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(0.95 - 1.04)</w:t>
            </w:r>
          </w:p>
        </w:tc>
      </w:tr>
      <w:tr w:rsidR="00A1552F" w:rsidRPr="00A1552F" w14:paraId="7099B9E2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2C5B492B" w14:textId="77777777" w:rsidR="00A1552F" w:rsidRPr="00A1552F" w:rsidRDefault="00A1552F" w:rsidP="00B006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least 3 days of Broader-Spectrum Agents</w:t>
            </w:r>
          </w:p>
        </w:tc>
        <w:tc>
          <w:tcPr>
            <w:tcW w:w="2226" w:type="dxa"/>
            <w:noWrap/>
            <w:vAlign w:val="bottom"/>
            <w:hideMark/>
          </w:tcPr>
          <w:p w14:paraId="4512C31F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 (1.38, 1.87)</w:t>
            </w:r>
          </w:p>
        </w:tc>
        <w:tc>
          <w:tcPr>
            <w:tcW w:w="2035" w:type="dxa"/>
            <w:noWrap/>
            <w:vAlign w:val="bottom"/>
            <w:hideMark/>
          </w:tcPr>
          <w:p w14:paraId="7BD4678E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 (1.88, 3.71)</w:t>
            </w:r>
          </w:p>
        </w:tc>
        <w:tc>
          <w:tcPr>
            <w:tcW w:w="1911" w:type="dxa"/>
            <w:noWrap/>
            <w:vAlign w:val="bottom"/>
            <w:hideMark/>
          </w:tcPr>
          <w:p w14:paraId="1E95B6FD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(0.93 - 1.05)</w:t>
            </w:r>
          </w:p>
        </w:tc>
      </w:tr>
      <w:tr w:rsidR="00A1552F" w:rsidRPr="00A1552F" w14:paraId="60308A02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547D1939" w14:textId="77777777" w:rsidR="00A1552F" w:rsidRPr="00A1552F" w:rsidRDefault="00A1552F" w:rsidP="00B006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Receipt of Fluoroquinolones</w:t>
            </w:r>
          </w:p>
        </w:tc>
        <w:tc>
          <w:tcPr>
            <w:tcW w:w="2226" w:type="dxa"/>
            <w:noWrap/>
            <w:vAlign w:val="bottom"/>
            <w:hideMark/>
          </w:tcPr>
          <w:p w14:paraId="5E3D7EF0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 (1.77, 3.78)</w:t>
            </w:r>
          </w:p>
        </w:tc>
        <w:tc>
          <w:tcPr>
            <w:tcW w:w="2035" w:type="dxa"/>
            <w:noWrap/>
            <w:vAlign w:val="bottom"/>
            <w:hideMark/>
          </w:tcPr>
          <w:p w14:paraId="783BB837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 (1.75, 6.81)</w:t>
            </w:r>
          </w:p>
        </w:tc>
        <w:tc>
          <w:tcPr>
            <w:tcW w:w="1911" w:type="dxa"/>
            <w:noWrap/>
            <w:vAlign w:val="bottom"/>
            <w:hideMark/>
          </w:tcPr>
          <w:p w14:paraId="26171FED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 (1.05 - 1.33)</w:t>
            </w:r>
          </w:p>
        </w:tc>
      </w:tr>
      <w:tr w:rsidR="00A1552F" w:rsidRPr="00A1552F" w14:paraId="697539D2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412B506F" w14:textId="77777777" w:rsidR="00A1552F" w:rsidRPr="00A1552F" w:rsidRDefault="00A1552F" w:rsidP="00B006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Receipt of Clindamycin</w:t>
            </w:r>
          </w:p>
        </w:tc>
        <w:tc>
          <w:tcPr>
            <w:tcW w:w="2226" w:type="dxa"/>
            <w:noWrap/>
            <w:vAlign w:val="bottom"/>
            <w:hideMark/>
          </w:tcPr>
          <w:p w14:paraId="35B986C5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 (2.63, 3.66)</w:t>
            </w:r>
          </w:p>
        </w:tc>
        <w:tc>
          <w:tcPr>
            <w:tcW w:w="2035" w:type="dxa"/>
            <w:noWrap/>
            <w:vAlign w:val="bottom"/>
            <w:hideMark/>
          </w:tcPr>
          <w:p w14:paraId="2974023E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8.45 (5.72, 12.49)</w:t>
            </w:r>
          </w:p>
        </w:tc>
        <w:tc>
          <w:tcPr>
            <w:tcW w:w="1911" w:type="dxa"/>
            <w:noWrap/>
            <w:vAlign w:val="bottom"/>
            <w:hideMark/>
          </w:tcPr>
          <w:p w14:paraId="6286D3B9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 (0.69, 1.17)</w:t>
            </w:r>
          </w:p>
        </w:tc>
      </w:tr>
      <w:tr w:rsidR="00A1552F" w:rsidRPr="00A1552F" w14:paraId="3C7B9944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5138106B" w14:textId="77777777" w:rsidR="00A1552F" w:rsidRPr="00A1552F" w:rsidRDefault="00A1552F" w:rsidP="00B006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Receipt of Carbapenems</w:t>
            </w:r>
          </w:p>
        </w:tc>
        <w:tc>
          <w:tcPr>
            <w:tcW w:w="2226" w:type="dxa"/>
            <w:noWrap/>
            <w:vAlign w:val="bottom"/>
            <w:hideMark/>
          </w:tcPr>
          <w:p w14:paraId="6EDABE9F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 (1.62, 2.99)</w:t>
            </w:r>
          </w:p>
        </w:tc>
        <w:tc>
          <w:tcPr>
            <w:tcW w:w="2035" w:type="dxa"/>
            <w:noWrap/>
            <w:vAlign w:val="bottom"/>
            <w:hideMark/>
          </w:tcPr>
          <w:p w14:paraId="58CFCD3A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 (2.26, 8.27)</w:t>
            </w:r>
          </w:p>
        </w:tc>
        <w:tc>
          <w:tcPr>
            <w:tcW w:w="1911" w:type="dxa"/>
            <w:noWrap/>
            <w:vAlign w:val="bottom"/>
            <w:hideMark/>
          </w:tcPr>
          <w:p w14:paraId="37010077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 (0.93 - 1.03)</w:t>
            </w:r>
          </w:p>
        </w:tc>
      </w:tr>
      <w:tr w:rsidR="00A1552F" w:rsidRPr="00A1552F" w14:paraId="50F906AD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6CB39CD8" w14:textId="77777777" w:rsidR="00A1552F" w:rsidRPr="00A1552F" w:rsidRDefault="00A1552F" w:rsidP="00B006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Receipt of Macrolides</w:t>
            </w:r>
          </w:p>
        </w:tc>
        <w:tc>
          <w:tcPr>
            <w:tcW w:w="2226" w:type="dxa"/>
            <w:noWrap/>
            <w:vAlign w:val="bottom"/>
            <w:hideMark/>
          </w:tcPr>
          <w:p w14:paraId="4194EDD3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 (1.12, 1.77)</w:t>
            </w:r>
          </w:p>
        </w:tc>
        <w:tc>
          <w:tcPr>
            <w:tcW w:w="2035" w:type="dxa"/>
            <w:noWrap/>
            <w:vAlign w:val="bottom"/>
            <w:hideMark/>
          </w:tcPr>
          <w:p w14:paraId="09748C1A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 (0.93, 2.66)</w:t>
            </w:r>
          </w:p>
        </w:tc>
        <w:tc>
          <w:tcPr>
            <w:tcW w:w="1911" w:type="dxa"/>
            <w:noWrap/>
            <w:vAlign w:val="bottom"/>
            <w:hideMark/>
          </w:tcPr>
          <w:p w14:paraId="572F69C1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 (0.71, 1.18)</w:t>
            </w:r>
          </w:p>
        </w:tc>
      </w:tr>
      <w:tr w:rsidR="00A1552F" w:rsidRPr="00A1552F" w14:paraId="5843C62B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7C81F475" w14:textId="77777777" w:rsidR="00A1552F" w:rsidRPr="00A1552F" w:rsidRDefault="00A1552F" w:rsidP="00B006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Receipt of Vancomycin</w:t>
            </w:r>
          </w:p>
        </w:tc>
        <w:tc>
          <w:tcPr>
            <w:tcW w:w="2226" w:type="dxa"/>
            <w:noWrap/>
            <w:vAlign w:val="bottom"/>
            <w:hideMark/>
          </w:tcPr>
          <w:p w14:paraId="208C3600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 (0.84, 1.33)</w:t>
            </w:r>
          </w:p>
        </w:tc>
        <w:tc>
          <w:tcPr>
            <w:tcW w:w="2035" w:type="dxa"/>
            <w:noWrap/>
            <w:vAlign w:val="bottom"/>
            <w:hideMark/>
          </w:tcPr>
          <w:p w14:paraId="3E005D77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 (1.37, 3.84)</w:t>
            </w:r>
          </w:p>
        </w:tc>
        <w:tc>
          <w:tcPr>
            <w:tcW w:w="1911" w:type="dxa"/>
            <w:noWrap/>
            <w:vAlign w:val="bottom"/>
            <w:hideMark/>
          </w:tcPr>
          <w:p w14:paraId="2F0E724D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 (1.10, 1.79)</w:t>
            </w:r>
          </w:p>
        </w:tc>
      </w:tr>
      <w:tr w:rsidR="00A1552F" w:rsidRPr="00A1552F" w14:paraId="39E7961C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3B16436D" w14:textId="77777777" w:rsidR="00A1552F" w:rsidRPr="00A1552F" w:rsidRDefault="00A1552F" w:rsidP="00B006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Day Readmission</w:t>
            </w:r>
          </w:p>
        </w:tc>
        <w:tc>
          <w:tcPr>
            <w:tcW w:w="2226" w:type="dxa"/>
            <w:noWrap/>
            <w:vAlign w:val="bottom"/>
            <w:hideMark/>
          </w:tcPr>
          <w:p w14:paraId="60258456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 (0.76, 1.22)</w:t>
            </w:r>
          </w:p>
        </w:tc>
        <w:tc>
          <w:tcPr>
            <w:tcW w:w="2035" w:type="dxa"/>
            <w:noWrap/>
            <w:vAlign w:val="bottom"/>
            <w:hideMark/>
          </w:tcPr>
          <w:p w14:paraId="1A52CBFC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 (0.92 - 1.17)</w:t>
            </w:r>
          </w:p>
        </w:tc>
        <w:tc>
          <w:tcPr>
            <w:tcW w:w="1911" w:type="dxa"/>
            <w:noWrap/>
            <w:vAlign w:val="bottom"/>
            <w:hideMark/>
          </w:tcPr>
          <w:p w14:paraId="756835DF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 (2.17, 3.11)</w:t>
            </w:r>
          </w:p>
        </w:tc>
      </w:tr>
      <w:tr w:rsidR="00A1552F" w:rsidRPr="00A1552F" w14:paraId="31D9AE86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047691CF" w14:textId="77777777" w:rsidR="00A1552F" w:rsidRPr="00A1552F" w:rsidRDefault="00A1552F" w:rsidP="00B00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noWrap/>
            <w:vAlign w:val="bottom"/>
            <w:hideMark/>
          </w:tcPr>
          <w:p w14:paraId="53C45950" w14:textId="77777777" w:rsidR="00A1552F" w:rsidRPr="00A1552F" w:rsidRDefault="00A1552F" w:rsidP="00B0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noWrap/>
            <w:vAlign w:val="bottom"/>
            <w:hideMark/>
          </w:tcPr>
          <w:p w14:paraId="2EA324DC" w14:textId="77777777" w:rsidR="00A1552F" w:rsidRPr="00A1552F" w:rsidRDefault="00A1552F" w:rsidP="00B0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noWrap/>
            <w:vAlign w:val="bottom"/>
            <w:hideMark/>
          </w:tcPr>
          <w:p w14:paraId="43C9DABF" w14:textId="77777777" w:rsidR="00A1552F" w:rsidRPr="00A1552F" w:rsidRDefault="00A1552F" w:rsidP="00B0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2F" w:rsidRPr="00A1552F" w14:paraId="6A9D9195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07091C0E" w14:textId="77777777" w:rsidR="00A1552F" w:rsidRPr="00A1552F" w:rsidRDefault="00A1552F" w:rsidP="00B0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noWrap/>
            <w:vAlign w:val="bottom"/>
            <w:hideMark/>
          </w:tcPr>
          <w:p w14:paraId="0386029B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Fold Change (95%CI)</w:t>
            </w:r>
          </w:p>
        </w:tc>
        <w:tc>
          <w:tcPr>
            <w:tcW w:w="2035" w:type="dxa"/>
            <w:noWrap/>
            <w:vAlign w:val="bottom"/>
            <w:hideMark/>
          </w:tcPr>
          <w:p w14:paraId="471EACA8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Fold Change (95%CI)</w:t>
            </w:r>
          </w:p>
        </w:tc>
        <w:tc>
          <w:tcPr>
            <w:tcW w:w="1911" w:type="dxa"/>
            <w:noWrap/>
            <w:vAlign w:val="bottom"/>
            <w:hideMark/>
          </w:tcPr>
          <w:p w14:paraId="7ED27348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Fold Change (95%CI)</w:t>
            </w:r>
          </w:p>
        </w:tc>
      </w:tr>
      <w:tr w:rsidR="00A1552F" w:rsidRPr="00A1552F" w14:paraId="56F78EA2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39E6E7DB" w14:textId="77777777" w:rsidR="00A1552F" w:rsidRPr="00A1552F" w:rsidRDefault="00A1552F" w:rsidP="00B006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Antibiotic Cost</w:t>
            </w:r>
          </w:p>
        </w:tc>
        <w:tc>
          <w:tcPr>
            <w:tcW w:w="2226" w:type="dxa"/>
            <w:noWrap/>
            <w:vAlign w:val="bottom"/>
            <w:hideMark/>
          </w:tcPr>
          <w:p w14:paraId="6A599785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 (1.10 - 1.38)</w:t>
            </w:r>
          </w:p>
        </w:tc>
        <w:tc>
          <w:tcPr>
            <w:tcW w:w="2035" w:type="dxa"/>
            <w:noWrap/>
            <w:vAlign w:val="bottom"/>
            <w:hideMark/>
          </w:tcPr>
          <w:p w14:paraId="0A16B6CA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 (1.21 - 2.05)</w:t>
            </w:r>
          </w:p>
        </w:tc>
        <w:tc>
          <w:tcPr>
            <w:tcW w:w="1911" w:type="dxa"/>
            <w:noWrap/>
            <w:vAlign w:val="bottom"/>
            <w:hideMark/>
          </w:tcPr>
          <w:p w14:paraId="246F2552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2.52 (1.62, 3.91)</w:t>
            </w:r>
          </w:p>
        </w:tc>
      </w:tr>
      <w:tr w:rsidR="00A1552F" w:rsidRPr="00A1552F" w14:paraId="66792B60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7227C081" w14:textId="77777777" w:rsidR="00A1552F" w:rsidRPr="00A1552F" w:rsidRDefault="00A1552F" w:rsidP="00B006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Hospital Cost</w:t>
            </w:r>
          </w:p>
        </w:tc>
        <w:tc>
          <w:tcPr>
            <w:tcW w:w="2226" w:type="dxa"/>
            <w:noWrap/>
            <w:vAlign w:val="bottom"/>
            <w:hideMark/>
          </w:tcPr>
          <w:p w14:paraId="7A110507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(0.93 - 1.04)</w:t>
            </w:r>
          </w:p>
        </w:tc>
        <w:tc>
          <w:tcPr>
            <w:tcW w:w="2035" w:type="dxa"/>
            <w:noWrap/>
            <w:vAlign w:val="bottom"/>
            <w:hideMark/>
          </w:tcPr>
          <w:p w14:paraId="79FADA98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(0.90 - 1.11)</w:t>
            </w:r>
          </w:p>
        </w:tc>
        <w:tc>
          <w:tcPr>
            <w:tcW w:w="1911" w:type="dxa"/>
            <w:noWrap/>
            <w:vAlign w:val="bottom"/>
            <w:hideMark/>
          </w:tcPr>
          <w:p w14:paraId="27A0FF91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 (1.29, 1.80)</w:t>
            </w:r>
          </w:p>
        </w:tc>
      </w:tr>
      <w:tr w:rsidR="00A1552F" w:rsidRPr="00A1552F" w14:paraId="2F60B31B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5181E993" w14:textId="77777777" w:rsidR="00A1552F" w:rsidRPr="00A1552F" w:rsidRDefault="00A1552F" w:rsidP="00B006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Antibiotic Days</w:t>
            </w:r>
          </w:p>
        </w:tc>
        <w:tc>
          <w:tcPr>
            <w:tcW w:w="2226" w:type="dxa"/>
            <w:noWrap/>
            <w:vAlign w:val="bottom"/>
            <w:hideMark/>
          </w:tcPr>
          <w:p w14:paraId="7FEA9539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(0.96 - 1.04)</w:t>
            </w:r>
          </w:p>
        </w:tc>
        <w:tc>
          <w:tcPr>
            <w:tcW w:w="2035" w:type="dxa"/>
            <w:noWrap/>
            <w:vAlign w:val="bottom"/>
            <w:hideMark/>
          </w:tcPr>
          <w:p w14:paraId="656BB054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 (0.93 - 1.13)</w:t>
            </w:r>
          </w:p>
        </w:tc>
        <w:tc>
          <w:tcPr>
            <w:tcW w:w="1911" w:type="dxa"/>
            <w:noWrap/>
            <w:vAlign w:val="bottom"/>
            <w:hideMark/>
          </w:tcPr>
          <w:p w14:paraId="6F5873D5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 (1.78, 2.34)</w:t>
            </w:r>
          </w:p>
        </w:tc>
      </w:tr>
      <w:tr w:rsidR="00A1552F" w:rsidRPr="00A1552F" w14:paraId="7B5A3807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2BC3EF0C" w14:textId="77777777" w:rsidR="00A1552F" w:rsidRPr="00A1552F" w:rsidRDefault="00A1552F" w:rsidP="00B006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Length </w:t>
            </w:r>
            <w:proofErr w:type="gramStart"/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gramEnd"/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Stay</w:t>
            </w:r>
          </w:p>
        </w:tc>
        <w:tc>
          <w:tcPr>
            <w:tcW w:w="2226" w:type="dxa"/>
            <w:noWrap/>
            <w:vAlign w:val="bottom"/>
            <w:hideMark/>
          </w:tcPr>
          <w:p w14:paraId="16B669D7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 (0.94 - 1.03)</w:t>
            </w:r>
          </w:p>
        </w:tc>
        <w:tc>
          <w:tcPr>
            <w:tcW w:w="2035" w:type="dxa"/>
            <w:noWrap/>
            <w:vAlign w:val="bottom"/>
            <w:hideMark/>
          </w:tcPr>
          <w:p w14:paraId="6F0725B5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 (0.74, 1.92)</w:t>
            </w:r>
          </w:p>
        </w:tc>
        <w:tc>
          <w:tcPr>
            <w:tcW w:w="1911" w:type="dxa"/>
            <w:noWrap/>
            <w:vAlign w:val="bottom"/>
            <w:hideMark/>
          </w:tcPr>
          <w:p w14:paraId="003E9156" w14:textId="77777777" w:rsidR="00A1552F" w:rsidRPr="00A1552F" w:rsidRDefault="00A1552F" w:rsidP="00B006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 (1.54, 3.04)</w:t>
            </w:r>
          </w:p>
        </w:tc>
      </w:tr>
    </w:tbl>
    <w:p w14:paraId="76F7D8DC" w14:textId="1D4770CD" w:rsidR="008D1B9C" w:rsidRPr="00A1552F" w:rsidRDefault="008D1B9C">
      <w:pPr>
        <w:rPr>
          <w:rFonts w:ascii="Times New Roman" w:hAnsi="Times New Roman" w:cs="Times New Roman"/>
          <w:sz w:val="24"/>
          <w:szCs w:val="24"/>
        </w:rPr>
      </w:pPr>
    </w:p>
    <w:p w14:paraId="58BF2C22" w14:textId="390CEF04" w:rsidR="008D1B9C" w:rsidRPr="00A1552F" w:rsidRDefault="008D1B9C">
      <w:pPr>
        <w:rPr>
          <w:rFonts w:ascii="Times New Roman" w:hAnsi="Times New Roman" w:cs="Times New Roman"/>
          <w:sz w:val="24"/>
          <w:szCs w:val="24"/>
        </w:rPr>
      </w:pPr>
    </w:p>
    <w:p w14:paraId="403A3E0D" w14:textId="156B4B26" w:rsidR="008D1B9C" w:rsidRPr="00A1552F" w:rsidRDefault="008D1B9C">
      <w:pPr>
        <w:rPr>
          <w:rFonts w:ascii="Times New Roman" w:hAnsi="Times New Roman" w:cs="Times New Roman"/>
          <w:sz w:val="24"/>
          <w:szCs w:val="24"/>
        </w:rPr>
      </w:pPr>
    </w:p>
    <w:p w14:paraId="502E9CC9" w14:textId="04AF80E4" w:rsidR="008D1B9C" w:rsidRDefault="008D1B9C">
      <w:pPr>
        <w:rPr>
          <w:rFonts w:ascii="Times New Roman" w:hAnsi="Times New Roman" w:cs="Times New Roman"/>
          <w:sz w:val="24"/>
          <w:szCs w:val="24"/>
        </w:rPr>
      </w:pPr>
    </w:p>
    <w:p w14:paraId="5BF05E9A" w14:textId="2F6A277E" w:rsidR="00A1552F" w:rsidRDefault="00A1552F">
      <w:pPr>
        <w:rPr>
          <w:rFonts w:ascii="Times New Roman" w:hAnsi="Times New Roman" w:cs="Times New Roman"/>
          <w:sz w:val="24"/>
          <w:szCs w:val="24"/>
        </w:rPr>
      </w:pPr>
    </w:p>
    <w:p w14:paraId="1679D5AE" w14:textId="5B0743EF" w:rsidR="00A1552F" w:rsidRDefault="00A1552F">
      <w:pPr>
        <w:rPr>
          <w:rFonts w:ascii="Times New Roman" w:hAnsi="Times New Roman" w:cs="Times New Roman"/>
          <w:sz w:val="24"/>
          <w:szCs w:val="24"/>
        </w:rPr>
      </w:pPr>
    </w:p>
    <w:p w14:paraId="40C60BDB" w14:textId="08C196D8" w:rsidR="00A1552F" w:rsidRDefault="00A1552F">
      <w:pPr>
        <w:rPr>
          <w:rFonts w:ascii="Times New Roman" w:hAnsi="Times New Roman" w:cs="Times New Roman"/>
          <w:sz w:val="24"/>
          <w:szCs w:val="24"/>
        </w:rPr>
      </w:pPr>
    </w:p>
    <w:p w14:paraId="05C49E7C" w14:textId="6300AF7F" w:rsidR="00A1552F" w:rsidRDefault="00A1552F">
      <w:pPr>
        <w:rPr>
          <w:rFonts w:ascii="Times New Roman" w:hAnsi="Times New Roman" w:cs="Times New Roman"/>
          <w:sz w:val="24"/>
          <w:szCs w:val="24"/>
        </w:rPr>
      </w:pPr>
    </w:p>
    <w:p w14:paraId="2C597AAC" w14:textId="7FC3E2A9" w:rsidR="00A1552F" w:rsidRDefault="00A1552F">
      <w:pPr>
        <w:rPr>
          <w:rFonts w:ascii="Times New Roman" w:hAnsi="Times New Roman" w:cs="Times New Roman"/>
          <w:sz w:val="24"/>
          <w:szCs w:val="24"/>
        </w:rPr>
      </w:pPr>
    </w:p>
    <w:p w14:paraId="18DB66DB" w14:textId="3405A3F8" w:rsidR="00A1552F" w:rsidRDefault="00A1552F">
      <w:pPr>
        <w:rPr>
          <w:rFonts w:ascii="Times New Roman" w:hAnsi="Times New Roman" w:cs="Times New Roman"/>
          <w:sz w:val="24"/>
          <w:szCs w:val="24"/>
        </w:rPr>
      </w:pPr>
    </w:p>
    <w:p w14:paraId="577034B6" w14:textId="06A31F3C" w:rsidR="00A1552F" w:rsidRDefault="00A1552F">
      <w:pPr>
        <w:rPr>
          <w:rFonts w:ascii="Times New Roman" w:hAnsi="Times New Roman" w:cs="Times New Roman"/>
          <w:sz w:val="24"/>
          <w:szCs w:val="24"/>
        </w:rPr>
      </w:pPr>
    </w:p>
    <w:p w14:paraId="3AF1F09A" w14:textId="6EA81970" w:rsidR="00A1552F" w:rsidRDefault="00A1552F">
      <w:pPr>
        <w:rPr>
          <w:rFonts w:ascii="Times New Roman" w:hAnsi="Times New Roman" w:cs="Times New Roman"/>
          <w:sz w:val="24"/>
          <w:szCs w:val="24"/>
        </w:rPr>
      </w:pPr>
    </w:p>
    <w:p w14:paraId="41E4C131" w14:textId="7FD45707" w:rsidR="00A1552F" w:rsidRDefault="00A1552F">
      <w:pPr>
        <w:rPr>
          <w:rFonts w:ascii="Times New Roman" w:hAnsi="Times New Roman" w:cs="Times New Roman"/>
          <w:sz w:val="24"/>
          <w:szCs w:val="24"/>
        </w:rPr>
      </w:pPr>
    </w:p>
    <w:p w14:paraId="101BACC5" w14:textId="10BFB38C" w:rsidR="00A1552F" w:rsidRDefault="00A1552F">
      <w:pPr>
        <w:rPr>
          <w:rFonts w:ascii="Times New Roman" w:hAnsi="Times New Roman" w:cs="Times New Roman"/>
          <w:sz w:val="24"/>
          <w:szCs w:val="24"/>
        </w:rPr>
      </w:pPr>
    </w:p>
    <w:p w14:paraId="2557BB42" w14:textId="31B78BB3" w:rsidR="00A1552F" w:rsidRDefault="00A1552F">
      <w:pPr>
        <w:rPr>
          <w:rFonts w:ascii="Times New Roman" w:hAnsi="Times New Roman" w:cs="Times New Roman"/>
          <w:sz w:val="24"/>
          <w:szCs w:val="24"/>
        </w:rPr>
      </w:pPr>
    </w:p>
    <w:p w14:paraId="697718C2" w14:textId="77777777" w:rsidR="00A1552F" w:rsidRPr="00A1552F" w:rsidRDefault="00A1552F">
      <w:pPr>
        <w:rPr>
          <w:rFonts w:ascii="Times New Roman" w:hAnsi="Times New Roman" w:cs="Times New Roman"/>
          <w:sz w:val="24"/>
          <w:szCs w:val="24"/>
        </w:rPr>
      </w:pPr>
    </w:p>
    <w:p w14:paraId="7A051AE3" w14:textId="2F016800" w:rsidR="008D1B9C" w:rsidRPr="00A1552F" w:rsidRDefault="008D1B9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2F">
        <w:rPr>
          <w:rFonts w:ascii="Times New Roman" w:hAnsi="Times New Roman" w:cs="Times New Roman"/>
          <w:sz w:val="24"/>
          <w:szCs w:val="24"/>
        </w:rPr>
        <w:lastRenderedPageBreak/>
        <w:t xml:space="preserve">Supplemental Table 2. </w:t>
      </w:r>
      <w:r w:rsidRPr="00A1552F">
        <w:rPr>
          <w:rFonts w:ascii="Times New Roman" w:eastAsia="Times New Roman" w:hAnsi="Times New Roman" w:cs="Times New Roman"/>
          <w:color w:val="000000"/>
          <w:sz w:val="24"/>
          <w:szCs w:val="24"/>
        </w:rPr>
        <w:t>Results from multivariable regression models for each indicated outcome, limited to patients hospitalized at PCH. Odds ratios and log transformed fold-difference comparing patients with beta-lactam allergy vs. those without are shown, after adjustment for patient age, sex, race, public insurance, hospital location, primary diagnosis (as defined by service line), and presence of any comorbidities.</w:t>
      </w:r>
    </w:p>
    <w:p w14:paraId="63FF9A1F" w14:textId="5FC87419" w:rsidR="00A1552F" w:rsidRPr="00A1552F" w:rsidRDefault="00A155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2226"/>
        <w:gridCol w:w="2035"/>
        <w:gridCol w:w="1911"/>
      </w:tblGrid>
      <w:tr w:rsidR="00A1552F" w:rsidRPr="00A1552F" w14:paraId="3FDE024B" w14:textId="77777777" w:rsidTr="00A1552F">
        <w:trPr>
          <w:trHeight w:val="290"/>
        </w:trPr>
        <w:tc>
          <w:tcPr>
            <w:tcW w:w="4008" w:type="dxa"/>
            <w:noWrap/>
            <w:vAlign w:val="bottom"/>
          </w:tcPr>
          <w:p w14:paraId="02749018" w14:textId="79AC6487" w:rsidR="00A1552F" w:rsidRPr="00A1552F" w:rsidRDefault="00A155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Outcome</w:t>
            </w:r>
          </w:p>
        </w:tc>
        <w:tc>
          <w:tcPr>
            <w:tcW w:w="2226" w:type="dxa"/>
            <w:noWrap/>
            <w:vAlign w:val="bottom"/>
          </w:tcPr>
          <w:p w14:paraId="4CC89CB8" w14:textId="781B83A6" w:rsidR="00A1552F" w:rsidRPr="00A1552F" w:rsidRDefault="00A1552F" w:rsidP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Beta-Lactam Allergy</w:t>
            </w:r>
          </w:p>
        </w:tc>
        <w:tc>
          <w:tcPr>
            <w:tcW w:w="2035" w:type="dxa"/>
            <w:noWrap/>
            <w:vAlign w:val="bottom"/>
          </w:tcPr>
          <w:p w14:paraId="47311AEF" w14:textId="209AC9D2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Cephalosporin Allergy</w:t>
            </w:r>
          </w:p>
        </w:tc>
        <w:tc>
          <w:tcPr>
            <w:tcW w:w="1911" w:type="dxa"/>
            <w:noWrap/>
            <w:vAlign w:val="bottom"/>
          </w:tcPr>
          <w:p w14:paraId="41E3165F" w14:textId="7BCD2F8F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Penicillin Allergy</w:t>
            </w:r>
          </w:p>
        </w:tc>
      </w:tr>
      <w:tr w:rsidR="00A1552F" w:rsidRPr="00A1552F" w14:paraId="6141FB04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4CD67998" w14:textId="77777777" w:rsidR="00A1552F" w:rsidRPr="00A1552F" w:rsidRDefault="00A155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6" w:type="dxa"/>
            <w:noWrap/>
            <w:vAlign w:val="bottom"/>
            <w:hideMark/>
          </w:tcPr>
          <w:p w14:paraId="315CE9DE" w14:textId="77777777" w:rsidR="00A1552F" w:rsidRPr="00A1552F" w:rsidRDefault="00A1552F" w:rsidP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03996E" w14:textId="6EA454FA" w:rsidR="00A1552F" w:rsidRPr="00A1552F" w:rsidRDefault="00A1552F" w:rsidP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Odds Ratio (95% CI)</w:t>
            </w:r>
          </w:p>
        </w:tc>
        <w:tc>
          <w:tcPr>
            <w:tcW w:w="2035" w:type="dxa"/>
            <w:noWrap/>
            <w:vAlign w:val="bottom"/>
            <w:hideMark/>
          </w:tcPr>
          <w:p w14:paraId="3421E94D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Odds Ratio (95% CI)</w:t>
            </w:r>
          </w:p>
        </w:tc>
        <w:tc>
          <w:tcPr>
            <w:tcW w:w="1911" w:type="dxa"/>
            <w:noWrap/>
            <w:vAlign w:val="bottom"/>
            <w:hideMark/>
          </w:tcPr>
          <w:p w14:paraId="14000EBC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Odds Ratio (95% CI)</w:t>
            </w:r>
          </w:p>
        </w:tc>
      </w:tr>
      <w:tr w:rsidR="00A1552F" w:rsidRPr="00A1552F" w14:paraId="767430C2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3B47B58D" w14:textId="77777777" w:rsidR="00A1552F" w:rsidRPr="00A1552F" w:rsidRDefault="00A155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Receipt of Broader-Spectrum Agents</w:t>
            </w:r>
          </w:p>
        </w:tc>
        <w:tc>
          <w:tcPr>
            <w:tcW w:w="2226" w:type="dxa"/>
            <w:noWrap/>
            <w:vAlign w:val="bottom"/>
            <w:hideMark/>
          </w:tcPr>
          <w:p w14:paraId="490CA7AE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 (2.22, 3.02)</w:t>
            </w:r>
          </w:p>
        </w:tc>
        <w:tc>
          <w:tcPr>
            <w:tcW w:w="2035" w:type="dxa"/>
            <w:noWrap/>
            <w:vAlign w:val="bottom"/>
            <w:hideMark/>
          </w:tcPr>
          <w:p w14:paraId="0589A6AA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9.97 (6.83, 14.55)</w:t>
            </w:r>
          </w:p>
        </w:tc>
        <w:tc>
          <w:tcPr>
            <w:tcW w:w="1911" w:type="dxa"/>
            <w:noWrap/>
            <w:vAlign w:val="bottom"/>
            <w:hideMark/>
          </w:tcPr>
          <w:p w14:paraId="0CCB832E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 (1.59, 2.25)</w:t>
            </w:r>
          </w:p>
        </w:tc>
      </w:tr>
      <w:tr w:rsidR="00A1552F" w:rsidRPr="00A1552F" w14:paraId="0FE2B1AF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627F7364" w14:textId="77777777" w:rsidR="00A1552F" w:rsidRPr="00A1552F" w:rsidRDefault="00A155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Day Readmission</w:t>
            </w:r>
          </w:p>
        </w:tc>
        <w:tc>
          <w:tcPr>
            <w:tcW w:w="2226" w:type="dxa"/>
            <w:noWrap/>
            <w:vAlign w:val="bottom"/>
            <w:hideMark/>
          </w:tcPr>
          <w:p w14:paraId="4E7AB957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 (0.77, 1.32)</w:t>
            </w:r>
          </w:p>
        </w:tc>
        <w:tc>
          <w:tcPr>
            <w:tcW w:w="2035" w:type="dxa"/>
            <w:noWrap/>
            <w:vAlign w:val="bottom"/>
            <w:hideMark/>
          </w:tcPr>
          <w:p w14:paraId="55251BAA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 (0.74, 2.14)</w:t>
            </w:r>
          </w:p>
        </w:tc>
        <w:tc>
          <w:tcPr>
            <w:tcW w:w="1911" w:type="dxa"/>
            <w:noWrap/>
            <w:vAlign w:val="bottom"/>
            <w:hideMark/>
          </w:tcPr>
          <w:p w14:paraId="0BA33987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 (0.67, 1.27)</w:t>
            </w:r>
          </w:p>
        </w:tc>
      </w:tr>
      <w:tr w:rsidR="00A1552F" w:rsidRPr="00A1552F" w14:paraId="610F1EBD" w14:textId="77777777" w:rsidTr="00A1552F">
        <w:trPr>
          <w:trHeight w:val="290"/>
        </w:trPr>
        <w:tc>
          <w:tcPr>
            <w:tcW w:w="4008" w:type="dxa"/>
            <w:noWrap/>
            <w:vAlign w:val="bottom"/>
          </w:tcPr>
          <w:p w14:paraId="7471029B" w14:textId="77777777" w:rsidR="00A1552F" w:rsidRPr="00A1552F" w:rsidRDefault="00A155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noWrap/>
            <w:vAlign w:val="bottom"/>
          </w:tcPr>
          <w:p w14:paraId="2E7DE6BA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noWrap/>
            <w:vAlign w:val="bottom"/>
          </w:tcPr>
          <w:p w14:paraId="2F092F22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noWrap/>
            <w:vAlign w:val="bottom"/>
          </w:tcPr>
          <w:p w14:paraId="0E6202B9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52F" w:rsidRPr="00A1552F" w14:paraId="5F286873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06C73E8D" w14:textId="77777777" w:rsidR="00A1552F" w:rsidRPr="00A1552F" w:rsidRDefault="00A155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noWrap/>
            <w:vAlign w:val="bottom"/>
            <w:hideMark/>
          </w:tcPr>
          <w:p w14:paraId="24B74EA3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Fold Change (95%CI)</w:t>
            </w:r>
          </w:p>
        </w:tc>
        <w:tc>
          <w:tcPr>
            <w:tcW w:w="2035" w:type="dxa"/>
            <w:noWrap/>
            <w:vAlign w:val="bottom"/>
            <w:hideMark/>
          </w:tcPr>
          <w:p w14:paraId="27508B86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Fold Change (95%CI)</w:t>
            </w:r>
          </w:p>
        </w:tc>
        <w:tc>
          <w:tcPr>
            <w:tcW w:w="1911" w:type="dxa"/>
            <w:noWrap/>
            <w:vAlign w:val="bottom"/>
            <w:hideMark/>
          </w:tcPr>
          <w:p w14:paraId="58055205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Fold Change (95%CI)</w:t>
            </w:r>
          </w:p>
        </w:tc>
      </w:tr>
      <w:tr w:rsidR="00A1552F" w:rsidRPr="00A1552F" w14:paraId="1CB0518D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2C3BED6E" w14:textId="77777777" w:rsidR="00A1552F" w:rsidRPr="00A1552F" w:rsidRDefault="00A155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Length </w:t>
            </w:r>
            <w:proofErr w:type="gramStart"/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gramEnd"/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Stay</w:t>
            </w:r>
          </w:p>
        </w:tc>
        <w:tc>
          <w:tcPr>
            <w:tcW w:w="2226" w:type="dxa"/>
            <w:noWrap/>
            <w:vAlign w:val="bottom"/>
            <w:hideMark/>
          </w:tcPr>
          <w:p w14:paraId="12104CC9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 (0.94 - 1.05)</w:t>
            </w:r>
          </w:p>
        </w:tc>
        <w:tc>
          <w:tcPr>
            <w:tcW w:w="2035" w:type="dxa"/>
            <w:noWrap/>
            <w:vAlign w:val="bottom"/>
            <w:hideMark/>
          </w:tcPr>
          <w:p w14:paraId="165E7ADC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 (0.92 - 1.18)</w:t>
            </w:r>
          </w:p>
        </w:tc>
        <w:tc>
          <w:tcPr>
            <w:tcW w:w="1911" w:type="dxa"/>
            <w:noWrap/>
            <w:vAlign w:val="bottom"/>
            <w:hideMark/>
          </w:tcPr>
          <w:p w14:paraId="419C1A78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 (0.92 - 1.04)</w:t>
            </w:r>
          </w:p>
        </w:tc>
      </w:tr>
      <w:tr w:rsidR="00A1552F" w:rsidRPr="00A1552F" w14:paraId="4B62E349" w14:textId="77777777" w:rsidTr="00A1552F">
        <w:trPr>
          <w:trHeight w:val="290"/>
        </w:trPr>
        <w:tc>
          <w:tcPr>
            <w:tcW w:w="4008" w:type="dxa"/>
            <w:noWrap/>
            <w:vAlign w:val="bottom"/>
            <w:hideMark/>
          </w:tcPr>
          <w:p w14:paraId="33354D8A" w14:textId="77777777" w:rsidR="00A1552F" w:rsidRPr="00A1552F" w:rsidRDefault="00A155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Antibiotic Cost</w:t>
            </w:r>
          </w:p>
        </w:tc>
        <w:tc>
          <w:tcPr>
            <w:tcW w:w="2226" w:type="dxa"/>
            <w:hideMark/>
          </w:tcPr>
          <w:p w14:paraId="1EEC6D45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 (1.18 - 1.54)</w:t>
            </w:r>
          </w:p>
        </w:tc>
        <w:tc>
          <w:tcPr>
            <w:tcW w:w="2035" w:type="dxa"/>
            <w:noWrap/>
            <w:vAlign w:val="bottom"/>
            <w:hideMark/>
          </w:tcPr>
          <w:p w14:paraId="6F28A424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 (1.44 - 2.69)</w:t>
            </w:r>
          </w:p>
        </w:tc>
        <w:tc>
          <w:tcPr>
            <w:tcW w:w="1911" w:type="dxa"/>
            <w:noWrap/>
            <w:vAlign w:val="bottom"/>
            <w:hideMark/>
          </w:tcPr>
          <w:p w14:paraId="052DDC23" w14:textId="77777777" w:rsidR="00A1552F" w:rsidRPr="00A1552F" w:rsidRDefault="00A1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 (1.05 - 1.42)</w:t>
            </w:r>
          </w:p>
        </w:tc>
      </w:tr>
    </w:tbl>
    <w:p w14:paraId="281ABEF2" w14:textId="77777777" w:rsidR="00A1552F" w:rsidRDefault="00A1552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15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17"/>
    <w:rsid w:val="000E3716"/>
    <w:rsid w:val="00105466"/>
    <w:rsid w:val="001B38D9"/>
    <w:rsid w:val="00284C9F"/>
    <w:rsid w:val="005B124B"/>
    <w:rsid w:val="00736ED1"/>
    <w:rsid w:val="008D1B9C"/>
    <w:rsid w:val="00A1552F"/>
    <w:rsid w:val="00BF4F17"/>
    <w:rsid w:val="00ED64C4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8EC39"/>
  <w15:chartTrackingRefBased/>
  <w15:docId w15:val="{50F8E976-CFAA-4BA3-B706-DAF1D63E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38D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8D9"/>
    <w:pPr>
      <w:spacing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71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1552F"/>
    <w:pPr>
      <w:spacing w:after="160" w:line="240" w:lineRule="auto"/>
    </w:pPr>
    <w:rPr>
      <w:rFonts w:ascii="Times New Roman" w:eastAsiaTheme="minorHAnsi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52F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55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Trahern Jones</dc:creator>
  <cp:keywords/>
  <dc:description/>
  <cp:lastModifiedBy>Trahern Jones</cp:lastModifiedBy>
  <cp:revision>4</cp:revision>
  <dcterms:created xsi:type="dcterms:W3CDTF">2020-07-31T11:09:00Z</dcterms:created>
  <dcterms:modified xsi:type="dcterms:W3CDTF">2020-08-03T15:11:00Z</dcterms:modified>
</cp:coreProperties>
</file>