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BA" w:rsidRPr="00602EBA" w:rsidRDefault="00602EBA" w:rsidP="00602EBA">
      <w:pPr>
        <w:rPr>
          <w:rFonts w:ascii="Arial" w:hAnsi="Arial" w:cs="Arial"/>
          <w:b/>
          <w:bCs/>
        </w:rPr>
      </w:pPr>
      <w:r w:rsidRPr="001F3C37">
        <w:rPr>
          <w:rFonts w:ascii="Arial" w:hAnsi="Arial" w:cs="Arial"/>
          <w:b/>
          <w:bCs/>
        </w:rPr>
        <w:t xml:space="preserve">Supplemental Table 1: </w:t>
      </w:r>
      <w:r>
        <w:rPr>
          <w:rFonts w:ascii="Arial" w:hAnsi="Arial" w:cs="Arial"/>
          <w:b/>
          <w:bCs/>
        </w:rPr>
        <w:t>C</w:t>
      </w:r>
      <w:r w:rsidRPr="005F588C">
        <w:rPr>
          <w:rFonts w:ascii="Arial" w:hAnsi="Arial" w:cs="Arial"/>
          <w:b/>
          <w:bCs/>
        </w:rPr>
        <w:t xml:space="preserve">haracteristics </w:t>
      </w:r>
      <w:r>
        <w:rPr>
          <w:rFonts w:ascii="Arial" w:hAnsi="Arial" w:cs="Arial"/>
          <w:b/>
          <w:bCs/>
        </w:rPr>
        <w:t xml:space="preserve">of 548,476 acute-care patient-admissions during 2016 </w:t>
      </w:r>
      <w:r w:rsidRPr="005F588C">
        <w:rPr>
          <w:rFonts w:ascii="Arial" w:hAnsi="Arial" w:cs="Arial"/>
          <w:b/>
          <w:bCs/>
        </w:rPr>
        <w:t>across 122 VHA hospitals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Characteristic</w:t>
            </w:r>
          </w:p>
        </w:tc>
        <w:tc>
          <w:tcPr>
            <w:tcW w:w="4675" w:type="dxa"/>
          </w:tcPr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Age, median (IQR)</w:t>
            </w:r>
          </w:p>
        </w:tc>
        <w:tc>
          <w:tcPr>
            <w:tcW w:w="4675" w:type="dxa"/>
          </w:tcPr>
          <w:p w:rsidR="00602EBA" w:rsidRPr="00EA2D34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 w:rsidRPr="00EA2D34">
              <w:rPr>
                <w:rFonts w:ascii="Arial" w:hAnsi="Arial" w:cs="Arial"/>
              </w:rPr>
              <w:t>68 (61-7</w:t>
            </w:r>
            <w:r>
              <w:rPr>
                <w:rFonts w:ascii="Arial" w:hAnsi="Arial" w:cs="Arial"/>
              </w:rPr>
              <w:t>4</w:t>
            </w:r>
            <w:r w:rsidRPr="00EA2D34">
              <w:rPr>
                <w:rFonts w:ascii="Arial" w:hAnsi="Arial" w:cs="Arial"/>
              </w:rPr>
              <w:t>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 gender, n (%)</w:t>
            </w:r>
            <w:r w:rsidRPr="002605A9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675" w:type="dxa"/>
          </w:tcPr>
          <w:p w:rsidR="00602EBA" w:rsidRPr="00393EA1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485,089 (88.4)</w:t>
            </w:r>
          </w:p>
        </w:tc>
      </w:tr>
      <w:tr w:rsidR="00602EBA" w:rsidTr="00B31E18">
        <w:trPr>
          <w:trHeight w:val="755"/>
        </w:trPr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Race, n (%)</w:t>
            </w:r>
          </w:p>
          <w:p w:rsidR="00602EBA" w:rsidRPr="002605A9" w:rsidRDefault="00602EBA" w:rsidP="00B31E18">
            <w:pPr>
              <w:contextualSpacing/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White</w:t>
            </w:r>
          </w:p>
          <w:p w:rsidR="00602EBA" w:rsidRPr="004D7AE7" w:rsidRDefault="00602EBA" w:rsidP="00B31E18">
            <w:pPr>
              <w:contextualSpacing/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Black</w:t>
            </w:r>
          </w:p>
        </w:tc>
        <w:tc>
          <w:tcPr>
            <w:tcW w:w="4675" w:type="dxa"/>
          </w:tcPr>
          <w:p w:rsidR="00602EBA" w:rsidRPr="00393EA1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02EBA" w:rsidRPr="00393EA1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 w:rsidRPr="00393EA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89,598</w:t>
            </w:r>
            <w:r w:rsidRPr="00393EA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71.1</w:t>
            </w:r>
            <w:r w:rsidRPr="00393EA1">
              <w:rPr>
                <w:rFonts w:ascii="Arial" w:hAnsi="Arial" w:cs="Arial"/>
              </w:rPr>
              <w:t>)</w:t>
            </w:r>
          </w:p>
          <w:p w:rsidR="00602EBA" w:rsidRPr="00393EA1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114,216</w:t>
            </w:r>
            <w:r w:rsidRPr="00393EA1">
              <w:rPr>
                <w:rFonts w:ascii="Arial" w:hAnsi="Arial" w:cs="Arial"/>
              </w:rPr>
              <w:t xml:space="preserve"> (20.</w:t>
            </w:r>
            <w:r>
              <w:rPr>
                <w:rFonts w:ascii="Arial" w:hAnsi="Arial" w:cs="Arial"/>
              </w:rPr>
              <w:t>8</w:t>
            </w:r>
            <w:r w:rsidRPr="00393EA1">
              <w:rPr>
                <w:rFonts w:ascii="Arial" w:hAnsi="Arial" w:cs="Arial"/>
              </w:rPr>
              <w:t>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MRSA-positive</w:t>
            </w:r>
          </w:p>
          <w:p w:rsidR="00602EBA" w:rsidRPr="00D77518" w:rsidRDefault="00602EBA" w:rsidP="00B31E18">
            <w:pPr>
              <w:contextualSpacing/>
              <w:jc w:val="right"/>
              <w:rPr>
                <w:rFonts w:ascii="Arial" w:hAnsi="Arial" w:cs="Arial"/>
                <w:bCs/>
              </w:rPr>
            </w:pPr>
            <w:r w:rsidRPr="00D77518">
              <w:rPr>
                <w:rFonts w:ascii="Arial" w:hAnsi="Arial" w:cs="Arial"/>
                <w:bCs/>
              </w:rPr>
              <w:t xml:space="preserve">Nares-positive </w:t>
            </w:r>
          </w:p>
          <w:p w:rsidR="00602EBA" w:rsidRDefault="00602EBA" w:rsidP="00B31E1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D77518">
              <w:rPr>
                <w:rFonts w:ascii="Arial" w:hAnsi="Arial" w:cs="Arial"/>
                <w:bCs/>
              </w:rPr>
              <w:t>Culture-positive only</w:t>
            </w:r>
          </w:p>
        </w:tc>
        <w:tc>
          <w:tcPr>
            <w:tcW w:w="4675" w:type="dxa"/>
          </w:tcPr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45,510 (8.3)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43,664 (8.0)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1,846 (0.3)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Obesity, n (%) </w:t>
            </w:r>
          </w:p>
        </w:tc>
        <w:tc>
          <w:tcPr>
            <w:tcW w:w="4675" w:type="dxa"/>
          </w:tcPr>
          <w:p w:rsidR="00602EBA" w:rsidRPr="00D1639D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188,324</w:t>
            </w:r>
            <w:r w:rsidRPr="00D1639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34.4</w:t>
            </w:r>
            <w:r w:rsidRPr="00D1639D">
              <w:rPr>
                <w:rFonts w:ascii="Arial" w:hAnsi="Arial" w:cs="Arial"/>
              </w:rPr>
              <w:t>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Modified APACHE score, median (IQR)</w:t>
            </w:r>
            <w:r w:rsidRPr="002605A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675" w:type="dxa"/>
          </w:tcPr>
          <w:p w:rsidR="00602EBA" w:rsidRPr="00D1639D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(22-41)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Comorbidities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Alcohol abuse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CHF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COPD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Dementia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Diabetes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Drug abuse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Liver disease, severe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Neurological disorders, other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Paralysis</w:t>
            </w:r>
          </w:p>
          <w:p w:rsidR="00602EBA" w:rsidRPr="002605A9" w:rsidRDefault="00602EBA" w:rsidP="00B31E18">
            <w:pPr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PVD</w:t>
            </w:r>
          </w:p>
          <w:p w:rsidR="00602EBA" w:rsidRPr="004D7AE7" w:rsidRDefault="00602EBA" w:rsidP="00B31E18">
            <w:pPr>
              <w:contextualSpacing/>
              <w:jc w:val="right"/>
              <w:rPr>
                <w:rFonts w:ascii="Arial" w:hAnsi="Arial" w:cs="Arial"/>
              </w:rPr>
            </w:pPr>
            <w:r w:rsidRPr="002605A9">
              <w:rPr>
                <w:rFonts w:ascii="Arial" w:hAnsi="Arial" w:cs="Arial"/>
              </w:rPr>
              <w:t>Renal failure</w:t>
            </w:r>
          </w:p>
        </w:tc>
        <w:tc>
          <w:tcPr>
            <w:tcW w:w="4675" w:type="dxa"/>
          </w:tcPr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107,374 (19.6)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159,196 (29.1)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210,402 (38.4)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54,409 (9.9)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239,134 (43.6)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78,020 (14.2)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18,877 (3.4)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72,346 (13.2)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16,559 (3.1)</w:t>
            </w: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114,750 (20.9)</w:t>
            </w:r>
          </w:p>
          <w:p w:rsidR="00602EBA" w:rsidRPr="00D1639D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145,925 (26.6)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Immunosuppressed, n (%)</w:t>
            </w:r>
            <w:r w:rsidRPr="002605A9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675" w:type="dxa"/>
          </w:tcPr>
          <w:p w:rsidR="00602EBA" w:rsidRPr="00D1639D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61,329 (11.2)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Admitting service, n (%)</w:t>
            </w:r>
          </w:p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</w:p>
          <w:p w:rsidR="00602EBA" w:rsidRDefault="00602EBA" w:rsidP="00B31E18">
            <w:pPr>
              <w:contextualSpacing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Medicine</w:t>
            </w:r>
          </w:p>
          <w:p w:rsidR="00602EBA" w:rsidRDefault="00602EBA" w:rsidP="00B31E18">
            <w:pPr>
              <w:contextualSpacing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Surgery</w:t>
            </w:r>
          </w:p>
        </w:tc>
        <w:tc>
          <w:tcPr>
            <w:tcW w:w="4675" w:type="dxa"/>
          </w:tcPr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</w:p>
          <w:p w:rsidR="00602EBA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434,304 (79.2)</w:t>
            </w:r>
          </w:p>
          <w:p w:rsidR="00602EBA" w:rsidRPr="00D1639D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114,172 (20.8)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ICU stay, n (%)</w:t>
            </w:r>
          </w:p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</w:tcPr>
          <w:p w:rsidR="00602EBA" w:rsidRPr="00D1639D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85,993 (15.7)</w:t>
            </w:r>
          </w:p>
        </w:tc>
      </w:tr>
      <w:tr w:rsidR="00602EBA" w:rsidTr="00B31E18">
        <w:tc>
          <w:tcPr>
            <w:tcW w:w="4675" w:type="dxa"/>
          </w:tcPr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Days-present per admission, median (IQR)</w:t>
            </w:r>
          </w:p>
          <w:p w:rsidR="00602EBA" w:rsidRDefault="00602EBA" w:rsidP="00B31E1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</w:tcPr>
          <w:p w:rsidR="00602EBA" w:rsidRPr="00D1639D" w:rsidRDefault="00602EBA" w:rsidP="00B31E1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(2-6)</w:t>
            </w:r>
          </w:p>
        </w:tc>
      </w:tr>
    </w:tbl>
    <w:p w:rsidR="00602EBA" w:rsidRPr="009A5E7A" w:rsidRDefault="00602EBA" w:rsidP="00602EB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9A5E7A">
        <w:rPr>
          <w:rFonts w:ascii="Arial" w:hAnsi="Arial" w:cs="Arial"/>
          <w:sz w:val="20"/>
          <w:szCs w:val="20"/>
        </w:rPr>
        <w:t xml:space="preserve">Abbreviations: APACHE Acute Physiology and Chronic Health Evaluation; COPD chronic obstructive pulmonary disease; CHF congestive heart failure; ICU intensive care unit; IQR interquartile range; </w:t>
      </w:r>
      <w:r w:rsidRPr="009A5E7A">
        <w:rPr>
          <w:rFonts w:ascii="Arial" w:hAnsi="Arial" w:cs="Arial"/>
          <w:bCs/>
          <w:sz w:val="20"/>
          <w:szCs w:val="20"/>
        </w:rPr>
        <w:t xml:space="preserve">MRSA methicillin-resistant </w:t>
      </w:r>
      <w:r w:rsidRPr="009A5E7A">
        <w:rPr>
          <w:rFonts w:ascii="Arial" w:hAnsi="Arial" w:cs="Arial"/>
          <w:bCs/>
          <w:i/>
          <w:iCs/>
          <w:sz w:val="20"/>
          <w:szCs w:val="20"/>
        </w:rPr>
        <w:t>Staphylococcus aureus</w:t>
      </w:r>
      <w:r w:rsidRPr="009A5E7A">
        <w:rPr>
          <w:rFonts w:ascii="Arial" w:hAnsi="Arial" w:cs="Arial"/>
          <w:sz w:val="20"/>
          <w:szCs w:val="20"/>
        </w:rPr>
        <w:t>; PVD peripheral vascular disease</w:t>
      </w:r>
    </w:p>
    <w:p w:rsidR="00602EBA" w:rsidRPr="009A5E7A" w:rsidRDefault="00602EBA" w:rsidP="00602EB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A5E7A">
        <w:rPr>
          <w:sz w:val="20"/>
          <w:szCs w:val="20"/>
        </w:rPr>
        <w:t>If the gender value was missing, it was classified as male.</w:t>
      </w:r>
    </w:p>
    <w:p w:rsidR="00602EBA" w:rsidRPr="009A5E7A" w:rsidRDefault="00602EBA" w:rsidP="00602E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A5E7A">
        <w:rPr>
          <w:sz w:val="20"/>
          <w:szCs w:val="20"/>
        </w:rPr>
        <w:t>The modified APACHE score does not include comorbidities, as these were adjusted for separately.</w:t>
      </w:r>
    </w:p>
    <w:p w:rsidR="00602EBA" w:rsidRPr="009A5E7A" w:rsidRDefault="00602EBA" w:rsidP="00602E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A5E7A">
        <w:rPr>
          <w:sz w:val="20"/>
          <w:szCs w:val="20"/>
        </w:rPr>
        <w:t>The immunosuppressed category includes either having a diagnosis of lymphoma, leukemia, HIV/AIDs, or organ transplantation during the 12 months prior to admissions OR receipt of an immunosuppressive medication, which was defined as follows: prednisone or steroid equivalent at a dose ≥20 mg/day during the 30 days prior to admission, chemotherapy within the 30 days prior to admission, or an anti-rejection medication, biologic agent or a disease-modifying anti-rheumatic drug (DMARD) within the 3 month prior to admission</w:t>
      </w:r>
    </w:p>
    <w:p w:rsidR="00B46C2F" w:rsidRDefault="00B46C2F"/>
    <w:sectPr w:rsidR="00B46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751C9"/>
    <w:multiLevelType w:val="hybridMultilevel"/>
    <w:tmpl w:val="6F6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BA"/>
    <w:rsid w:val="00602EBA"/>
    <w:rsid w:val="00B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54B8"/>
  <w15:chartTrackingRefBased/>
  <w15:docId w15:val="{3FC82DDF-13D9-497F-83BF-10BBBB90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2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BA"/>
    <w:pPr>
      <w:ind w:left="720"/>
      <w:contextualSpacing/>
    </w:pPr>
  </w:style>
  <w:style w:type="table" w:styleId="TableGrid">
    <w:name w:val="Table Grid"/>
    <w:basedOn w:val="TableNormal"/>
    <w:uiPriority w:val="39"/>
    <w:rsid w:val="0060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Livorsi, Daniel J.</dc:creator>
  <cp:keywords/>
  <dc:description/>
  <cp:lastModifiedBy>Livorsi, Daniel J.</cp:lastModifiedBy>
  <cp:revision>1</cp:revision>
  <dcterms:created xsi:type="dcterms:W3CDTF">2020-06-12T19:56:00Z</dcterms:created>
  <dcterms:modified xsi:type="dcterms:W3CDTF">2020-06-12T19:56:00Z</dcterms:modified>
</cp:coreProperties>
</file>