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4C6A" w14:textId="77777777" w:rsidR="00BC391C" w:rsidRDefault="00BC391C" w:rsidP="00BC391C">
      <w:pPr>
        <w:pStyle w:val="Heading1"/>
      </w:pPr>
      <w:r>
        <w:t xml:space="preserve">Practical Suggestions for Evaluation of Nursing Home Residents with Non-Localizing Signs or Symptoms </w:t>
      </w:r>
    </w:p>
    <w:p w14:paraId="36E915A9" w14:textId="77777777" w:rsidR="00BC391C" w:rsidRDefault="00BC391C" w:rsidP="00BC391C">
      <w:pPr>
        <w:rPr>
          <w:i/>
          <w:iCs/>
        </w:rPr>
      </w:pPr>
      <w:r w:rsidRPr="00C23865">
        <w:rPr>
          <w:i/>
          <w:iCs/>
        </w:rPr>
        <w:t>These tables provide suggestions regarding</w:t>
      </w:r>
      <w:r>
        <w:rPr>
          <w:i/>
          <w:iCs/>
        </w:rPr>
        <w:t xml:space="preserve"> the components for evaluation for infection</w:t>
      </w:r>
      <w:r w:rsidRPr="00C23865">
        <w:rPr>
          <w:i/>
          <w:iCs/>
        </w:rPr>
        <w:t xml:space="preserve"> </w:t>
      </w:r>
      <w:r>
        <w:rPr>
          <w:i/>
          <w:iCs/>
        </w:rPr>
        <w:t>in nursing home residents</w:t>
      </w:r>
      <w:r w:rsidRPr="00C23865">
        <w:rPr>
          <w:i/>
          <w:iCs/>
        </w:rPr>
        <w:t xml:space="preserve"> </w:t>
      </w:r>
      <w:r>
        <w:rPr>
          <w:i/>
          <w:iCs/>
        </w:rPr>
        <w:t>with</w:t>
      </w:r>
      <w:r w:rsidRPr="00C23865">
        <w:rPr>
          <w:i/>
          <w:iCs/>
        </w:rPr>
        <w:t xml:space="preserve"> non-localizing sign</w:t>
      </w:r>
      <w:r>
        <w:rPr>
          <w:i/>
          <w:iCs/>
        </w:rPr>
        <w:t>s</w:t>
      </w:r>
      <w:r w:rsidRPr="00C23865">
        <w:rPr>
          <w:i/>
          <w:iCs/>
        </w:rPr>
        <w:t xml:space="preserve"> or symptom</w:t>
      </w:r>
      <w:r>
        <w:rPr>
          <w:i/>
          <w:iCs/>
        </w:rPr>
        <w:t>s.</w:t>
      </w:r>
    </w:p>
    <w:p w14:paraId="26F0B702" w14:textId="77777777" w:rsidR="00BC391C" w:rsidRPr="00C23865" w:rsidRDefault="00BC391C" w:rsidP="00BC391C">
      <w:pPr>
        <w:rPr>
          <w:i/>
          <w:iCs/>
        </w:rPr>
      </w:pPr>
      <w:r>
        <w:rPr>
          <w:i/>
          <w:iCs/>
        </w:rPr>
        <w:t>The tables were created</w:t>
      </w:r>
      <w:r w:rsidRPr="00C23865">
        <w:rPr>
          <w:i/>
          <w:iCs/>
        </w:rPr>
        <w:t xml:space="preserve"> to help </w:t>
      </w:r>
      <w:r>
        <w:rPr>
          <w:i/>
          <w:iCs/>
        </w:rPr>
        <w:t xml:space="preserve">clinicians implement </w:t>
      </w:r>
      <w:r w:rsidRPr="00C23865">
        <w:rPr>
          <w:i/>
          <w:iCs/>
        </w:rPr>
        <w:t>the</w:t>
      </w:r>
      <w:r>
        <w:rPr>
          <w:i/>
          <w:iCs/>
        </w:rPr>
        <w:t xml:space="preserve"> expert guidance document’s recommendations; </w:t>
      </w:r>
      <w:r w:rsidRPr="00EA2AEB">
        <w:rPr>
          <w:b/>
          <w:bCs/>
          <w:i/>
          <w:iCs/>
        </w:rPr>
        <w:t>however, some of the content in these tables exceeds the scope set for the expert guidance and this document therefore is not endorsed by SHEA</w:t>
      </w:r>
      <w:r>
        <w:rPr>
          <w:i/>
          <w:iCs/>
        </w:rPr>
        <w:t xml:space="preserve">. </w:t>
      </w:r>
    </w:p>
    <w:p w14:paraId="7BA98D8E" w14:textId="77777777" w:rsidR="00BC391C" w:rsidRPr="00C23865" w:rsidRDefault="00BC391C" w:rsidP="00BC391C">
      <w:pPr>
        <w:spacing w:after="0" w:line="480" w:lineRule="auto"/>
        <w:rPr>
          <w:i/>
          <w:iCs/>
        </w:rPr>
      </w:pPr>
      <w:r w:rsidRPr="00C23865">
        <w:rPr>
          <w:i/>
          <w:iCs/>
        </w:rPr>
        <w:t xml:space="preserve">This is not meant to be a substitute for individual clinical judgment by qualified professionals. </w:t>
      </w:r>
    </w:p>
    <w:tbl>
      <w:tblPr>
        <w:tblStyle w:val="TableGrid"/>
        <w:tblW w:w="4932" w:type="pct"/>
        <w:tblLook w:val="04A0" w:firstRow="1" w:lastRow="0" w:firstColumn="1" w:lastColumn="0" w:noHBand="0" w:noVBand="1"/>
      </w:tblPr>
      <w:tblGrid>
        <w:gridCol w:w="2425"/>
        <w:gridCol w:w="2432"/>
        <w:gridCol w:w="2879"/>
        <w:gridCol w:w="2642"/>
        <w:gridCol w:w="2396"/>
      </w:tblGrid>
      <w:tr w:rsidR="00BC391C" w:rsidRPr="00ED5E6C" w14:paraId="36FB0D89" w14:textId="77777777" w:rsidTr="00083633">
        <w:tc>
          <w:tcPr>
            <w:tcW w:w="949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32A88BE1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New-Onset Symptom, Presenting in Isolation</w:t>
            </w:r>
          </w:p>
        </w:tc>
        <w:tc>
          <w:tcPr>
            <w:tcW w:w="952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070B03FE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Evaluate Further for Infection?</w:t>
            </w:r>
          </w:p>
        </w:tc>
        <w:tc>
          <w:tcPr>
            <w:tcW w:w="1127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4CA4E52A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 xml:space="preserve">Potential Non-Infectious Causes </w:t>
            </w: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6CF85771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Next Steps and/or Active Monitoring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0E3F8C6E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Components of Evaluation for Infection</w:t>
            </w:r>
          </w:p>
        </w:tc>
      </w:tr>
      <w:tr w:rsidR="00BC391C" w14:paraId="1F01AF6D" w14:textId="77777777" w:rsidTr="00083633">
        <w:tc>
          <w:tcPr>
            <w:tcW w:w="94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4315BD" w14:textId="77777777" w:rsidR="00BC391C" w:rsidRDefault="00BC391C" w:rsidP="00083633">
            <w:r>
              <w:t>Fever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CCC1" w14:textId="77777777" w:rsidR="00BC391C" w:rsidRPr="00444FFC" w:rsidRDefault="00BC391C" w:rsidP="00083633">
            <w:pPr>
              <w:rPr>
                <w:b/>
                <w:bCs/>
              </w:rPr>
            </w:pPr>
            <w:r w:rsidRPr="00444FFC">
              <w:rPr>
                <w:b/>
                <w:bCs/>
              </w:rPr>
              <w:t>Yes</w:t>
            </w:r>
          </w:p>
        </w:tc>
        <w:tc>
          <w:tcPr>
            <w:tcW w:w="112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BA78" w14:textId="77777777" w:rsidR="00BC391C" w:rsidRDefault="00BC391C" w:rsidP="00083633">
            <w:pPr>
              <w:numPr>
                <w:ilvl w:val="0"/>
                <w:numId w:val="1"/>
              </w:numPr>
              <w:spacing w:after="0" w:line="240" w:lineRule="auto"/>
            </w:pPr>
            <w:r>
              <w:t>High environmental temperature, including clothing/blankets</w:t>
            </w:r>
          </w:p>
          <w:p w14:paraId="647A4377" w14:textId="77777777" w:rsidR="00BC391C" w:rsidRDefault="00BC391C" w:rsidP="00083633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Medications that trigger febrile episode (e.g. selective serotonin reuptake inhibitors) 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1D13" w14:textId="77777777" w:rsidR="00BC391C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5442">
              <w:rPr>
                <w:rFonts w:asciiTheme="minorHAnsi" w:hAnsiTheme="minorHAnsi" w:cstheme="minorHAnsi"/>
                <w:sz w:val="22"/>
                <w:szCs w:val="22"/>
              </w:rPr>
              <w:t xml:space="preserve">Take temperature again using the same method </w:t>
            </w:r>
          </w:p>
          <w:p w14:paraId="2B172A82" w14:textId="77777777" w:rsidR="00BC391C" w:rsidRPr="004D5442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indiscriminate diagnostic testing</w:t>
            </w:r>
          </w:p>
          <w:p w14:paraId="32C69771" w14:textId="77777777" w:rsidR="00BC391C" w:rsidRPr="007F7526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5442">
              <w:rPr>
                <w:rFonts w:asciiTheme="minorHAnsi" w:hAnsiTheme="minorHAnsi" w:cstheme="minorHAnsi"/>
                <w:sz w:val="22"/>
                <w:szCs w:val="22"/>
              </w:rPr>
              <w:t>Offer increased hydration and, when possible, antipyretics</w:t>
            </w:r>
          </w:p>
        </w:tc>
        <w:tc>
          <w:tcPr>
            <w:tcW w:w="93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AC9834" w14:textId="77777777" w:rsidR="00BC391C" w:rsidRPr="004D5442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5442">
              <w:rPr>
                <w:rFonts w:asciiTheme="minorHAnsi" w:hAnsiTheme="minorHAnsi" w:cstheme="minorHAnsi"/>
                <w:sz w:val="22"/>
                <w:szCs w:val="22"/>
              </w:rPr>
              <w:t>Complete blood count (CBC) and differential</w:t>
            </w:r>
          </w:p>
          <w:p w14:paraId="0357C7AE" w14:textId="77777777" w:rsidR="00BC391C" w:rsidRPr="004D5442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5442">
              <w:rPr>
                <w:rFonts w:asciiTheme="minorHAnsi" w:hAnsiTheme="minorHAnsi" w:cstheme="minorHAnsi"/>
                <w:sz w:val="22"/>
                <w:szCs w:val="22"/>
              </w:rPr>
              <w:t>Diagnostic testing based on whether resident has additional signs and symptoms that support a diagnosis at a particular anatomic location (e.g. urine, blood, and chest images)</w:t>
            </w:r>
          </w:p>
          <w:p w14:paraId="599407F2" w14:textId="77777777" w:rsidR="00BC391C" w:rsidRPr="004D5442" w:rsidRDefault="00BC391C" w:rsidP="0008363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5442">
              <w:rPr>
                <w:rFonts w:asciiTheme="minorHAnsi" w:hAnsiTheme="minorHAnsi" w:cstheme="minorHAnsi"/>
                <w:sz w:val="22"/>
                <w:szCs w:val="22"/>
              </w:rPr>
              <w:t>Broader diagnostic evaluation in residents with isolated fever, and particularly those with advanced dementia</w:t>
            </w:r>
          </w:p>
        </w:tc>
      </w:tr>
      <w:tr w:rsidR="00BC391C" w14:paraId="6D0766B2" w14:textId="77777777" w:rsidTr="00083633">
        <w:tc>
          <w:tcPr>
            <w:tcW w:w="94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B39A47" w14:textId="77777777" w:rsidR="00BC391C" w:rsidRDefault="00BC391C" w:rsidP="00083633">
            <w:r>
              <w:lastRenderedPageBreak/>
              <w:t>Hypothermia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59AD" w14:textId="77777777" w:rsidR="00BC391C" w:rsidRPr="00444FFC" w:rsidRDefault="00BC391C" w:rsidP="00083633">
            <w:pPr>
              <w:rPr>
                <w:b/>
                <w:bCs/>
              </w:rPr>
            </w:pPr>
            <w:r w:rsidRPr="00444FFC">
              <w:rPr>
                <w:b/>
                <w:bCs/>
              </w:rPr>
              <w:t>Yes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316B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Low environmental temperature</w:t>
            </w:r>
          </w:p>
          <w:p w14:paraId="7A1F9B2D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Diabetes</w:t>
            </w:r>
          </w:p>
          <w:p w14:paraId="29910E3A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Hypothyroidism</w:t>
            </w:r>
          </w:p>
          <w:p w14:paraId="3CDB8ABB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Head injury</w:t>
            </w:r>
          </w:p>
          <w:p w14:paraId="4D660299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Drug ingestions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7E792D" w14:textId="77777777" w:rsidR="00BC391C" w:rsidRDefault="00BC391C" w:rsidP="00083633">
            <w:r>
              <w:t>Take temperature again using the same method within several hours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FBAC22" w14:textId="77777777" w:rsidR="00BC391C" w:rsidRDefault="00BC391C" w:rsidP="00083633">
            <w:r>
              <w:t xml:space="preserve">Sepsis is a commonly identified trigger of hypothermia. Clinicians should perform a diagnostic evaluation to identify the cause of hypothermia. </w:t>
            </w:r>
          </w:p>
        </w:tc>
      </w:tr>
      <w:tr w:rsidR="00BC391C" w14:paraId="46BA4FEE" w14:textId="77777777" w:rsidTr="00083633">
        <w:tc>
          <w:tcPr>
            <w:tcW w:w="94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FBAC68" w14:textId="77777777" w:rsidR="00BC391C" w:rsidRDefault="00BC391C" w:rsidP="00083633">
            <w:r>
              <w:t>Hypotension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E16F" w14:textId="77777777" w:rsidR="00BC391C" w:rsidRPr="00444FFC" w:rsidRDefault="00BC391C" w:rsidP="00083633">
            <w:pPr>
              <w:rPr>
                <w:b/>
                <w:bCs/>
              </w:rPr>
            </w:pPr>
            <w:r w:rsidRPr="00444FFC">
              <w:rPr>
                <w:b/>
                <w:bCs/>
              </w:rPr>
              <w:t>Yes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21606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Post-prandial orthostatic hypotension</w:t>
            </w:r>
          </w:p>
          <w:p w14:paraId="5D13AE95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Medication-induced orthostatic hypotension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D7221" w14:textId="77777777" w:rsidR="00BC391C" w:rsidRDefault="00BC391C" w:rsidP="00083633">
            <w:r>
              <w:t xml:space="preserve">Assess if hypotension may be post-prandial or medication-induced 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B03A53" w14:textId="77777777" w:rsidR="00BC391C" w:rsidRDefault="00BC391C" w:rsidP="00083633">
            <w:r>
              <w:t>Several studies associate low-blood pressure with poor outcomes. Clinicians should perform a diagnostic evaluation to identify the cause of hypotension.</w:t>
            </w:r>
          </w:p>
        </w:tc>
      </w:tr>
      <w:tr w:rsidR="00BC391C" w14:paraId="069D7404" w14:textId="77777777" w:rsidTr="00083633">
        <w:tc>
          <w:tcPr>
            <w:tcW w:w="94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9925C4" w14:textId="77777777" w:rsidR="00BC391C" w:rsidRDefault="00BC391C" w:rsidP="00083633">
            <w:r>
              <w:t>Hyperglycemia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B4E8" w14:textId="77777777" w:rsidR="00BC391C" w:rsidRPr="00444FFC" w:rsidRDefault="00BC391C" w:rsidP="00083633">
            <w:pPr>
              <w:rPr>
                <w:b/>
                <w:bCs/>
              </w:rPr>
            </w:pPr>
            <w:r w:rsidRPr="00444FFC">
              <w:rPr>
                <w:b/>
                <w:bCs/>
              </w:rPr>
              <w:t>Yes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B06EA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Changes to medication </w:t>
            </w:r>
          </w:p>
          <w:p w14:paraId="7D1528A7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Changes to diet </w:t>
            </w:r>
          </w:p>
          <w:p w14:paraId="2FC5935E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Baseline pattern of glycemic control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34B00" w14:textId="77777777" w:rsidR="00BC391C" w:rsidRDefault="00BC391C" w:rsidP="00083633">
            <w:r>
              <w:t>Individualized approach to assess whether hyperglycemia is abnormal, including assessing medication regimen, recent dietary patterns, and baseline pattern of glycemic control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510E45" w14:textId="77777777" w:rsidR="00BC391C" w:rsidRDefault="00BC391C" w:rsidP="00083633">
            <w:r>
              <w:t>Because a relationship exists between physiological stress and hyperglycemia in patients with known diabetes and critically ill patients with relative underlying insulin-resistance, evaluate for infection if non-infectious causes are not otherwise explained by medication and diet</w:t>
            </w:r>
          </w:p>
        </w:tc>
      </w:tr>
      <w:tr w:rsidR="00BC391C" w14:paraId="07ACDA2D" w14:textId="77777777" w:rsidTr="00083633">
        <w:tc>
          <w:tcPr>
            <w:tcW w:w="9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78762C" w14:textId="77777777" w:rsidR="00BC391C" w:rsidRDefault="00BC391C" w:rsidP="00083633">
            <w:r>
              <w:lastRenderedPageBreak/>
              <w:t>Delirium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5A6314" w14:textId="77777777" w:rsidR="00BC391C" w:rsidRPr="00444FFC" w:rsidRDefault="00BC391C" w:rsidP="00083633">
            <w:pPr>
              <w:rPr>
                <w:b/>
                <w:bCs/>
              </w:rPr>
            </w:pPr>
            <w:r w:rsidRPr="00444FFC">
              <w:rPr>
                <w:b/>
                <w:bCs/>
              </w:rPr>
              <w:t>Yes</w:t>
            </w:r>
          </w:p>
        </w:tc>
        <w:tc>
          <w:tcPr>
            <w:tcW w:w="112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97E216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Medications</w:t>
            </w:r>
          </w:p>
          <w:p w14:paraId="78C94E70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Metabolic disorders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DD326D5" w14:textId="77777777" w:rsidR="00BC391C" w:rsidRDefault="00BC391C" w:rsidP="00083633">
            <w:pPr>
              <w:spacing w:after="0" w:line="240" w:lineRule="auto"/>
            </w:pPr>
            <w:r>
              <w:t>Not applicable to delirium identified by CAM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594DF" w14:textId="77777777" w:rsidR="00BC391C" w:rsidRDefault="00BC391C" w:rsidP="00083633">
            <w:r>
              <w:t>Residents who develop delirium have higher risk of loss of functional status, hospitalization, and death; therefore, evaluate for infection especially if another trigger for delirium is not readily identified</w:t>
            </w:r>
          </w:p>
        </w:tc>
      </w:tr>
      <w:tr w:rsidR="00BC391C" w:rsidRPr="00ED5E6C" w14:paraId="385C6C1D" w14:textId="77777777" w:rsidTr="00083633">
        <w:tc>
          <w:tcPr>
            <w:tcW w:w="949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0D3A9571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New-Onset Symptom, Presenting in Isolation</w:t>
            </w:r>
          </w:p>
        </w:tc>
        <w:tc>
          <w:tcPr>
            <w:tcW w:w="952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1B83C028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Evaluate Further for Infection?</w:t>
            </w:r>
          </w:p>
        </w:tc>
        <w:tc>
          <w:tcPr>
            <w:tcW w:w="1127" w:type="pct"/>
            <w:tcBorders>
              <w:bottom w:val="single" w:sz="12" w:space="0" w:color="auto"/>
            </w:tcBorders>
            <w:shd w:val="clear" w:color="auto" w:fill="4472C4" w:themeFill="accent1"/>
          </w:tcPr>
          <w:p w14:paraId="286F8989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 xml:space="preserve">Potential Non-Infectious Causes (not exhaustive) </w:t>
            </w:r>
          </w:p>
        </w:tc>
        <w:tc>
          <w:tcPr>
            <w:tcW w:w="1972" w:type="pct"/>
            <w:gridSpan w:val="2"/>
            <w:tcBorders>
              <w:bottom w:val="single" w:sz="12" w:space="0" w:color="auto"/>
            </w:tcBorders>
            <w:shd w:val="clear" w:color="auto" w:fill="4472C4" w:themeFill="accent1"/>
          </w:tcPr>
          <w:p w14:paraId="59FC1FCA" w14:textId="77777777" w:rsidR="00BC391C" w:rsidRPr="00ED5E6C" w:rsidRDefault="00BC391C" w:rsidP="00083633">
            <w:pPr>
              <w:rPr>
                <w:b/>
                <w:bCs/>
                <w:color w:val="FFFFFF" w:themeColor="background1"/>
              </w:rPr>
            </w:pPr>
            <w:r w:rsidRPr="00ED5E6C">
              <w:rPr>
                <w:b/>
                <w:bCs/>
                <w:color w:val="FFFFFF" w:themeColor="background1"/>
              </w:rPr>
              <w:t>Next Steps and/or Active Monitoring</w:t>
            </w:r>
          </w:p>
        </w:tc>
      </w:tr>
      <w:tr w:rsidR="00BC391C" w14:paraId="4568FE81" w14:textId="77777777" w:rsidTr="00083633">
        <w:tc>
          <w:tcPr>
            <w:tcW w:w="949" w:type="pct"/>
            <w:tcBorders>
              <w:top w:val="single" w:sz="12" w:space="0" w:color="auto"/>
              <w:left w:val="single" w:sz="12" w:space="0" w:color="auto"/>
            </w:tcBorders>
          </w:tcPr>
          <w:p w14:paraId="4CAC654F" w14:textId="77777777" w:rsidR="00BC391C" w:rsidRDefault="00BC391C" w:rsidP="00083633">
            <w:r>
              <w:t>Behavior Changes Exclusive of Delirium</w:t>
            </w:r>
          </w:p>
        </w:tc>
        <w:tc>
          <w:tcPr>
            <w:tcW w:w="952" w:type="pct"/>
            <w:tcBorders>
              <w:top w:val="single" w:sz="12" w:space="0" w:color="auto"/>
            </w:tcBorders>
          </w:tcPr>
          <w:p w14:paraId="0CB75A33" w14:textId="77777777" w:rsidR="00BC391C" w:rsidRDefault="00BC391C" w:rsidP="00083633">
            <w:r>
              <w:t>No</w:t>
            </w:r>
          </w:p>
        </w:tc>
        <w:tc>
          <w:tcPr>
            <w:tcW w:w="1127" w:type="pct"/>
            <w:tcBorders>
              <w:top w:val="single" w:sz="12" w:space="0" w:color="auto"/>
            </w:tcBorders>
            <w:shd w:val="clear" w:color="auto" w:fill="auto"/>
          </w:tcPr>
          <w:p w14:paraId="710C097A" w14:textId="77777777" w:rsidR="00BC391C" w:rsidRDefault="00BC391C" w:rsidP="00083633">
            <w:r>
              <w:t xml:space="preserve">Numerous possible infectious and non-infectious causes for myriad potential manifestations, e.g. </w:t>
            </w:r>
            <w:r w:rsidRPr="00BC43B9">
              <w:t>functional decline, loss of appetite, “not being one’s self</w:t>
            </w:r>
            <w:r>
              <w:t>,</w:t>
            </w:r>
            <w:r w:rsidRPr="00BC43B9">
              <w:t>” agitation, weight loss, weakness, lethargy,</w:t>
            </w:r>
            <w:r>
              <w:t xml:space="preserve"> </w:t>
            </w:r>
            <w:r w:rsidRPr="00BC43B9">
              <w:t xml:space="preserve">apathy, </w:t>
            </w:r>
            <w:r>
              <w:t>etc.</w:t>
            </w:r>
          </w:p>
          <w:p w14:paraId="75D47AF0" w14:textId="77777777" w:rsidR="00BC391C" w:rsidRDefault="00BC391C" w:rsidP="00083633">
            <w:r>
              <w:t xml:space="preserve">A change in behavior in and of itself is not specific enough to trigger a work-up for infection. </w:t>
            </w:r>
          </w:p>
        </w:tc>
        <w:tc>
          <w:tcPr>
            <w:tcW w:w="1972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37D3F7F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CAM to rule out delirium </w:t>
            </w:r>
          </w:p>
          <w:p w14:paraId="26F9E426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Active monitoring for hemodynamically stable patients </w:t>
            </w:r>
          </w:p>
          <w:p w14:paraId="5BB246C4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Attempt hydration</w:t>
            </w:r>
          </w:p>
          <w:p w14:paraId="6151B98C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Evaluate medications for possible interactions or adverse effects</w:t>
            </w:r>
          </w:p>
          <w:p w14:paraId="174822BA" w14:textId="77777777" w:rsidR="00BC391C" w:rsidRDefault="00BC391C" w:rsidP="00083633">
            <w:pPr>
              <w:numPr>
                <w:ilvl w:val="0"/>
                <w:numId w:val="2"/>
              </w:numPr>
              <w:spacing w:after="0" w:line="240" w:lineRule="auto"/>
            </w:pPr>
            <w:r>
              <w:t>Further evaluation if additional, more specific signs and symptoms develop</w:t>
            </w:r>
          </w:p>
        </w:tc>
      </w:tr>
      <w:tr w:rsidR="00BC391C" w14:paraId="70CAD267" w14:textId="77777777" w:rsidTr="00083633">
        <w:tc>
          <w:tcPr>
            <w:tcW w:w="949" w:type="pct"/>
            <w:tcBorders>
              <w:left w:val="single" w:sz="12" w:space="0" w:color="auto"/>
            </w:tcBorders>
          </w:tcPr>
          <w:p w14:paraId="67F878E5" w14:textId="77777777" w:rsidR="00BC391C" w:rsidRDefault="00BC391C" w:rsidP="00083633">
            <w:r>
              <w:t>Functional Decline</w:t>
            </w:r>
          </w:p>
        </w:tc>
        <w:tc>
          <w:tcPr>
            <w:tcW w:w="952" w:type="pct"/>
          </w:tcPr>
          <w:p w14:paraId="4242E7D2" w14:textId="77777777" w:rsidR="00BC391C" w:rsidRDefault="00BC391C" w:rsidP="00083633">
            <w:r>
              <w:t>No</w:t>
            </w:r>
          </w:p>
        </w:tc>
        <w:tc>
          <w:tcPr>
            <w:tcW w:w="1127" w:type="pct"/>
            <w:shd w:val="clear" w:color="auto" w:fill="auto"/>
          </w:tcPr>
          <w:p w14:paraId="1BC43C15" w14:textId="77777777" w:rsidR="00BC391C" w:rsidRDefault="00BC391C" w:rsidP="00083633">
            <w:r>
              <w:t xml:space="preserve">Decline in activities of daily living (ADLs) can be both risk </w:t>
            </w:r>
            <w:r>
              <w:lastRenderedPageBreak/>
              <w:t xml:space="preserve">factors and consequences of infection. </w:t>
            </w:r>
          </w:p>
          <w:p w14:paraId="5241AE78" w14:textId="77777777" w:rsidR="00BC391C" w:rsidRDefault="00BC391C" w:rsidP="00083633">
            <w:r>
              <w:t xml:space="preserve">Non-infectious reasons for functional decline include stroke, hip fracture, and congestive heart failure. </w:t>
            </w:r>
          </w:p>
        </w:tc>
        <w:tc>
          <w:tcPr>
            <w:tcW w:w="1972" w:type="pct"/>
            <w:gridSpan w:val="2"/>
            <w:shd w:val="clear" w:color="auto" w:fill="auto"/>
          </w:tcPr>
          <w:p w14:paraId="3CCF1E51" w14:textId="77777777" w:rsidR="00BC391C" w:rsidRDefault="00BC391C" w:rsidP="00083633">
            <w:r>
              <w:lastRenderedPageBreak/>
              <w:t>Actively monitor residents with abrupt functional decline</w:t>
            </w:r>
          </w:p>
        </w:tc>
      </w:tr>
      <w:tr w:rsidR="00BC391C" w14:paraId="24026E81" w14:textId="77777777" w:rsidTr="00083633">
        <w:tc>
          <w:tcPr>
            <w:tcW w:w="949" w:type="pct"/>
            <w:tcBorders>
              <w:left w:val="single" w:sz="12" w:space="0" w:color="auto"/>
            </w:tcBorders>
          </w:tcPr>
          <w:p w14:paraId="2FF6B679" w14:textId="77777777" w:rsidR="00BC391C" w:rsidRDefault="00BC391C" w:rsidP="00083633">
            <w:r>
              <w:t>Falls</w:t>
            </w:r>
          </w:p>
        </w:tc>
        <w:tc>
          <w:tcPr>
            <w:tcW w:w="952" w:type="pct"/>
          </w:tcPr>
          <w:p w14:paraId="26C31FF1" w14:textId="77777777" w:rsidR="00BC391C" w:rsidRDefault="00BC391C" w:rsidP="00083633">
            <w:r>
              <w:t>No</w:t>
            </w:r>
          </w:p>
        </w:tc>
        <w:tc>
          <w:tcPr>
            <w:tcW w:w="1127" w:type="pct"/>
            <w:shd w:val="clear" w:color="auto" w:fill="auto"/>
          </w:tcPr>
          <w:p w14:paraId="26AD2E2E" w14:textId="77777777" w:rsidR="00BC391C" w:rsidRDefault="00BC391C" w:rsidP="00083633">
            <w:r>
              <w:t xml:space="preserve">Insufficient evidence exists to link infectious conditions, e.g. pneumonia, to falls. </w:t>
            </w:r>
          </w:p>
          <w:p w14:paraId="5CD15514" w14:textId="77777777" w:rsidR="00BC391C" w:rsidRDefault="00BC391C" w:rsidP="00083633">
            <w:r>
              <w:t xml:space="preserve">Patients cultured for UTI following a fall are as likely to have positive urine as those who did not experience a fall. </w:t>
            </w:r>
          </w:p>
        </w:tc>
        <w:tc>
          <w:tcPr>
            <w:tcW w:w="1972" w:type="pct"/>
            <w:gridSpan w:val="2"/>
            <w:shd w:val="clear" w:color="auto" w:fill="auto"/>
          </w:tcPr>
          <w:p w14:paraId="65B9CD36" w14:textId="77777777" w:rsidR="00BC391C" w:rsidRDefault="00BC391C" w:rsidP="00083633">
            <w:r>
              <w:t>Not applicable</w:t>
            </w:r>
          </w:p>
        </w:tc>
      </w:tr>
      <w:tr w:rsidR="00BC391C" w14:paraId="4FDE8C45" w14:textId="77777777" w:rsidTr="00083633">
        <w:tc>
          <w:tcPr>
            <w:tcW w:w="949" w:type="pct"/>
            <w:tcBorders>
              <w:left w:val="single" w:sz="12" w:space="0" w:color="auto"/>
              <w:bottom w:val="single" w:sz="12" w:space="0" w:color="auto"/>
            </w:tcBorders>
          </w:tcPr>
          <w:p w14:paraId="0C561532" w14:textId="77777777" w:rsidR="00BC391C" w:rsidRDefault="00BC391C" w:rsidP="00083633">
            <w:r>
              <w:t>Anorexia</w:t>
            </w:r>
          </w:p>
        </w:tc>
        <w:tc>
          <w:tcPr>
            <w:tcW w:w="952" w:type="pct"/>
            <w:tcBorders>
              <w:bottom w:val="single" w:sz="12" w:space="0" w:color="auto"/>
            </w:tcBorders>
          </w:tcPr>
          <w:p w14:paraId="5D77D9D5" w14:textId="77777777" w:rsidR="00BC391C" w:rsidRDefault="00BC391C" w:rsidP="00083633">
            <w:r>
              <w:t>No</w:t>
            </w:r>
          </w:p>
        </w:tc>
        <w:tc>
          <w:tcPr>
            <w:tcW w:w="1127" w:type="pct"/>
            <w:tcBorders>
              <w:bottom w:val="single" w:sz="12" w:space="0" w:color="auto"/>
            </w:tcBorders>
          </w:tcPr>
          <w:p w14:paraId="59ECA2D5" w14:textId="77777777" w:rsidR="00BC391C" w:rsidRDefault="00BC391C" w:rsidP="00083633">
            <w:r>
              <w:t>Medication</w:t>
            </w:r>
          </w:p>
        </w:tc>
        <w:tc>
          <w:tcPr>
            <w:tcW w:w="1972" w:type="pct"/>
            <w:gridSpan w:val="2"/>
            <w:tcBorders>
              <w:bottom w:val="single" w:sz="12" w:space="0" w:color="auto"/>
            </w:tcBorders>
          </w:tcPr>
          <w:p w14:paraId="662FB924" w14:textId="77777777" w:rsidR="00BC391C" w:rsidRDefault="00BC391C" w:rsidP="00083633">
            <w:r>
              <w:t>Actively monitor residents with new-onset anorexia</w:t>
            </w:r>
          </w:p>
        </w:tc>
      </w:tr>
    </w:tbl>
    <w:p w14:paraId="31FCAFBA" w14:textId="77777777" w:rsidR="00656E27" w:rsidRDefault="00656E27"/>
    <w:sectPr w:rsidR="00656E27" w:rsidSect="00BC39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175EA"/>
    <w:multiLevelType w:val="hybridMultilevel"/>
    <w:tmpl w:val="7A7EB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B549E"/>
    <w:multiLevelType w:val="hybridMultilevel"/>
    <w:tmpl w:val="B35EA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C"/>
    <w:rsid w:val="00656E27"/>
    <w:rsid w:val="00BC391C"/>
    <w:rsid w:val="00E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E56B"/>
  <w15:chartTrackingRefBased/>
  <w15:docId w15:val="{67BF2DCF-22F7-4B0E-A686-A2E660EA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1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3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9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C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Deloney</dc:creator>
  <cp:keywords/>
  <dc:description/>
  <cp:lastModifiedBy>Valerie Deloney</cp:lastModifiedBy>
  <cp:revision>2</cp:revision>
  <dcterms:created xsi:type="dcterms:W3CDTF">2020-11-19T21:19:00Z</dcterms:created>
  <dcterms:modified xsi:type="dcterms:W3CDTF">2020-11-19T21:19:00Z</dcterms:modified>
</cp:coreProperties>
</file>