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6445B" w14:textId="2C0D32B7" w:rsidR="005C4139" w:rsidRPr="005C4139" w:rsidRDefault="005C4139" w:rsidP="005C4139">
      <w:pPr>
        <w:rPr>
          <w:rFonts w:ascii="Cambria" w:hAnsi="Cambria" w:cs="Times New Roman"/>
          <w:b/>
          <w:bCs/>
          <w:sz w:val="24"/>
          <w:szCs w:val="24"/>
        </w:rPr>
      </w:pPr>
      <w:r w:rsidRPr="005C4139">
        <w:rPr>
          <w:rFonts w:ascii="Cambria" w:hAnsi="Cambria" w:cs="Times New Roman"/>
          <w:b/>
          <w:bCs/>
          <w:sz w:val="24"/>
          <w:szCs w:val="24"/>
        </w:rPr>
        <w:t xml:space="preserve">Supplementary Table </w:t>
      </w:r>
      <w:r w:rsidR="000B1E43">
        <w:rPr>
          <w:rFonts w:ascii="Cambria" w:hAnsi="Cambria" w:cs="Times New Roman"/>
          <w:b/>
          <w:bCs/>
          <w:sz w:val="24"/>
          <w:szCs w:val="24"/>
        </w:rPr>
        <w:t>2</w:t>
      </w:r>
      <w:r w:rsidRPr="005C4139">
        <w:rPr>
          <w:rFonts w:ascii="Cambria" w:hAnsi="Cambria" w:cs="Times New Roman"/>
          <w:b/>
          <w:bCs/>
          <w:sz w:val="24"/>
          <w:szCs w:val="24"/>
        </w:rPr>
        <w:t>. Clinical features of symptomatic workers</w:t>
      </w:r>
    </w:p>
    <w:p w14:paraId="66F9007E" w14:textId="77777777" w:rsidR="005C4139" w:rsidRPr="005C4139" w:rsidRDefault="005C4139" w:rsidP="005C4139">
      <w:pPr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Style w:val="Tabladelista1clara"/>
        <w:tblW w:w="6965" w:type="dxa"/>
        <w:jc w:val="center"/>
        <w:tblLayout w:type="fixed"/>
        <w:tblLook w:val="04A0" w:firstRow="1" w:lastRow="0" w:firstColumn="1" w:lastColumn="0" w:noHBand="0" w:noVBand="1"/>
      </w:tblPr>
      <w:tblGrid>
        <w:gridCol w:w="1947"/>
        <w:gridCol w:w="2001"/>
        <w:gridCol w:w="2001"/>
        <w:gridCol w:w="1016"/>
      </w:tblGrid>
      <w:tr w:rsidR="005C4139" w:rsidRPr="005C4139" w14:paraId="188AA552" w14:textId="77777777" w:rsidTr="00DF2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  <w:hideMark/>
          </w:tcPr>
          <w:p w14:paraId="7994CCC5" w14:textId="77777777" w:rsidR="005C4139" w:rsidRPr="005C4139" w:rsidRDefault="005C4139" w:rsidP="00DF2A67">
            <w:pPr>
              <w:spacing w:line="48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Characteristic</w:t>
            </w:r>
          </w:p>
        </w:tc>
        <w:tc>
          <w:tcPr>
            <w:tcW w:w="2001" w:type="dxa"/>
            <w:vAlign w:val="center"/>
            <w:hideMark/>
          </w:tcPr>
          <w:p w14:paraId="5C808A17" w14:textId="77777777" w:rsidR="005C4139" w:rsidRPr="005C4139" w:rsidRDefault="005C4139" w:rsidP="00DF2A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Symptomatic with</w:t>
            </w:r>
          </w:p>
          <w:p w14:paraId="4A3E7D2E" w14:textId="77777777" w:rsidR="005C4139" w:rsidRPr="005C4139" w:rsidRDefault="005C4139" w:rsidP="00DF2A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positive</w:t>
            </w:r>
            <w:r w:rsidRPr="005C4139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5C4139">
              <w:rPr>
                <w:rFonts w:ascii="Cambria" w:hAnsi="Cambria" w:cstheme="minorHAnsi"/>
                <w:sz w:val="20"/>
                <w:szCs w:val="20"/>
              </w:rPr>
              <w:t>PCR</w:t>
            </w:r>
          </w:p>
        </w:tc>
        <w:tc>
          <w:tcPr>
            <w:tcW w:w="2001" w:type="dxa"/>
            <w:vAlign w:val="center"/>
            <w:hideMark/>
          </w:tcPr>
          <w:p w14:paraId="5A552BF8" w14:textId="77777777" w:rsidR="005C4139" w:rsidRPr="005C4139" w:rsidRDefault="005C4139" w:rsidP="00DF2A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Symptomatic with</w:t>
            </w:r>
          </w:p>
          <w:p w14:paraId="1084B644" w14:textId="77777777" w:rsidR="005C4139" w:rsidRPr="005C4139" w:rsidRDefault="005C4139" w:rsidP="00DF2A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positive serology</w:t>
            </w:r>
          </w:p>
        </w:tc>
        <w:tc>
          <w:tcPr>
            <w:tcW w:w="1016" w:type="dxa"/>
            <w:vAlign w:val="center"/>
          </w:tcPr>
          <w:p w14:paraId="4E511B21" w14:textId="77777777" w:rsidR="005C4139" w:rsidRPr="005C4139" w:rsidRDefault="005C4139" w:rsidP="00DF2A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i/>
                <w:sz w:val="20"/>
                <w:szCs w:val="20"/>
              </w:rPr>
              <w:t>p</w:t>
            </w:r>
            <w:r w:rsidRPr="005C4139">
              <w:rPr>
                <w:rFonts w:ascii="Cambria" w:hAnsi="Cambria" w:cstheme="minorHAnsi"/>
                <w:sz w:val="20"/>
                <w:szCs w:val="20"/>
              </w:rPr>
              <w:t>-value</w:t>
            </w:r>
          </w:p>
        </w:tc>
      </w:tr>
      <w:tr w:rsidR="005C4139" w:rsidRPr="005C4139" w14:paraId="07659240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  <w:hideMark/>
          </w:tcPr>
          <w:p w14:paraId="19F4F696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Cs w:val="0"/>
                <w:sz w:val="20"/>
                <w:szCs w:val="20"/>
              </w:rPr>
              <w:t>No. workers</w:t>
            </w:r>
          </w:p>
        </w:tc>
        <w:tc>
          <w:tcPr>
            <w:tcW w:w="2001" w:type="dxa"/>
            <w:vAlign w:val="center"/>
            <w:hideMark/>
          </w:tcPr>
          <w:p w14:paraId="65A48A05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539</w:t>
            </w:r>
          </w:p>
        </w:tc>
        <w:tc>
          <w:tcPr>
            <w:tcW w:w="2001" w:type="dxa"/>
            <w:vAlign w:val="center"/>
            <w:hideMark/>
          </w:tcPr>
          <w:p w14:paraId="744FBE20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197</w:t>
            </w:r>
          </w:p>
        </w:tc>
        <w:tc>
          <w:tcPr>
            <w:tcW w:w="1016" w:type="dxa"/>
            <w:vAlign w:val="center"/>
          </w:tcPr>
          <w:p w14:paraId="323DC970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-</w:t>
            </w:r>
          </w:p>
        </w:tc>
      </w:tr>
      <w:tr w:rsidR="005C4139" w:rsidRPr="005C4139" w14:paraId="30CEF78F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5EA85C71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Cs w:val="0"/>
                <w:sz w:val="20"/>
                <w:szCs w:val="20"/>
              </w:rPr>
              <w:t>Symptoms</w:t>
            </w:r>
          </w:p>
        </w:tc>
        <w:tc>
          <w:tcPr>
            <w:tcW w:w="2001" w:type="dxa"/>
            <w:vAlign w:val="center"/>
          </w:tcPr>
          <w:p w14:paraId="7BEF47EB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25A6FFA7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2AA781F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5C4139" w:rsidRPr="005C4139" w14:paraId="5F8E4855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  <w:hideMark/>
          </w:tcPr>
          <w:p w14:paraId="0EFBE891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Fever (&gt; 37.5ºC)</w:t>
            </w:r>
          </w:p>
        </w:tc>
        <w:tc>
          <w:tcPr>
            <w:tcW w:w="2001" w:type="dxa"/>
            <w:vAlign w:val="center"/>
            <w:hideMark/>
          </w:tcPr>
          <w:p w14:paraId="7115BE51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165 (30.6)</w:t>
            </w:r>
          </w:p>
        </w:tc>
        <w:tc>
          <w:tcPr>
            <w:tcW w:w="2001" w:type="dxa"/>
            <w:vAlign w:val="center"/>
            <w:hideMark/>
          </w:tcPr>
          <w:p w14:paraId="6A3319BE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54 (27.4)</w:t>
            </w:r>
          </w:p>
        </w:tc>
        <w:tc>
          <w:tcPr>
            <w:tcW w:w="1016" w:type="dxa"/>
            <w:vAlign w:val="center"/>
          </w:tcPr>
          <w:p w14:paraId="456F72A7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0.414</w:t>
            </w:r>
          </w:p>
        </w:tc>
      </w:tr>
      <w:tr w:rsidR="005C4139" w:rsidRPr="005C4139" w14:paraId="4594D338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7079D2A5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Fever (&gt; 38.0ºC)</w:t>
            </w:r>
          </w:p>
        </w:tc>
        <w:tc>
          <w:tcPr>
            <w:tcW w:w="2001" w:type="dxa"/>
            <w:vAlign w:val="center"/>
          </w:tcPr>
          <w:p w14:paraId="0C93081E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245 (45.6)</w:t>
            </w:r>
          </w:p>
        </w:tc>
        <w:tc>
          <w:tcPr>
            <w:tcW w:w="2001" w:type="dxa"/>
            <w:vAlign w:val="center"/>
          </w:tcPr>
          <w:p w14:paraId="7FAB2A41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67 (34.0)</w:t>
            </w:r>
          </w:p>
        </w:tc>
        <w:tc>
          <w:tcPr>
            <w:tcW w:w="1016" w:type="dxa"/>
            <w:vAlign w:val="center"/>
          </w:tcPr>
          <w:p w14:paraId="64810B21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/>
                <w:sz w:val="20"/>
                <w:szCs w:val="20"/>
              </w:rPr>
              <w:t>0.005</w:t>
            </w:r>
          </w:p>
        </w:tc>
      </w:tr>
      <w:tr w:rsidR="005C4139" w:rsidRPr="005C4139" w14:paraId="582B1AAE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7977EA33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Myalgia</w:t>
            </w:r>
          </w:p>
        </w:tc>
        <w:tc>
          <w:tcPr>
            <w:tcW w:w="2001" w:type="dxa"/>
            <w:vAlign w:val="center"/>
          </w:tcPr>
          <w:p w14:paraId="0860A516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397 (73.7)</w:t>
            </w:r>
          </w:p>
        </w:tc>
        <w:tc>
          <w:tcPr>
            <w:tcW w:w="2001" w:type="dxa"/>
            <w:vAlign w:val="center"/>
          </w:tcPr>
          <w:p w14:paraId="7EA9E886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133 (67.5)</w:t>
            </w:r>
          </w:p>
        </w:tc>
        <w:tc>
          <w:tcPr>
            <w:tcW w:w="1016" w:type="dxa"/>
            <w:vAlign w:val="center"/>
          </w:tcPr>
          <w:p w14:paraId="574A4AF9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0.115</w:t>
            </w:r>
          </w:p>
        </w:tc>
      </w:tr>
      <w:tr w:rsidR="005C4139" w:rsidRPr="005C4139" w14:paraId="0E985567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08AB7874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Headache</w:t>
            </w:r>
          </w:p>
        </w:tc>
        <w:tc>
          <w:tcPr>
            <w:tcW w:w="2001" w:type="dxa"/>
            <w:vAlign w:val="center"/>
          </w:tcPr>
          <w:p w14:paraId="3538BB8E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414 (76.8)</w:t>
            </w:r>
          </w:p>
        </w:tc>
        <w:tc>
          <w:tcPr>
            <w:tcW w:w="2001" w:type="dxa"/>
            <w:vAlign w:val="center"/>
          </w:tcPr>
          <w:p w14:paraId="5C800004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134 (68.0)</w:t>
            </w:r>
          </w:p>
        </w:tc>
        <w:tc>
          <w:tcPr>
            <w:tcW w:w="1016" w:type="dxa"/>
            <w:vAlign w:val="center"/>
          </w:tcPr>
          <w:p w14:paraId="358D7398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/>
                <w:sz w:val="20"/>
                <w:szCs w:val="20"/>
              </w:rPr>
              <w:t>0.015</w:t>
            </w:r>
          </w:p>
        </w:tc>
      </w:tr>
      <w:tr w:rsidR="005C4139" w:rsidRPr="005C4139" w14:paraId="6A9D1B22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05111954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Sore throat</w:t>
            </w:r>
          </w:p>
        </w:tc>
        <w:tc>
          <w:tcPr>
            <w:tcW w:w="2001" w:type="dxa"/>
            <w:vAlign w:val="center"/>
          </w:tcPr>
          <w:p w14:paraId="7C0554DF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215 (39.9)</w:t>
            </w:r>
          </w:p>
        </w:tc>
        <w:tc>
          <w:tcPr>
            <w:tcW w:w="2001" w:type="dxa"/>
            <w:vAlign w:val="center"/>
          </w:tcPr>
          <w:p w14:paraId="7395F967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76 (38.6)</w:t>
            </w:r>
          </w:p>
        </w:tc>
        <w:tc>
          <w:tcPr>
            <w:tcW w:w="1016" w:type="dxa"/>
            <w:vAlign w:val="center"/>
          </w:tcPr>
          <w:p w14:paraId="5B8DD123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0.799</w:t>
            </w:r>
          </w:p>
        </w:tc>
      </w:tr>
      <w:tr w:rsidR="005C4139" w:rsidRPr="005C4139" w14:paraId="285DA686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2826C504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Cough</w:t>
            </w:r>
          </w:p>
        </w:tc>
        <w:tc>
          <w:tcPr>
            <w:tcW w:w="2001" w:type="dxa"/>
            <w:vAlign w:val="center"/>
          </w:tcPr>
          <w:p w14:paraId="7260DFE0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398 (73.8)</w:t>
            </w:r>
          </w:p>
        </w:tc>
        <w:tc>
          <w:tcPr>
            <w:tcW w:w="2001" w:type="dxa"/>
            <w:vAlign w:val="center"/>
          </w:tcPr>
          <w:p w14:paraId="097981C6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131 (66.5)</w:t>
            </w:r>
          </w:p>
        </w:tc>
        <w:tc>
          <w:tcPr>
            <w:tcW w:w="1016" w:type="dxa"/>
            <w:vAlign w:val="center"/>
          </w:tcPr>
          <w:p w14:paraId="157443E7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0.052</w:t>
            </w:r>
          </w:p>
        </w:tc>
      </w:tr>
      <w:tr w:rsidR="005C4139" w:rsidRPr="005C4139" w14:paraId="0B647DDA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2BCA1F99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Dyspnea</w:t>
            </w:r>
          </w:p>
        </w:tc>
        <w:tc>
          <w:tcPr>
            <w:tcW w:w="2001" w:type="dxa"/>
            <w:vAlign w:val="center"/>
          </w:tcPr>
          <w:p w14:paraId="042AFDE9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164 (30.4)</w:t>
            </w:r>
          </w:p>
        </w:tc>
        <w:tc>
          <w:tcPr>
            <w:tcW w:w="2001" w:type="dxa"/>
            <w:vAlign w:val="center"/>
          </w:tcPr>
          <w:p w14:paraId="005B9882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48 (24.4)</w:t>
            </w:r>
          </w:p>
        </w:tc>
        <w:tc>
          <w:tcPr>
            <w:tcW w:w="1016" w:type="dxa"/>
            <w:vAlign w:val="center"/>
          </w:tcPr>
          <w:p w14:paraId="54F663EE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0.118</w:t>
            </w:r>
          </w:p>
        </w:tc>
      </w:tr>
      <w:tr w:rsidR="005C4139" w:rsidRPr="005C4139" w14:paraId="257B1108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293CD4A3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Anosmia</w:t>
            </w:r>
          </w:p>
        </w:tc>
        <w:tc>
          <w:tcPr>
            <w:tcW w:w="2001" w:type="dxa"/>
            <w:vAlign w:val="center"/>
          </w:tcPr>
          <w:p w14:paraId="1DB62CC9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265 (49.2)</w:t>
            </w:r>
          </w:p>
        </w:tc>
        <w:tc>
          <w:tcPr>
            <w:tcW w:w="2001" w:type="dxa"/>
            <w:vAlign w:val="center"/>
          </w:tcPr>
          <w:p w14:paraId="70E0DE01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45 (22.8)</w:t>
            </w:r>
          </w:p>
        </w:tc>
        <w:tc>
          <w:tcPr>
            <w:tcW w:w="1016" w:type="dxa"/>
            <w:vAlign w:val="center"/>
          </w:tcPr>
          <w:p w14:paraId="7DB1B509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/>
                <w:sz w:val="20"/>
                <w:szCs w:val="20"/>
              </w:rPr>
              <w:t>&lt; 0.001</w:t>
            </w:r>
          </w:p>
        </w:tc>
      </w:tr>
      <w:tr w:rsidR="005C4139" w:rsidRPr="005C4139" w14:paraId="13511C0E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7D4935FF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Ageusia</w:t>
            </w:r>
          </w:p>
        </w:tc>
        <w:tc>
          <w:tcPr>
            <w:tcW w:w="2001" w:type="dxa"/>
            <w:vAlign w:val="center"/>
          </w:tcPr>
          <w:p w14:paraId="7CA96C85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241 (44.7)</w:t>
            </w:r>
          </w:p>
        </w:tc>
        <w:tc>
          <w:tcPr>
            <w:tcW w:w="2001" w:type="dxa"/>
            <w:vAlign w:val="center"/>
          </w:tcPr>
          <w:p w14:paraId="0AB5384F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39 (19.8)</w:t>
            </w:r>
          </w:p>
        </w:tc>
        <w:tc>
          <w:tcPr>
            <w:tcW w:w="1016" w:type="dxa"/>
            <w:vAlign w:val="center"/>
          </w:tcPr>
          <w:p w14:paraId="653DEA44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/>
                <w:sz w:val="20"/>
                <w:szCs w:val="20"/>
              </w:rPr>
              <w:t>&lt; 0.001</w:t>
            </w:r>
          </w:p>
        </w:tc>
      </w:tr>
      <w:tr w:rsidR="005C4139" w:rsidRPr="005C4139" w14:paraId="20C4BF53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29AE0766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Disease severity</w:t>
            </w:r>
          </w:p>
        </w:tc>
        <w:tc>
          <w:tcPr>
            <w:tcW w:w="2001" w:type="dxa"/>
            <w:vAlign w:val="center"/>
          </w:tcPr>
          <w:p w14:paraId="145EA461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0DD4EC4B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C799E90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5C4139" w:rsidRPr="005C4139" w14:paraId="39D6591F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36EC91CB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sz w:val="20"/>
                <w:szCs w:val="20"/>
              </w:rPr>
              <w:t>Pneumonia</w:t>
            </w:r>
          </w:p>
        </w:tc>
        <w:tc>
          <w:tcPr>
            <w:tcW w:w="2001" w:type="dxa"/>
            <w:vAlign w:val="center"/>
          </w:tcPr>
          <w:p w14:paraId="2CA1ECE4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64 (11.9)</w:t>
            </w:r>
          </w:p>
        </w:tc>
        <w:tc>
          <w:tcPr>
            <w:tcW w:w="2001" w:type="dxa"/>
            <w:vAlign w:val="center"/>
          </w:tcPr>
          <w:p w14:paraId="5B09BFFE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24 (12.2)</w:t>
            </w:r>
          </w:p>
        </w:tc>
        <w:tc>
          <w:tcPr>
            <w:tcW w:w="1016" w:type="dxa"/>
            <w:vAlign w:val="center"/>
          </w:tcPr>
          <w:p w14:paraId="201752F6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0.898</w:t>
            </w:r>
          </w:p>
        </w:tc>
      </w:tr>
      <w:tr w:rsidR="005C4139" w:rsidRPr="005C4139" w14:paraId="45B17FE8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  <w:hideMark/>
          </w:tcPr>
          <w:p w14:paraId="6F25C51D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Hospital admission</w:t>
            </w:r>
          </w:p>
        </w:tc>
        <w:tc>
          <w:tcPr>
            <w:tcW w:w="2001" w:type="dxa"/>
            <w:vAlign w:val="center"/>
            <w:hideMark/>
          </w:tcPr>
          <w:p w14:paraId="1707D4FC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33 (6.1)</w:t>
            </w:r>
          </w:p>
        </w:tc>
        <w:tc>
          <w:tcPr>
            <w:tcW w:w="2001" w:type="dxa"/>
            <w:vAlign w:val="center"/>
            <w:hideMark/>
          </w:tcPr>
          <w:p w14:paraId="22828D4F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 (0.5)</w:t>
            </w:r>
          </w:p>
        </w:tc>
        <w:tc>
          <w:tcPr>
            <w:tcW w:w="1016" w:type="dxa"/>
            <w:vAlign w:val="center"/>
          </w:tcPr>
          <w:p w14:paraId="0573C74D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/>
                <w:sz w:val="20"/>
                <w:szCs w:val="20"/>
              </w:rPr>
              <w:t>&lt; 0.001</w:t>
            </w:r>
          </w:p>
        </w:tc>
      </w:tr>
      <w:tr w:rsidR="005C4139" w:rsidRPr="005C4139" w14:paraId="768BF022" w14:textId="77777777" w:rsidTr="00DF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  <w:hideMark/>
          </w:tcPr>
          <w:p w14:paraId="4584C431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ICU admission</w:t>
            </w:r>
          </w:p>
        </w:tc>
        <w:tc>
          <w:tcPr>
            <w:tcW w:w="2001" w:type="dxa"/>
            <w:vAlign w:val="center"/>
            <w:hideMark/>
          </w:tcPr>
          <w:p w14:paraId="11676EA2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3 (0.6)</w:t>
            </w:r>
          </w:p>
        </w:tc>
        <w:tc>
          <w:tcPr>
            <w:tcW w:w="2001" w:type="dxa"/>
            <w:vAlign w:val="center"/>
            <w:hideMark/>
          </w:tcPr>
          <w:p w14:paraId="480C06BB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 (0.0)</w:t>
            </w:r>
          </w:p>
        </w:tc>
        <w:tc>
          <w:tcPr>
            <w:tcW w:w="1016" w:type="dxa"/>
            <w:vAlign w:val="center"/>
          </w:tcPr>
          <w:p w14:paraId="106B1186" w14:textId="77777777" w:rsidR="005C4139" w:rsidRPr="005C4139" w:rsidRDefault="005C4139" w:rsidP="00DF2A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0.568</w:t>
            </w:r>
          </w:p>
        </w:tc>
      </w:tr>
      <w:tr w:rsidR="005C4139" w:rsidRPr="005C4139" w14:paraId="2CF68266" w14:textId="77777777" w:rsidTr="00DF2A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Align w:val="center"/>
            <w:hideMark/>
          </w:tcPr>
          <w:p w14:paraId="718839DD" w14:textId="77777777" w:rsidR="005C4139" w:rsidRPr="005C4139" w:rsidRDefault="005C4139" w:rsidP="00DF2A67">
            <w:pPr>
              <w:spacing w:line="480" w:lineRule="auto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Outcome (death)</w:t>
            </w:r>
          </w:p>
        </w:tc>
        <w:tc>
          <w:tcPr>
            <w:tcW w:w="2001" w:type="dxa"/>
            <w:vAlign w:val="center"/>
            <w:hideMark/>
          </w:tcPr>
          <w:p w14:paraId="1220DAAF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 (0.0)</w:t>
            </w:r>
          </w:p>
        </w:tc>
        <w:tc>
          <w:tcPr>
            <w:tcW w:w="2001" w:type="dxa"/>
            <w:vAlign w:val="center"/>
            <w:hideMark/>
          </w:tcPr>
          <w:p w14:paraId="117227BF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0 (0.0)</w:t>
            </w:r>
          </w:p>
        </w:tc>
        <w:tc>
          <w:tcPr>
            <w:tcW w:w="1016" w:type="dxa"/>
            <w:vAlign w:val="center"/>
          </w:tcPr>
          <w:p w14:paraId="636B7864" w14:textId="77777777" w:rsidR="005C4139" w:rsidRPr="005C4139" w:rsidRDefault="005C4139" w:rsidP="00DF2A6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5C4139">
              <w:rPr>
                <w:rFonts w:ascii="Cambria" w:hAnsi="Cambria" w:cstheme="minorHAnsi"/>
                <w:sz w:val="20"/>
                <w:szCs w:val="20"/>
              </w:rPr>
              <w:t>1.000</w:t>
            </w:r>
          </w:p>
        </w:tc>
      </w:tr>
    </w:tbl>
    <w:p w14:paraId="07F55661" w14:textId="77777777" w:rsidR="005C4139" w:rsidRPr="005C4139" w:rsidRDefault="005C4139" w:rsidP="005C4139">
      <w:pPr>
        <w:tabs>
          <w:tab w:val="right" w:pos="14002"/>
        </w:tabs>
        <w:adjustRightInd w:val="0"/>
        <w:snapToGrid w:val="0"/>
        <w:spacing w:line="480" w:lineRule="auto"/>
        <w:ind w:right="4"/>
        <w:contextualSpacing/>
        <w:jc w:val="both"/>
        <w:rPr>
          <w:rFonts w:ascii="Cambria" w:hAnsi="Cambria"/>
          <w:sz w:val="24"/>
          <w:szCs w:val="24"/>
        </w:rPr>
      </w:pPr>
      <w:r w:rsidRPr="005C4139">
        <w:rPr>
          <w:rFonts w:ascii="Cambria" w:hAnsi="Cambria"/>
          <w:b/>
          <w:sz w:val="24"/>
          <w:szCs w:val="24"/>
        </w:rPr>
        <w:t>Statistics:</w:t>
      </w:r>
      <w:r w:rsidRPr="005C4139">
        <w:rPr>
          <w:rFonts w:ascii="Cambria" w:hAnsi="Cambria"/>
          <w:sz w:val="24"/>
          <w:szCs w:val="24"/>
        </w:rPr>
        <w:t xml:space="preserve"> Values are expressed as absolute count (percentage). </w:t>
      </w:r>
      <w:r w:rsidRPr="005C4139">
        <w:rPr>
          <w:rFonts w:ascii="Cambria" w:hAnsi="Cambria"/>
          <w:i/>
          <w:sz w:val="24"/>
          <w:szCs w:val="24"/>
        </w:rPr>
        <w:t>P</w:t>
      </w:r>
      <w:r w:rsidRPr="005C4139">
        <w:rPr>
          <w:rFonts w:ascii="Cambria" w:hAnsi="Cambria"/>
          <w:sz w:val="24"/>
          <w:szCs w:val="24"/>
        </w:rPr>
        <w:t xml:space="preserve">-values were calculated by two-tailed Fisher's exact test. Significant differences are shown in bold. </w:t>
      </w:r>
      <w:r w:rsidRPr="005C4139">
        <w:rPr>
          <w:rFonts w:ascii="Cambria" w:hAnsi="Cambria"/>
          <w:b/>
          <w:sz w:val="24"/>
          <w:szCs w:val="24"/>
        </w:rPr>
        <w:t>Abbreviations</w:t>
      </w:r>
      <w:r w:rsidRPr="005C4139">
        <w:rPr>
          <w:rFonts w:ascii="Cambria" w:hAnsi="Cambria"/>
          <w:sz w:val="24"/>
          <w:szCs w:val="24"/>
        </w:rPr>
        <w:t xml:space="preserve">: </w:t>
      </w:r>
      <w:r w:rsidRPr="005C4139">
        <w:rPr>
          <w:rFonts w:ascii="Cambria" w:hAnsi="Cambria"/>
          <w:i/>
          <w:iCs/>
          <w:sz w:val="24"/>
          <w:szCs w:val="24"/>
        </w:rPr>
        <w:t>p</w:t>
      </w:r>
      <w:r w:rsidRPr="005C4139">
        <w:rPr>
          <w:rFonts w:ascii="Cambria" w:hAnsi="Cambria"/>
          <w:sz w:val="24"/>
          <w:szCs w:val="24"/>
        </w:rPr>
        <w:t>-value: level of significance; ICU: Intensive Care Unit.</w:t>
      </w:r>
    </w:p>
    <w:p w14:paraId="69FF7A1D" w14:textId="77777777" w:rsidR="00433F0D" w:rsidRDefault="00433F0D"/>
    <w:sectPr w:rsidR="00433F0D" w:rsidSect="008E033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9"/>
    <w:rsid w:val="00033502"/>
    <w:rsid w:val="000B1E43"/>
    <w:rsid w:val="000C01A7"/>
    <w:rsid w:val="0021323C"/>
    <w:rsid w:val="002D0543"/>
    <w:rsid w:val="002D3C33"/>
    <w:rsid w:val="004066DD"/>
    <w:rsid w:val="00433F0D"/>
    <w:rsid w:val="005C4139"/>
    <w:rsid w:val="007B204F"/>
    <w:rsid w:val="00814D7C"/>
    <w:rsid w:val="008E0336"/>
    <w:rsid w:val="00B25A2F"/>
    <w:rsid w:val="00C4384E"/>
    <w:rsid w:val="00CA20D8"/>
    <w:rsid w:val="00D80EE7"/>
    <w:rsid w:val="00F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AB26E"/>
  <w15:chartTrackingRefBased/>
  <w15:docId w15:val="{9F7E2F9F-151A-7049-AB54-0F8C1E5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139"/>
    <w:pPr>
      <w:spacing w:line="276" w:lineRule="auto"/>
    </w:pPr>
    <w:rPr>
      <w:rFonts w:ascii="Arial" w:eastAsia="Arial" w:hAnsi="Arial" w:cs="Arial"/>
      <w:sz w:val="22"/>
      <w:szCs w:val="22"/>
      <w:lang w:val="en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">
    <w:name w:val="List Table 1 Light"/>
    <w:basedOn w:val="Tablanormal"/>
    <w:uiPriority w:val="46"/>
    <w:rsid w:val="005C4139"/>
    <w:rPr>
      <w:rFonts w:ascii="Arial" w:eastAsia="Arial" w:hAnsi="Arial" w:cs="Arial"/>
      <w:sz w:val="22"/>
      <w:szCs w:val="22"/>
      <w:lang w:val="en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Pérez García</dc:creator>
  <cp:keywords/>
  <dc:description/>
  <cp:lastModifiedBy>Felipe Pérez García</cp:lastModifiedBy>
  <cp:revision>3</cp:revision>
  <dcterms:created xsi:type="dcterms:W3CDTF">2020-07-09T16:40:00Z</dcterms:created>
  <dcterms:modified xsi:type="dcterms:W3CDTF">2020-10-20T16:09:00Z</dcterms:modified>
</cp:coreProperties>
</file>