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8A1E" w14:textId="4697B207" w:rsidR="00A64DA8" w:rsidRPr="00585F70" w:rsidRDefault="00A64DA8" w:rsidP="00A64DA8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A64D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</w:t>
      </w:r>
      <w:r w:rsidRPr="002308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Table 1- Characteristics of patients with sepsis upon admission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2308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nosocomial sepsis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Shamir (Assaf Harofeh) Medical Center, 2016. </w:t>
      </w:r>
    </w:p>
    <w:tbl>
      <w:tblPr>
        <w:tblW w:w="109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37"/>
        <w:gridCol w:w="356"/>
        <w:gridCol w:w="1445"/>
        <w:gridCol w:w="1310"/>
        <w:gridCol w:w="1989"/>
        <w:gridCol w:w="1521"/>
        <w:gridCol w:w="1703"/>
      </w:tblGrid>
      <w:tr w:rsidR="00A64DA8" w:rsidRPr="002308FC" w14:paraId="209263EE" w14:textId="77777777" w:rsidTr="008E00D8">
        <w:tc>
          <w:tcPr>
            <w:tcW w:w="4423" w:type="dxa"/>
            <w:gridSpan w:val="4"/>
          </w:tcPr>
          <w:p w14:paraId="69D85B3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14:paraId="2C2F4CC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Sepsis upon admission</w:t>
            </w:r>
          </w:p>
        </w:tc>
        <w:tc>
          <w:tcPr>
            <w:tcW w:w="3222" w:type="dxa"/>
            <w:gridSpan w:val="2"/>
          </w:tcPr>
          <w:p w14:paraId="2DA1504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Nosocomial sepsis</w:t>
            </w:r>
          </w:p>
        </w:tc>
      </w:tr>
      <w:tr w:rsidR="00A64DA8" w:rsidRPr="002308FC" w14:paraId="561A36D0" w14:textId="77777777" w:rsidTr="008E00D8">
        <w:tc>
          <w:tcPr>
            <w:tcW w:w="4423" w:type="dxa"/>
            <w:gridSpan w:val="4"/>
          </w:tcPr>
          <w:p w14:paraId="2B105FA7" w14:textId="77777777" w:rsidR="00A64DA8" w:rsidRPr="002308FC" w:rsidRDefault="00A64DA8" w:rsidP="008E00D8">
            <w:pPr>
              <w:bidi w:val="0"/>
              <w:spacing w:after="0"/>
              <w:ind w:left="-645"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310" w:type="dxa"/>
          </w:tcPr>
          <w:p w14:paraId="2E325A5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989" w:type="dxa"/>
          </w:tcPr>
          <w:p w14:paraId="5CC193A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Valid percent</w:t>
            </w:r>
            <w:r w:rsidRPr="002308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1" w:type="dxa"/>
          </w:tcPr>
          <w:p w14:paraId="094B314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701" w:type="dxa"/>
          </w:tcPr>
          <w:p w14:paraId="24AE846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Valid percent</w:t>
            </w:r>
          </w:p>
        </w:tc>
      </w:tr>
      <w:tr w:rsidR="00A64DA8" w:rsidRPr="002308FC" w14:paraId="399D85D9" w14:textId="77777777" w:rsidTr="008E00D8">
        <w:tc>
          <w:tcPr>
            <w:tcW w:w="4423" w:type="dxa"/>
            <w:gridSpan w:val="4"/>
          </w:tcPr>
          <w:p w14:paraId="46B5A9C5" w14:textId="77777777" w:rsidR="00A64DA8" w:rsidRPr="002308FC" w:rsidRDefault="00A64DA8" w:rsidP="008E00D8">
            <w:pPr>
              <w:bidi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Population (number of patients enrolled)</w:t>
            </w:r>
          </w:p>
        </w:tc>
        <w:tc>
          <w:tcPr>
            <w:tcW w:w="3299" w:type="dxa"/>
            <w:gridSpan w:val="2"/>
          </w:tcPr>
          <w:p w14:paraId="423ECD19" w14:textId="77777777" w:rsidR="00A64DA8" w:rsidRPr="002308FC" w:rsidRDefault="00A64DA8" w:rsidP="008E00D8">
            <w:pPr>
              <w:bidi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Cs/>
                <w:sz w:val="24"/>
                <w:szCs w:val="24"/>
              </w:rPr>
              <w:t>1,536</w:t>
            </w:r>
          </w:p>
        </w:tc>
        <w:tc>
          <w:tcPr>
            <w:tcW w:w="3222" w:type="dxa"/>
            <w:gridSpan w:val="2"/>
          </w:tcPr>
          <w:p w14:paraId="7E4F0C73" w14:textId="77777777" w:rsidR="00A64DA8" w:rsidRPr="002308FC" w:rsidRDefault="00A64DA8" w:rsidP="008E00D8">
            <w:pPr>
              <w:bidi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</w:p>
        </w:tc>
      </w:tr>
      <w:tr w:rsidR="00A64DA8" w:rsidRPr="002308FC" w14:paraId="787CF646" w14:textId="77777777" w:rsidTr="008E00D8">
        <w:tc>
          <w:tcPr>
            <w:tcW w:w="10946" w:type="dxa"/>
            <w:gridSpan w:val="8"/>
          </w:tcPr>
          <w:p w14:paraId="6B24A93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Demographics</w:t>
            </w:r>
          </w:p>
        </w:tc>
      </w:tr>
      <w:tr w:rsidR="00A64DA8" w:rsidRPr="002308FC" w14:paraId="2E2BB70C" w14:textId="77777777" w:rsidTr="008E00D8">
        <w:tc>
          <w:tcPr>
            <w:tcW w:w="4423" w:type="dxa"/>
            <w:gridSpan w:val="4"/>
          </w:tcPr>
          <w:p w14:paraId="6D00E45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Age (years) mean ± SD</w:t>
            </w:r>
          </w:p>
        </w:tc>
        <w:tc>
          <w:tcPr>
            <w:tcW w:w="3299" w:type="dxa"/>
            <w:gridSpan w:val="2"/>
          </w:tcPr>
          <w:p w14:paraId="5644189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62 ± 22</w:t>
            </w:r>
          </w:p>
        </w:tc>
        <w:tc>
          <w:tcPr>
            <w:tcW w:w="3222" w:type="dxa"/>
            <w:gridSpan w:val="2"/>
          </w:tcPr>
          <w:p w14:paraId="0D70745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77 (18-103)</w:t>
            </w:r>
          </w:p>
        </w:tc>
      </w:tr>
      <w:tr w:rsidR="00A64DA8" w:rsidRPr="002308FC" w14:paraId="486CFCA5" w14:textId="77777777" w:rsidTr="008E00D8">
        <w:tc>
          <w:tcPr>
            <w:tcW w:w="4423" w:type="dxa"/>
            <w:gridSpan w:val="4"/>
          </w:tcPr>
          <w:p w14:paraId="5E1A1CD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Female gender</w:t>
            </w:r>
          </w:p>
        </w:tc>
        <w:tc>
          <w:tcPr>
            <w:tcW w:w="1310" w:type="dxa"/>
          </w:tcPr>
          <w:p w14:paraId="2AD1BAB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989" w:type="dxa"/>
          </w:tcPr>
          <w:p w14:paraId="4AF4474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1521" w:type="dxa"/>
          </w:tcPr>
          <w:p w14:paraId="185E8DD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701" w:type="dxa"/>
          </w:tcPr>
          <w:p w14:paraId="7E7422E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</w:tr>
      <w:tr w:rsidR="00A64DA8" w:rsidRPr="002308FC" w14:paraId="44E84C52" w14:textId="77777777" w:rsidTr="008E00D8">
        <w:tc>
          <w:tcPr>
            <w:tcW w:w="4423" w:type="dxa"/>
            <w:gridSpan w:val="4"/>
          </w:tcPr>
          <w:p w14:paraId="18252D4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Elderly (&gt; 65 years old)</w:t>
            </w:r>
          </w:p>
        </w:tc>
        <w:tc>
          <w:tcPr>
            <w:tcW w:w="1310" w:type="dxa"/>
          </w:tcPr>
          <w:p w14:paraId="6546760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989" w:type="dxa"/>
          </w:tcPr>
          <w:p w14:paraId="5B2B9D3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521" w:type="dxa"/>
          </w:tcPr>
          <w:p w14:paraId="333B7F0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701" w:type="dxa"/>
          </w:tcPr>
          <w:p w14:paraId="0C84276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</w:tr>
      <w:tr w:rsidR="00A64DA8" w:rsidRPr="002308FC" w14:paraId="7CD016F8" w14:textId="77777777" w:rsidTr="008E00D8">
        <w:tc>
          <w:tcPr>
            <w:tcW w:w="10946" w:type="dxa"/>
            <w:gridSpan w:val="8"/>
          </w:tcPr>
          <w:p w14:paraId="1EC4BE95" w14:textId="77777777" w:rsidR="00A64DA8" w:rsidRPr="002308FC" w:rsidRDefault="00A64DA8" w:rsidP="008E00D8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sz w:val="24"/>
                <w:szCs w:val="24"/>
              </w:rPr>
              <w:t>Exposure to healthcare environments or procedures</w:t>
            </w:r>
          </w:p>
        </w:tc>
      </w:tr>
      <w:tr w:rsidR="00A64DA8" w:rsidRPr="002308FC" w14:paraId="7908CAFD" w14:textId="77777777" w:rsidTr="008E00D8">
        <w:tc>
          <w:tcPr>
            <w:tcW w:w="4423" w:type="dxa"/>
            <w:gridSpan w:val="4"/>
          </w:tcPr>
          <w:p w14:paraId="560E14D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Recent (&lt;3 months) hospitalization</w:t>
            </w:r>
          </w:p>
        </w:tc>
        <w:tc>
          <w:tcPr>
            <w:tcW w:w="1310" w:type="dxa"/>
          </w:tcPr>
          <w:p w14:paraId="75415EF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989" w:type="dxa"/>
          </w:tcPr>
          <w:p w14:paraId="67E5A0D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521" w:type="dxa"/>
          </w:tcPr>
          <w:p w14:paraId="6F585A6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14:paraId="2B911CC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64DA8" w:rsidRPr="002308FC" w14:paraId="7128477E" w14:textId="77777777" w:rsidTr="008E00D8">
        <w:tc>
          <w:tcPr>
            <w:tcW w:w="4423" w:type="dxa"/>
            <w:gridSpan w:val="4"/>
          </w:tcPr>
          <w:p w14:paraId="6160328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LTCF resident</w:t>
            </w:r>
          </w:p>
        </w:tc>
        <w:tc>
          <w:tcPr>
            <w:tcW w:w="1310" w:type="dxa"/>
          </w:tcPr>
          <w:p w14:paraId="4280927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89" w:type="dxa"/>
          </w:tcPr>
          <w:p w14:paraId="597F6BA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521" w:type="dxa"/>
          </w:tcPr>
          <w:p w14:paraId="08525E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14:paraId="5B0BDCF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</w:tr>
      <w:tr w:rsidR="00A64DA8" w:rsidRPr="002308FC" w14:paraId="55F9FA1B" w14:textId="77777777" w:rsidTr="008E00D8">
        <w:tc>
          <w:tcPr>
            <w:tcW w:w="4423" w:type="dxa"/>
            <w:gridSpan w:val="4"/>
          </w:tcPr>
          <w:p w14:paraId="314B983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Recent (&lt;3 months) LTCF stay prior to hospitalization </w:t>
            </w:r>
          </w:p>
        </w:tc>
        <w:tc>
          <w:tcPr>
            <w:tcW w:w="1310" w:type="dxa"/>
          </w:tcPr>
          <w:p w14:paraId="3C1B887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989" w:type="dxa"/>
          </w:tcPr>
          <w:p w14:paraId="074F1B3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1521" w:type="dxa"/>
          </w:tcPr>
          <w:p w14:paraId="00D2F81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14:paraId="3884B3F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</w:tr>
      <w:tr w:rsidR="00A64DA8" w:rsidRPr="002308FC" w14:paraId="02A4D3B5" w14:textId="77777777" w:rsidTr="008E00D8">
        <w:tc>
          <w:tcPr>
            <w:tcW w:w="4423" w:type="dxa"/>
            <w:gridSpan w:val="4"/>
          </w:tcPr>
          <w:p w14:paraId="71FCB32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Regular visits (at least weekly) to outpatient clinics</w:t>
            </w:r>
          </w:p>
        </w:tc>
        <w:tc>
          <w:tcPr>
            <w:tcW w:w="1310" w:type="dxa"/>
          </w:tcPr>
          <w:p w14:paraId="0671B4B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9" w:type="dxa"/>
          </w:tcPr>
          <w:p w14:paraId="532F7AE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21" w:type="dxa"/>
          </w:tcPr>
          <w:p w14:paraId="5F8B756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042460D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4DA8" w:rsidRPr="002308FC" w14:paraId="7A414BB7" w14:textId="77777777" w:rsidTr="008E00D8">
        <w:tc>
          <w:tcPr>
            <w:tcW w:w="4423" w:type="dxa"/>
            <w:gridSpan w:val="4"/>
          </w:tcPr>
          <w:p w14:paraId="085A7CE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</w:p>
        </w:tc>
        <w:tc>
          <w:tcPr>
            <w:tcW w:w="1310" w:type="dxa"/>
          </w:tcPr>
          <w:p w14:paraId="1277767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9" w:type="dxa"/>
          </w:tcPr>
          <w:p w14:paraId="0C080F4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521" w:type="dxa"/>
          </w:tcPr>
          <w:p w14:paraId="2C3E1A6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6586AA5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A64DA8" w:rsidRPr="002308FC" w14:paraId="6A6084B3" w14:textId="77777777" w:rsidTr="008E00D8">
        <w:tc>
          <w:tcPr>
            <w:tcW w:w="4423" w:type="dxa"/>
            <w:gridSpan w:val="4"/>
          </w:tcPr>
          <w:p w14:paraId="3602A2E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Advanced nursing or intravenous therapy administered at home</w:t>
            </w:r>
          </w:p>
        </w:tc>
        <w:tc>
          <w:tcPr>
            <w:tcW w:w="1310" w:type="dxa"/>
          </w:tcPr>
          <w:p w14:paraId="1E30D98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14:paraId="5315E6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21" w:type="dxa"/>
          </w:tcPr>
          <w:p w14:paraId="0A447A1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C13C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030DF5A4" w14:textId="77777777" w:rsidTr="008E00D8">
        <w:tc>
          <w:tcPr>
            <w:tcW w:w="4423" w:type="dxa"/>
            <w:gridSpan w:val="4"/>
          </w:tcPr>
          <w:p w14:paraId="13CFB01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Antibiotic course (≥2 days duration) in the preceding 3 months</w:t>
            </w:r>
          </w:p>
        </w:tc>
        <w:tc>
          <w:tcPr>
            <w:tcW w:w="1310" w:type="dxa"/>
          </w:tcPr>
          <w:p w14:paraId="21A2C9B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989" w:type="dxa"/>
          </w:tcPr>
          <w:p w14:paraId="7D20E17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521" w:type="dxa"/>
          </w:tcPr>
          <w:p w14:paraId="7175B13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14:paraId="4B1BC2D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</w:tr>
      <w:tr w:rsidR="00A64DA8" w:rsidRPr="002308FC" w14:paraId="5851076F" w14:textId="77777777" w:rsidTr="008E00D8">
        <w:tc>
          <w:tcPr>
            <w:tcW w:w="4423" w:type="dxa"/>
            <w:gridSpan w:val="4"/>
          </w:tcPr>
          <w:p w14:paraId="4995580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Invasive procedure in the preceding 6 months</w:t>
            </w:r>
          </w:p>
        </w:tc>
        <w:tc>
          <w:tcPr>
            <w:tcW w:w="1310" w:type="dxa"/>
          </w:tcPr>
          <w:p w14:paraId="015E573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89" w:type="dxa"/>
          </w:tcPr>
          <w:p w14:paraId="1B44A79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521" w:type="dxa"/>
          </w:tcPr>
          <w:p w14:paraId="33DDC75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14:paraId="5E35FDA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</w:tr>
      <w:tr w:rsidR="00A64DA8" w:rsidRPr="002308FC" w14:paraId="72459425" w14:textId="77777777" w:rsidTr="008E00D8">
        <w:tc>
          <w:tcPr>
            <w:tcW w:w="4423" w:type="dxa"/>
            <w:gridSpan w:val="4"/>
          </w:tcPr>
          <w:p w14:paraId="379716F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Permanent device</w:t>
            </w:r>
            <w:r w:rsidRPr="002308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10" w:type="dxa"/>
          </w:tcPr>
          <w:p w14:paraId="3A592CA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89" w:type="dxa"/>
          </w:tcPr>
          <w:p w14:paraId="0A1275C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521" w:type="dxa"/>
          </w:tcPr>
          <w:p w14:paraId="013D4A3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14:paraId="275490D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</w:tr>
      <w:tr w:rsidR="00A64DA8" w:rsidRPr="002308FC" w14:paraId="7F24FA63" w14:textId="77777777" w:rsidTr="008E00D8">
        <w:tc>
          <w:tcPr>
            <w:tcW w:w="4423" w:type="dxa"/>
            <w:gridSpan w:val="4"/>
          </w:tcPr>
          <w:p w14:paraId="7251477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ICU stay in the preceding 3 months</w:t>
            </w:r>
          </w:p>
        </w:tc>
        <w:tc>
          <w:tcPr>
            <w:tcW w:w="1310" w:type="dxa"/>
          </w:tcPr>
          <w:p w14:paraId="332E7CD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14:paraId="19770B6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21" w:type="dxa"/>
          </w:tcPr>
          <w:p w14:paraId="06FD787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45022A7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DA8" w:rsidRPr="002308FC" w14:paraId="5D34ED4E" w14:textId="77777777" w:rsidTr="008E00D8">
        <w:tc>
          <w:tcPr>
            <w:tcW w:w="4423" w:type="dxa"/>
            <w:gridSpan w:val="4"/>
          </w:tcPr>
          <w:p w14:paraId="48A6A74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MDRO</w:t>
            </w:r>
            <w:r w:rsidRPr="002308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carrier from the preceding 2 years</w:t>
            </w:r>
          </w:p>
        </w:tc>
        <w:tc>
          <w:tcPr>
            <w:tcW w:w="1310" w:type="dxa"/>
          </w:tcPr>
          <w:p w14:paraId="3C6BCCE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89" w:type="dxa"/>
          </w:tcPr>
          <w:p w14:paraId="0EA13ED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21" w:type="dxa"/>
          </w:tcPr>
          <w:p w14:paraId="5AF3C3E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14:paraId="54AF1E9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4DA8" w:rsidRPr="002308FC" w14:paraId="2C59E303" w14:textId="77777777" w:rsidTr="008E00D8">
        <w:tc>
          <w:tcPr>
            <w:tcW w:w="10946" w:type="dxa"/>
            <w:gridSpan w:val="8"/>
          </w:tcPr>
          <w:p w14:paraId="5280A57F" w14:textId="77777777" w:rsidR="00A64DA8" w:rsidRPr="002308FC" w:rsidRDefault="00A64DA8" w:rsidP="008E00D8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Background medical status and conditions</w:t>
            </w:r>
          </w:p>
        </w:tc>
      </w:tr>
      <w:tr w:rsidR="00A64DA8" w:rsidRPr="002308FC" w14:paraId="0FCB377F" w14:textId="77777777" w:rsidTr="008E00D8">
        <w:tc>
          <w:tcPr>
            <w:tcW w:w="4423" w:type="dxa"/>
            <w:gridSpan w:val="4"/>
          </w:tcPr>
          <w:p w14:paraId="0F66B6D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Functionally dependent</w:t>
            </w:r>
          </w:p>
        </w:tc>
        <w:tc>
          <w:tcPr>
            <w:tcW w:w="1310" w:type="dxa"/>
          </w:tcPr>
          <w:p w14:paraId="728049C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9" w:type="dxa"/>
          </w:tcPr>
          <w:p w14:paraId="3E9AB5E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521" w:type="dxa"/>
          </w:tcPr>
          <w:p w14:paraId="50402BE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8C2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DA8" w:rsidRPr="002308FC" w14:paraId="70D16041" w14:textId="77777777" w:rsidTr="008E00D8">
        <w:tc>
          <w:tcPr>
            <w:tcW w:w="4423" w:type="dxa"/>
            <w:gridSpan w:val="4"/>
          </w:tcPr>
          <w:p w14:paraId="021CCFD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Chronic skin ulcers</w:t>
            </w:r>
          </w:p>
        </w:tc>
        <w:tc>
          <w:tcPr>
            <w:tcW w:w="1310" w:type="dxa"/>
          </w:tcPr>
          <w:p w14:paraId="265F2B2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C063C4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644200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14:paraId="7E8C8B8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</w:tr>
      <w:tr w:rsidR="00A64DA8" w:rsidRPr="002308FC" w14:paraId="39704C14" w14:textId="77777777" w:rsidTr="008E00D8">
        <w:tc>
          <w:tcPr>
            <w:tcW w:w="4423" w:type="dxa"/>
            <w:gridSpan w:val="4"/>
          </w:tcPr>
          <w:p w14:paraId="2B66900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Altered consciousness / cognition</w:t>
            </w:r>
          </w:p>
        </w:tc>
        <w:tc>
          <w:tcPr>
            <w:tcW w:w="1310" w:type="dxa"/>
          </w:tcPr>
          <w:p w14:paraId="18B0447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89" w:type="dxa"/>
          </w:tcPr>
          <w:p w14:paraId="3D3F86F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1" w:type="dxa"/>
          </w:tcPr>
          <w:p w14:paraId="49295D4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14:paraId="52EBC1A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A64DA8" w:rsidRPr="002308FC" w14:paraId="626DFC2F" w14:textId="77777777" w:rsidTr="008E00D8">
        <w:tc>
          <w:tcPr>
            <w:tcW w:w="4423" w:type="dxa"/>
            <w:gridSpan w:val="4"/>
          </w:tcPr>
          <w:p w14:paraId="2423682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Ischemic heart disease</w:t>
            </w:r>
          </w:p>
        </w:tc>
        <w:tc>
          <w:tcPr>
            <w:tcW w:w="1310" w:type="dxa"/>
          </w:tcPr>
          <w:p w14:paraId="7D5F14D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989" w:type="dxa"/>
          </w:tcPr>
          <w:p w14:paraId="43AFDEF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1" w:type="dxa"/>
          </w:tcPr>
          <w:p w14:paraId="4D0A6A0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</w:tcPr>
          <w:p w14:paraId="23933BE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</w:tr>
      <w:tr w:rsidR="00A64DA8" w:rsidRPr="002308FC" w14:paraId="1004DD5E" w14:textId="77777777" w:rsidTr="008E00D8">
        <w:tc>
          <w:tcPr>
            <w:tcW w:w="4423" w:type="dxa"/>
            <w:gridSpan w:val="4"/>
          </w:tcPr>
          <w:p w14:paraId="30708D2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310" w:type="dxa"/>
          </w:tcPr>
          <w:p w14:paraId="68E441E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89" w:type="dxa"/>
          </w:tcPr>
          <w:p w14:paraId="17C1E76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521" w:type="dxa"/>
          </w:tcPr>
          <w:p w14:paraId="04D65C9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14:paraId="2EABCDD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</w:tr>
      <w:tr w:rsidR="00A64DA8" w:rsidRPr="002308FC" w14:paraId="520CE3C8" w14:textId="77777777" w:rsidTr="008E00D8">
        <w:tc>
          <w:tcPr>
            <w:tcW w:w="4423" w:type="dxa"/>
            <w:gridSpan w:val="4"/>
          </w:tcPr>
          <w:p w14:paraId="25AD295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310" w:type="dxa"/>
          </w:tcPr>
          <w:p w14:paraId="7F174E9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989" w:type="dxa"/>
          </w:tcPr>
          <w:p w14:paraId="3C2FA15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521" w:type="dxa"/>
          </w:tcPr>
          <w:p w14:paraId="0A4E862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14:paraId="017DCC2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</w:tr>
      <w:tr w:rsidR="00A64DA8" w:rsidRPr="002308FC" w14:paraId="0C561B11" w14:textId="77777777" w:rsidTr="008E00D8">
        <w:tc>
          <w:tcPr>
            <w:tcW w:w="4423" w:type="dxa"/>
            <w:gridSpan w:val="4"/>
          </w:tcPr>
          <w:p w14:paraId="538B48A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Chronic kidney disease</w:t>
            </w:r>
          </w:p>
        </w:tc>
        <w:tc>
          <w:tcPr>
            <w:tcW w:w="1310" w:type="dxa"/>
          </w:tcPr>
          <w:p w14:paraId="216FCBB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89" w:type="dxa"/>
          </w:tcPr>
          <w:p w14:paraId="58E6440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521" w:type="dxa"/>
          </w:tcPr>
          <w:p w14:paraId="14CBBA2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14:paraId="66B0165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A64DA8" w:rsidRPr="002308FC" w14:paraId="58F1E328" w14:textId="77777777" w:rsidTr="008E00D8">
        <w:tc>
          <w:tcPr>
            <w:tcW w:w="4423" w:type="dxa"/>
            <w:gridSpan w:val="4"/>
          </w:tcPr>
          <w:p w14:paraId="5E5920A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Chronic lung disease</w:t>
            </w:r>
          </w:p>
        </w:tc>
        <w:tc>
          <w:tcPr>
            <w:tcW w:w="1310" w:type="dxa"/>
          </w:tcPr>
          <w:p w14:paraId="1C45CF4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989" w:type="dxa"/>
          </w:tcPr>
          <w:p w14:paraId="3D2E9EC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1" w:type="dxa"/>
          </w:tcPr>
          <w:p w14:paraId="408D2D8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01" w:type="dxa"/>
          </w:tcPr>
          <w:p w14:paraId="03185E9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4DA8" w:rsidRPr="002308FC" w14:paraId="6A3E68E9" w14:textId="77777777" w:rsidTr="008E00D8">
        <w:tc>
          <w:tcPr>
            <w:tcW w:w="4423" w:type="dxa"/>
            <w:gridSpan w:val="4"/>
          </w:tcPr>
          <w:p w14:paraId="52A44BA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Active malignancy</w:t>
            </w:r>
          </w:p>
        </w:tc>
        <w:tc>
          <w:tcPr>
            <w:tcW w:w="1310" w:type="dxa"/>
          </w:tcPr>
          <w:p w14:paraId="03F61EA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9" w:type="dxa"/>
          </w:tcPr>
          <w:p w14:paraId="1402CB3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21" w:type="dxa"/>
          </w:tcPr>
          <w:p w14:paraId="4A3B52C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14:paraId="60E2720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</w:tr>
      <w:tr w:rsidR="00A64DA8" w:rsidRPr="002308FC" w14:paraId="4AD0144E" w14:textId="77777777" w:rsidTr="008E00D8">
        <w:tc>
          <w:tcPr>
            <w:tcW w:w="4423" w:type="dxa"/>
            <w:gridSpan w:val="4"/>
          </w:tcPr>
          <w:p w14:paraId="774BAD1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</w:p>
        </w:tc>
        <w:tc>
          <w:tcPr>
            <w:tcW w:w="1310" w:type="dxa"/>
          </w:tcPr>
          <w:p w14:paraId="2D3BAA7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14:paraId="650754B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21" w:type="dxa"/>
          </w:tcPr>
          <w:p w14:paraId="654B021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9C435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26A30E81" w14:textId="77777777" w:rsidTr="008E00D8">
        <w:tc>
          <w:tcPr>
            <w:tcW w:w="4423" w:type="dxa"/>
            <w:gridSpan w:val="4"/>
          </w:tcPr>
          <w:p w14:paraId="2BA7DAE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Immunosuppression</w:t>
            </w:r>
            <w:r w:rsidRPr="002308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14:paraId="6186100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9" w:type="dxa"/>
          </w:tcPr>
          <w:p w14:paraId="6F21F89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521" w:type="dxa"/>
          </w:tcPr>
          <w:p w14:paraId="054BACF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701" w:type="dxa"/>
          </w:tcPr>
          <w:p w14:paraId="4336C15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</w:tr>
      <w:tr w:rsidR="00A64DA8" w:rsidRPr="002308FC" w14:paraId="21262DA6" w14:textId="77777777" w:rsidTr="008E00D8">
        <w:tc>
          <w:tcPr>
            <w:tcW w:w="2978" w:type="dxa"/>
            <w:gridSpan w:val="3"/>
            <w:vMerge w:val="restart"/>
            <w:vAlign w:val="center"/>
          </w:tcPr>
          <w:p w14:paraId="587028A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Charlson's scores, mean ± standard deviation</w:t>
            </w:r>
          </w:p>
        </w:tc>
        <w:tc>
          <w:tcPr>
            <w:tcW w:w="1445" w:type="dxa"/>
            <w:vAlign w:val="center"/>
          </w:tcPr>
          <w:p w14:paraId="61D56F6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Weighted Index Comorbidity</w:t>
            </w:r>
          </w:p>
        </w:tc>
        <w:tc>
          <w:tcPr>
            <w:tcW w:w="3299" w:type="dxa"/>
            <w:gridSpan w:val="2"/>
            <w:vAlign w:val="center"/>
          </w:tcPr>
          <w:p w14:paraId="5420AF18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± 2.4</w:t>
            </w:r>
          </w:p>
        </w:tc>
        <w:tc>
          <w:tcPr>
            <w:tcW w:w="3222" w:type="dxa"/>
            <w:gridSpan w:val="2"/>
            <w:vAlign w:val="center"/>
          </w:tcPr>
          <w:p w14:paraId="04EA0749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5.2 ± 3.1</w:t>
            </w:r>
          </w:p>
        </w:tc>
      </w:tr>
      <w:tr w:rsidR="00A64DA8" w:rsidRPr="002308FC" w14:paraId="315A06C4" w14:textId="77777777" w:rsidTr="008E00D8">
        <w:tc>
          <w:tcPr>
            <w:tcW w:w="2978" w:type="dxa"/>
            <w:gridSpan w:val="3"/>
            <w:vMerge/>
          </w:tcPr>
          <w:p w14:paraId="50B200A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7CF440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Combined Condition Score</w:t>
            </w:r>
          </w:p>
        </w:tc>
        <w:tc>
          <w:tcPr>
            <w:tcW w:w="3299" w:type="dxa"/>
            <w:gridSpan w:val="2"/>
            <w:vAlign w:val="center"/>
          </w:tcPr>
          <w:p w14:paraId="4572BAE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± 3.5</w:t>
            </w:r>
          </w:p>
        </w:tc>
        <w:tc>
          <w:tcPr>
            <w:tcW w:w="3222" w:type="dxa"/>
            <w:gridSpan w:val="2"/>
            <w:vAlign w:val="center"/>
          </w:tcPr>
          <w:p w14:paraId="5D7A213D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8± 3.8</w:t>
            </w:r>
          </w:p>
        </w:tc>
      </w:tr>
      <w:tr w:rsidR="00A64DA8" w:rsidRPr="002308FC" w14:paraId="22B45C51" w14:textId="77777777" w:rsidTr="008E00D8">
        <w:tc>
          <w:tcPr>
            <w:tcW w:w="2978" w:type="dxa"/>
            <w:gridSpan w:val="3"/>
            <w:vMerge/>
          </w:tcPr>
          <w:p w14:paraId="65C24C5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9F890B5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 Year Survival, percent</w:t>
            </w:r>
          </w:p>
        </w:tc>
        <w:tc>
          <w:tcPr>
            <w:tcW w:w="3299" w:type="dxa"/>
            <w:gridSpan w:val="2"/>
            <w:vAlign w:val="center"/>
          </w:tcPr>
          <w:p w14:paraId="7FD4526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 ± 6.8</w:t>
            </w:r>
          </w:p>
        </w:tc>
        <w:tc>
          <w:tcPr>
            <w:tcW w:w="3222" w:type="dxa"/>
            <w:gridSpan w:val="2"/>
            <w:vAlign w:val="center"/>
          </w:tcPr>
          <w:p w14:paraId="0F6B4EA2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 (0-98)</w:t>
            </w:r>
          </w:p>
        </w:tc>
      </w:tr>
      <w:tr w:rsidR="00A64DA8" w:rsidRPr="002308FC" w14:paraId="3363D156" w14:textId="77777777" w:rsidTr="008E00D8">
        <w:tc>
          <w:tcPr>
            <w:tcW w:w="10946" w:type="dxa"/>
            <w:gridSpan w:val="8"/>
          </w:tcPr>
          <w:p w14:paraId="7C46637E" w14:textId="77777777" w:rsidR="00A64DA8" w:rsidRPr="002308FC" w:rsidRDefault="00A64DA8" w:rsidP="008E00D8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Acute illness indices</w:t>
            </w:r>
          </w:p>
        </w:tc>
      </w:tr>
      <w:tr w:rsidR="00A64DA8" w:rsidRPr="002308FC" w14:paraId="00E20BD1" w14:textId="77777777" w:rsidTr="008E00D8">
        <w:tc>
          <w:tcPr>
            <w:tcW w:w="4423" w:type="dxa"/>
            <w:gridSpan w:val="4"/>
            <w:vAlign w:val="center"/>
          </w:tcPr>
          <w:p w14:paraId="17628DC3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Severe sepsis, septic shock, multi-organ failure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r w:rsidRPr="002906F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previous sepsis severity classification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310" w:type="dxa"/>
            <w:vAlign w:val="center"/>
          </w:tcPr>
          <w:p w14:paraId="3AE52A30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989" w:type="dxa"/>
            <w:vAlign w:val="center"/>
          </w:tcPr>
          <w:p w14:paraId="04903DB2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521" w:type="dxa"/>
            <w:vAlign w:val="center"/>
          </w:tcPr>
          <w:p w14:paraId="2C9B895E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1" w:type="dxa"/>
            <w:vAlign w:val="center"/>
          </w:tcPr>
          <w:p w14:paraId="65F19B5C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</w:tr>
      <w:tr w:rsidR="00A64DA8" w:rsidRPr="002308FC" w14:paraId="061554B0" w14:textId="77777777" w:rsidTr="008E00D8">
        <w:tc>
          <w:tcPr>
            <w:tcW w:w="4423" w:type="dxa"/>
            <w:gridSpan w:val="4"/>
          </w:tcPr>
          <w:p w14:paraId="7AEBF9E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In ICU at culture date</w:t>
            </w:r>
          </w:p>
        </w:tc>
        <w:tc>
          <w:tcPr>
            <w:tcW w:w="1310" w:type="dxa"/>
          </w:tcPr>
          <w:p w14:paraId="49DF473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9" w:type="dxa"/>
          </w:tcPr>
          <w:p w14:paraId="15BB2F9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521" w:type="dxa"/>
          </w:tcPr>
          <w:p w14:paraId="491D994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14:paraId="0F8F434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</w:tr>
      <w:tr w:rsidR="00A64DA8" w:rsidRPr="002308FC" w14:paraId="5F2F3E54" w14:textId="77777777" w:rsidTr="008E00D8">
        <w:tc>
          <w:tcPr>
            <w:tcW w:w="4423" w:type="dxa"/>
            <w:gridSpan w:val="4"/>
          </w:tcPr>
          <w:p w14:paraId="7B5E9F8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Mechanically ventilated</w:t>
            </w:r>
          </w:p>
        </w:tc>
        <w:tc>
          <w:tcPr>
            <w:tcW w:w="1310" w:type="dxa"/>
          </w:tcPr>
          <w:p w14:paraId="781A013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9" w:type="dxa"/>
          </w:tcPr>
          <w:p w14:paraId="18AD5D7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521" w:type="dxa"/>
          </w:tcPr>
          <w:p w14:paraId="4DE6966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14:paraId="222421B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A64DA8" w:rsidRPr="002308FC" w14:paraId="012EC0B0" w14:textId="77777777" w:rsidTr="008E00D8">
        <w:tc>
          <w:tcPr>
            <w:tcW w:w="4423" w:type="dxa"/>
            <w:gridSpan w:val="4"/>
          </w:tcPr>
          <w:p w14:paraId="3277013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Acute kidney injury</w:t>
            </w:r>
          </w:p>
        </w:tc>
        <w:tc>
          <w:tcPr>
            <w:tcW w:w="1310" w:type="dxa"/>
          </w:tcPr>
          <w:p w14:paraId="1A769FF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989" w:type="dxa"/>
          </w:tcPr>
          <w:p w14:paraId="53E4237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521" w:type="dxa"/>
          </w:tcPr>
          <w:p w14:paraId="723190C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14:paraId="728C087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</w:tr>
      <w:tr w:rsidR="00A64DA8" w:rsidRPr="002308FC" w14:paraId="08EC9A68" w14:textId="77777777" w:rsidTr="008E00D8">
        <w:tc>
          <w:tcPr>
            <w:tcW w:w="4423" w:type="dxa"/>
            <w:gridSpan w:val="4"/>
          </w:tcPr>
          <w:p w14:paraId="79A2DD9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Altered consciousness at culture date</w:t>
            </w:r>
          </w:p>
        </w:tc>
        <w:tc>
          <w:tcPr>
            <w:tcW w:w="1310" w:type="dxa"/>
          </w:tcPr>
          <w:p w14:paraId="781C499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989" w:type="dxa"/>
          </w:tcPr>
          <w:p w14:paraId="704019C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521" w:type="dxa"/>
          </w:tcPr>
          <w:p w14:paraId="6629746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01" w:type="dxa"/>
          </w:tcPr>
          <w:p w14:paraId="5F638B8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  <w:tr w:rsidR="00A64DA8" w:rsidRPr="002308FC" w14:paraId="03922693" w14:textId="77777777" w:rsidTr="008E00D8">
        <w:tc>
          <w:tcPr>
            <w:tcW w:w="4423" w:type="dxa"/>
            <w:gridSpan w:val="4"/>
          </w:tcPr>
          <w:p w14:paraId="77EC2B8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Rapidly fatal McCabe score</w:t>
            </w:r>
          </w:p>
        </w:tc>
        <w:tc>
          <w:tcPr>
            <w:tcW w:w="1310" w:type="dxa"/>
          </w:tcPr>
          <w:p w14:paraId="3A4E7F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9" w:type="dxa"/>
          </w:tcPr>
          <w:p w14:paraId="7089F0A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521" w:type="dxa"/>
          </w:tcPr>
          <w:p w14:paraId="76E2294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14:paraId="5D57923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</w:tr>
      <w:tr w:rsidR="00A64DA8" w:rsidRPr="002308FC" w14:paraId="5C1C153F" w14:textId="77777777" w:rsidTr="008E00D8">
        <w:tc>
          <w:tcPr>
            <w:tcW w:w="4423" w:type="dxa"/>
            <w:gridSpan w:val="4"/>
          </w:tcPr>
          <w:p w14:paraId="18DE84E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Pitt score, median (IQR)</w:t>
            </w:r>
          </w:p>
        </w:tc>
        <w:tc>
          <w:tcPr>
            <w:tcW w:w="3299" w:type="dxa"/>
            <w:gridSpan w:val="2"/>
          </w:tcPr>
          <w:p w14:paraId="2B9D984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(0-1)</w:t>
            </w:r>
          </w:p>
        </w:tc>
        <w:tc>
          <w:tcPr>
            <w:tcW w:w="3222" w:type="dxa"/>
            <w:gridSpan w:val="2"/>
          </w:tcPr>
          <w:p w14:paraId="57E7365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 (0-14)</w:t>
            </w:r>
          </w:p>
        </w:tc>
      </w:tr>
      <w:tr w:rsidR="00A64DA8" w:rsidRPr="002308FC" w14:paraId="4AD3548A" w14:textId="77777777" w:rsidTr="008E00D8">
        <w:tc>
          <w:tcPr>
            <w:tcW w:w="1985" w:type="dxa"/>
            <w:vMerge w:val="restart"/>
          </w:tcPr>
          <w:p w14:paraId="3C67FED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Clinical syndrome</w:t>
            </w:r>
          </w:p>
        </w:tc>
        <w:tc>
          <w:tcPr>
            <w:tcW w:w="2438" w:type="dxa"/>
            <w:gridSpan w:val="3"/>
          </w:tcPr>
          <w:p w14:paraId="7CA80F4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Urinary tract infection</w:t>
            </w:r>
          </w:p>
        </w:tc>
        <w:tc>
          <w:tcPr>
            <w:tcW w:w="1310" w:type="dxa"/>
          </w:tcPr>
          <w:p w14:paraId="565E6E0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989" w:type="dxa"/>
          </w:tcPr>
          <w:p w14:paraId="7FB009E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521" w:type="dxa"/>
          </w:tcPr>
          <w:p w14:paraId="1F7A1EA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14:paraId="2AF66D7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</w:tr>
      <w:tr w:rsidR="00A64DA8" w:rsidRPr="002308FC" w14:paraId="395FB84B" w14:textId="77777777" w:rsidTr="008E00D8">
        <w:tc>
          <w:tcPr>
            <w:tcW w:w="1985" w:type="dxa"/>
            <w:vMerge/>
          </w:tcPr>
          <w:p w14:paraId="285EFCD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5F167B4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Pneumonia and upper respiratory tract infection</w:t>
            </w:r>
          </w:p>
        </w:tc>
        <w:tc>
          <w:tcPr>
            <w:tcW w:w="1310" w:type="dxa"/>
          </w:tcPr>
          <w:p w14:paraId="7C833A7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989" w:type="dxa"/>
          </w:tcPr>
          <w:p w14:paraId="5166B68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521" w:type="dxa"/>
          </w:tcPr>
          <w:p w14:paraId="6C74539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701" w:type="dxa"/>
          </w:tcPr>
          <w:p w14:paraId="45B7DB2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</w:tr>
      <w:tr w:rsidR="00A64DA8" w:rsidRPr="002308FC" w14:paraId="104B7E27" w14:textId="77777777" w:rsidTr="008E00D8">
        <w:tc>
          <w:tcPr>
            <w:tcW w:w="1985" w:type="dxa"/>
            <w:vMerge/>
          </w:tcPr>
          <w:p w14:paraId="282DED8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04FD936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Skin or soft tissue infection</w:t>
            </w:r>
          </w:p>
        </w:tc>
        <w:tc>
          <w:tcPr>
            <w:tcW w:w="1310" w:type="dxa"/>
          </w:tcPr>
          <w:p w14:paraId="0F0BD37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89" w:type="dxa"/>
          </w:tcPr>
          <w:p w14:paraId="53BB82C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521" w:type="dxa"/>
          </w:tcPr>
          <w:p w14:paraId="5B94AEE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7206F75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A64DA8" w:rsidRPr="002308FC" w14:paraId="21A538E7" w14:textId="77777777" w:rsidTr="008E00D8">
        <w:tc>
          <w:tcPr>
            <w:tcW w:w="1985" w:type="dxa"/>
            <w:vMerge/>
          </w:tcPr>
          <w:p w14:paraId="3B3364D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3DAFD78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Intra-abdominal infection</w:t>
            </w:r>
          </w:p>
        </w:tc>
        <w:tc>
          <w:tcPr>
            <w:tcW w:w="1310" w:type="dxa"/>
          </w:tcPr>
          <w:p w14:paraId="1DEB5C7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9" w:type="dxa"/>
          </w:tcPr>
          <w:p w14:paraId="6945EFB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14:paraId="3B0AB7D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53C9E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A64DA8" w:rsidRPr="002308FC" w14:paraId="3BE17FAF" w14:textId="77777777" w:rsidTr="008E00D8">
        <w:tc>
          <w:tcPr>
            <w:tcW w:w="1985" w:type="dxa"/>
            <w:vMerge/>
          </w:tcPr>
          <w:p w14:paraId="5A84B74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3077217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Endocarditis</w:t>
            </w:r>
          </w:p>
        </w:tc>
        <w:tc>
          <w:tcPr>
            <w:tcW w:w="1310" w:type="dxa"/>
          </w:tcPr>
          <w:p w14:paraId="654AA3F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9" w:type="dxa"/>
          </w:tcPr>
          <w:p w14:paraId="7B80681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521" w:type="dxa"/>
          </w:tcPr>
          <w:p w14:paraId="0825E06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01F4D3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A64DA8" w:rsidRPr="002308FC" w14:paraId="2010F495" w14:textId="77777777" w:rsidTr="008E00D8">
        <w:tc>
          <w:tcPr>
            <w:tcW w:w="1985" w:type="dxa"/>
            <w:vMerge/>
          </w:tcPr>
          <w:p w14:paraId="54EC347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04A5958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Primary blood stream infection</w:t>
            </w:r>
          </w:p>
        </w:tc>
        <w:tc>
          <w:tcPr>
            <w:tcW w:w="1310" w:type="dxa"/>
          </w:tcPr>
          <w:p w14:paraId="5F66C6F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14:paraId="04EAF66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21" w:type="dxa"/>
          </w:tcPr>
          <w:p w14:paraId="44FB81A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7FA9619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4DA8" w:rsidRPr="002308FC" w14:paraId="3748B37F" w14:textId="77777777" w:rsidTr="008E00D8">
        <w:tc>
          <w:tcPr>
            <w:tcW w:w="1985" w:type="dxa"/>
            <w:vMerge/>
          </w:tcPr>
          <w:p w14:paraId="4583CA2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6BEFF63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Central nervous system infection</w:t>
            </w:r>
          </w:p>
        </w:tc>
        <w:tc>
          <w:tcPr>
            <w:tcW w:w="1310" w:type="dxa"/>
          </w:tcPr>
          <w:p w14:paraId="6FC57BF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9" w:type="dxa"/>
          </w:tcPr>
          <w:p w14:paraId="0631806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21" w:type="dxa"/>
          </w:tcPr>
          <w:p w14:paraId="3418E3B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9E5931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2012D9B9" w14:textId="77777777" w:rsidTr="008E00D8">
        <w:tc>
          <w:tcPr>
            <w:tcW w:w="1985" w:type="dxa"/>
            <w:vMerge/>
          </w:tcPr>
          <w:p w14:paraId="7B1AD65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4F9CD0B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Bacteremia without determined focus</w:t>
            </w:r>
          </w:p>
        </w:tc>
        <w:tc>
          <w:tcPr>
            <w:tcW w:w="1310" w:type="dxa"/>
          </w:tcPr>
          <w:p w14:paraId="4DFF0C7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9" w:type="dxa"/>
          </w:tcPr>
          <w:p w14:paraId="4C8DF5D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21" w:type="dxa"/>
          </w:tcPr>
          <w:p w14:paraId="7D1E07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041E78F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DA8" w:rsidRPr="002308FC" w14:paraId="4879A012" w14:textId="77777777" w:rsidTr="008E00D8">
        <w:tc>
          <w:tcPr>
            <w:tcW w:w="1985" w:type="dxa"/>
            <w:vMerge/>
          </w:tcPr>
          <w:p w14:paraId="0E3740B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78BA49E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Gynecologic / pelvic infection</w:t>
            </w:r>
          </w:p>
        </w:tc>
        <w:tc>
          <w:tcPr>
            <w:tcW w:w="1310" w:type="dxa"/>
          </w:tcPr>
          <w:p w14:paraId="1DB2F1B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9" w:type="dxa"/>
          </w:tcPr>
          <w:p w14:paraId="74EF296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521" w:type="dxa"/>
          </w:tcPr>
          <w:p w14:paraId="161367C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80E26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40D7E331" w14:textId="77777777" w:rsidTr="008E00D8">
        <w:tc>
          <w:tcPr>
            <w:tcW w:w="1985" w:type="dxa"/>
            <w:vMerge w:val="restart"/>
            <w:vAlign w:val="center"/>
          </w:tcPr>
          <w:p w14:paraId="7CFE9D8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Hospitalization division </w:t>
            </w:r>
          </w:p>
        </w:tc>
        <w:tc>
          <w:tcPr>
            <w:tcW w:w="2438" w:type="dxa"/>
            <w:gridSpan w:val="3"/>
          </w:tcPr>
          <w:p w14:paraId="4EEEBBF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Medicine (including advanced-care rooms)</w:t>
            </w:r>
          </w:p>
        </w:tc>
        <w:tc>
          <w:tcPr>
            <w:tcW w:w="1310" w:type="dxa"/>
          </w:tcPr>
          <w:p w14:paraId="37AE67F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989" w:type="dxa"/>
          </w:tcPr>
          <w:p w14:paraId="38D7827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521" w:type="dxa"/>
          </w:tcPr>
          <w:p w14:paraId="3EB5D6B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</w:tcPr>
          <w:p w14:paraId="60FC0EF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64DA8" w:rsidRPr="002308FC" w14:paraId="598E6677" w14:textId="77777777" w:rsidTr="008E00D8">
        <w:tc>
          <w:tcPr>
            <w:tcW w:w="1985" w:type="dxa"/>
            <w:vMerge/>
          </w:tcPr>
          <w:p w14:paraId="35339C2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17F962D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</w:tc>
        <w:tc>
          <w:tcPr>
            <w:tcW w:w="1310" w:type="dxa"/>
          </w:tcPr>
          <w:p w14:paraId="5551F5E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89" w:type="dxa"/>
          </w:tcPr>
          <w:p w14:paraId="445354F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521" w:type="dxa"/>
          </w:tcPr>
          <w:p w14:paraId="4BEE79F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14:paraId="16C9DF7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4DA8" w:rsidRPr="002308FC" w14:paraId="4DCFDE79" w14:textId="77777777" w:rsidTr="008E00D8">
        <w:tc>
          <w:tcPr>
            <w:tcW w:w="1985" w:type="dxa"/>
            <w:vMerge/>
          </w:tcPr>
          <w:p w14:paraId="46FDD0B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123C4B55" w14:textId="77777777" w:rsidR="00A64DA8" w:rsidRPr="002308FC" w:rsidRDefault="00A64DA8" w:rsidP="008E00D8">
            <w:pPr>
              <w:tabs>
                <w:tab w:val="center" w:pos="2160"/>
              </w:tabs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Obstetrics-Gynecology</w:t>
            </w:r>
          </w:p>
        </w:tc>
        <w:tc>
          <w:tcPr>
            <w:tcW w:w="1310" w:type="dxa"/>
          </w:tcPr>
          <w:p w14:paraId="2E22A95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89" w:type="dxa"/>
          </w:tcPr>
          <w:p w14:paraId="02C8121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521" w:type="dxa"/>
          </w:tcPr>
          <w:p w14:paraId="506A531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01B029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A8" w:rsidRPr="002308FC" w14:paraId="40613284" w14:textId="77777777" w:rsidTr="008E00D8">
        <w:tc>
          <w:tcPr>
            <w:tcW w:w="1985" w:type="dxa"/>
            <w:vMerge/>
          </w:tcPr>
          <w:p w14:paraId="3A96B008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41EC0836" w14:textId="77777777" w:rsidR="00A64DA8" w:rsidRPr="002308FC" w:rsidRDefault="00A64DA8" w:rsidP="008E00D8">
            <w:pPr>
              <w:tabs>
                <w:tab w:val="center" w:pos="2160"/>
              </w:tabs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ICU or ICCU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0" w:type="dxa"/>
          </w:tcPr>
          <w:p w14:paraId="1703C94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9" w:type="dxa"/>
          </w:tcPr>
          <w:p w14:paraId="074D4B1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521" w:type="dxa"/>
          </w:tcPr>
          <w:p w14:paraId="3B47525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14:paraId="3A2F371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4DA8" w:rsidRPr="002308FC" w14:paraId="5B9DDB19" w14:textId="77777777" w:rsidTr="008E00D8">
        <w:tc>
          <w:tcPr>
            <w:tcW w:w="1985" w:type="dxa"/>
            <w:vMerge/>
          </w:tcPr>
          <w:p w14:paraId="6BDBBE8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6829334E" w14:textId="77777777" w:rsidR="00A64DA8" w:rsidRPr="002308FC" w:rsidRDefault="00A64DA8" w:rsidP="008E00D8">
            <w:pPr>
              <w:tabs>
                <w:tab w:val="center" w:pos="2160"/>
              </w:tabs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Emergency Room</w:t>
            </w:r>
          </w:p>
        </w:tc>
        <w:tc>
          <w:tcPr>
            <w:tcW w:w="1310" w:type="dxa"/>
          </w:tcPr>
          <w:p w14:paraId="0FA237B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9" w:type="dxa"/>
          </w:tcPr>
          <w:p w14:paraId="5D3F3A8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21" w:type="dxa"/>
          </w:tcPr>
          <w:p w14:paraId="5DB5DE0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01" w:type="dxa"/>
          </w:tcPr>
          <w:p w14:paraId="2512C1B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4DA8" w:rsidRPr="002308FC" w14:paraId="48A61508" w14:textId="77777777" w:rsidTr="008E00D8">
        <w:tc>
          <w:tcPr>
            <w:tcW w:w="10946" w:type="dxa"/>
            <w:gridSpan w:val="8"/>
            <w:vAlign w:val="center"/>
          </w:tcPr>
          <w:p w14:paraId="51EB3D93" w14:textId="77777777" w:rsidR="00A64DA8" w:rsidRPr="002308FC" w:rsidRDefault="00A64DA8" w:rsidP="008E00D8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Antimicrobial therapy</w:t>
            </w:r>
          </w:p>
        </w:tc>
      </w:tr>
      <w:tr w:rsidR="00A64DA8" w:rsidRPr="002308FC" w14:paraId="2F3AC274" w14:textId="77777777" w:rsidTr="008E00D8">
        <w:tc>
          <w:tcPr>
            <w:tcW w:w="4423" w:type="dxa"/>
            <w:gridSpan w:val="4"/>
          </w:tcPr>
          <w:p w14:paraId="2681AB9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Days to initiation of appropriate therapy, median (range)</w:t>
            </w:r>
          </w:p>
        </w:tc>
        <w:tc>
          <w:tcPr>
            <w:tcW w:w="3299" w:type="dxa"/>
            <w:gridSpan w:val="2"/>
          </w:tcPr>
          <w:p w14:paraId="579FEDC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</w:t>
            </w: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0-2</w:t>
            </w: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2" w:type="dxa"/>
            <w:gridSpan w:val="2"/>
          </w:tcPr>
          <w:p w14:paraId="2D72FC0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 (0-12)</w:t>
            </w:r>
          </w:p>
        </w:tc>
      </w:tr>
      <w:tr w:rsidR="00A64DA8" w:rsidRPr="002308FC" w14:paraId="3B74B96E" w14:textId="77777777" w:rsidTr="008E00D8">
        <w:tc>
          <w:tcPr>
            <w:tcW w:w="4423" w:type="dxa"/>
            <w:gridSpan w:val="4"/>
          </w:tcPr>
          <w:p w14:paraId="7C429AE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≥ 48 hours delay in initiating appropriate therapy</w:t>
            </w:r>
          </w:p>
        </w:tc>
        <w:tc>
          <w:tcPr>
            <w:tcW w:w="1310" w:type="dxa"/>
          </w:tcPr>
          <w:p w14:paraId="223E7E8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9" w:type="dxa"/>
          </w:tcPr>
          <w:p w14:paraId="52896B7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521" w:type="dxa"/>
          </w:tcPr>
          <w:p w14:paraId="7CEDA82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4459934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</w:tr>
      <w:tr w:rsidR="00A64DA8" w:rsidRPr="002308FC" w14:paraId="2FA3638E" w14:textId="77777777" w:rsidTr="008E00D8">
        <w:tc>
          <w:tcPr>
            <w:tcW w:w="10946" w:type="dxa"/>
            <w:gridSpan w:val="8"/>
            <w:vAlign w:val="center"/>
          </w:tcPr>
          <w:p w14:paraId="07FA7D3E" w14:textId="77777777" w:rsidR="00A64DA8" w:rsidRPr="002308FC" w:rsidRDefault="00A64DA8" w:rsidP="008E00D8">
            <w:pPr>
              <w:bidi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Outcomes</w:t>
            </w:r>
          </w:p>
        </w:tc>
      </w:tr>
      <w:tr w:rsidR="00A64DA8" w:rsidRPr="002308FC" w14:paraId="7245B2B9" w14:textId="77777777" w:rsidTr="008E00D8">
        <w:tc>
          <w:tcPr>
            <w:tcW w:w="4423" w:type="dxa"/>
            <w:gridSpan w:val="4"/>
          </w:tcPr>
          <w:p w14:paraId="2A2F029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Length of stay from infection to discharge, after excluding the dead, days, median (IQR)</w:t>
            </w:r>
          </w:p>
        </w:tc>
        <w:tc>
          <w:tcPr>
            <w:tcW w:w="3299" w:type="dxa"/>
            <w:gridSpan w:val="2"/>
          </w:tcPr>
          <w:p w14:paraId="688464E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 (3-8)</w:t>
            </w:r>
          </w:p>
        </w:tc>
        <w:tc>
          <w:tcPr>
            <w:tcW w:w="3222" w:type="dxa"/>
            <w:gridSpan w:val="2"/>
          </w:tcPr>
          <w:p w14:paraId="3A1FD54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22 (5-669)</w:t>
            </w:r>
          </w:p>
        </w:tc>
      </w:tr>
      <w:tr w:rsidR="00A64DA8" w:rsidRPr="002308FC" w14:paraId="0FC645A7" w14:textId="77777777" w:rsidTr="008E00D8">
        <w:tc>
          <w:tcPr>
            <w:tcW w:w="4423" w:type="dxa"/>
            <w:gridSpan w:val="4"/>
          </w:tcPr>
          <w:p w14:paraId="76E64A4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Died during current hospitalization</w:t>
            </w:r>
          </w:p>
        </w:tc>
        <w:tc>
          <w:tcPr>
            <w:tcW w:w="1310" w:type="dxa"/>
          </w:tcPr>
          <w:p w14:paraId="7BBD902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9" w:type="dxa"/>
          </w:tcPr>
          <w:p w14:paraId="324F8E0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21" w:type="dxa"/>
          </w:tcPr>
          <w:p w14:paraId="310820A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701" w:type="dxa"/>
          </w:tcPr>
          <w:p w14:paraId="1FDA2B9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</w:tr>
      <w:tr w:rsidR="00A64DA8" w:rsidRPr="002308FC" w14:paraId="0D3AF585" w14:textId="77777777" w:rsidTr="008E00D8">
        <w:tc>
          <w:tcPr>
            <w:tcW w:w="4423" w:type="dxa"/>
            <w:gridSpan w:val="4"/>
          </w:tcPr>
          <w:p w14:paraId="446AC15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Died during 14 days after culture date</w:t>
            </w:r>
          </w:p>
        </w:tc>
        <w:tc>
          <w:tcPr>
            <w:tcW w:w="1310" w:type="dxa"/>
          </w:tcPr>
          <w:p w14:paraId="4E878D0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9" w:type="dxa"/>
          </w:tcPr>
          <w:p w14:paraId="413B2E3F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166A10C3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14:paraId="7E11D59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</w:tr>
      <w:tr w:rsidR="00A64DA8" w:rsidRPr="002308FC" w14:paraId="677CFD7D" w14:textId="77777777" w:rsidTr="008E00D8">
        <w:tc>
          <w:tcPr>
            <w:tcW w:w="4423" w:type="dxa"/>
            <w:gridSpan w:val="4"/>
          </w:tcPr>
          <w:p w14:paraId="29E99AB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Died during 90 days after culture date </w:t>
            </w:r>
          </w:p>
        </w:tc>
        <w:tc>
          <w:tcPr>
            <w:tcW w:w="1310" w:type="dxa"/>
          </w:tcPr>
          <w:p w14:paraId="01E0A56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9" w:type="dxa"/>
          </w:tcPr>
          <w:p w14:paraId="2235911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521" w:type="dxa"/>
          </w:tcPr>
          <w:p w14:paraId="7C0B2BA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14:paraId="53971E9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</w:tr>
      <w:tr w:rsidR="00A64DA8" w:rsidRPr="002308FC" w14:paraId="2DFDB3D2" w14:textId="77777777" w:rsidTr="008E00D8">
        <w:tc>
          <w:tcPr>
            <w:tcW w:w="2622" w:type="dxa"/>
            <w:gridSpan w:val="2"/>
            <w:vMerge w:val="restart"/>
            <w:vAlign w:val="center"/>
          </w:tcPr>
          <w:p w14:paraId="41158990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Among survivors of index hospitalization</w:t>
            </w:r>
          </w:p>
        </w:tc>
        <w:tc>
          <w:tcPr>
            <w:tcW w:w="1801" w:type="dxa"/>
            <w:gridSpan w:val="2"/>
            <w:vAlign w:val="center"/>
          </w:tcPr>
          <w:p w14:paraId="724B3B64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Functional status deterioration at discharge</w:t>
            </w:r>
          </w:p>
        </w:tc>
        <w:tc>
          <w:tcPr>
            <w:tcW w:w="1310" w:type="dxa"/>
          </w:tcPr>
          <w:p w14:paraId="4B32629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9" w:type="dxa"/>
          </w:tcPr>
          <w:p w14:paraId="66FE0177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14:paraId="398B29A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14:paraId="2ACA4D2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4DA8" w:rsidRPr="002308FC" w14:paraId="0A4B146D" w14:textId="77777777" w:rsidTr="008E00D8">
        <w:tc>
          <w:tcPr>
            <w:tcW w:w="2622" w:type="dxa"/>
            <w:gridSpan w:val="2"/>
            <w:vMerge/>
            <w:vAlign w:val="center"/>
          </w:tcPr>
          <w:p w14:paraId="78E8480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220B627" w14:textId="77777777" w:rsidR="00A64DA8" w:rsidRPr="002308FC" w:rsidRDefault="00A64DA8" w:rsidP="008E00D8">
            <w:p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Discharge to LTCF (only patients admitted from home)</w:t>
            </w:r>
          </w:p>
        </w:tc>
        <w:tc>
          <w:tcPr>
            <w:tcW w:w="1310" w:type="dxa"/>
          </w:tcPr>
          <w:p w14:paraId="3BF895D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9" w:type="dxa"/>
          </w:tcPr>
          <w:p w14:paraId="4A9A12C2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21" w:type="dxa"/>
          </w:tcPr>
          <w:p w14:paraId="13CE744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176</w:t>
            </w:r>
          </w:p>
        </w:tc>
        <w:tc>
          <w:tcPr>
            <w:tcW w:w="1701" w:type="dxa"/>
          </w:tcPr>
          <w:p w14:paraId="7250369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39</w:t>
            </w:r>
          </w:p>
        </w:tc>
      </w:tr>
      <w:tr w:rsidR="00A64DA8" w:rsidRPr="002308FC" w14:paraId="06A5D071" w14:textId="77777777" w:rsidTr="008E00D8">
        <w:tc>
          <w:tcPr>
            <w:tcW w:w="2622" w:type="dxa"/>
            <w:gridSpan w:val="2"/>
            <w:vMerge/>
            <w:vAlign w:val="center"/>
          </w:tcPr>
          <w:p w14:paraId="7D5B5DD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52C869B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Clostridium difficile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infection in 90 days</w:t>
            </w:r>
          </w:p>
        </w:tc>
        <w:tc>
          <w:tcPr>
            <w:tcW w:w="1310" w:type="dxa"/>
          </w:tcPr>
          <w:p w14:paraId="0834BF7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14:paraId="6AA18221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521" w:type="dxa"/>
          </w:tcPr>
          <w:p w14:paraId="510A26A5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96F0C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60A4E56B" w14:textId="77777777" w:rsidTr="008E00D8">
        <w:tc>
          <w:tcPr>
            <w:tcW w:w="2622" w:type="dxa"/>
            <w:gridSpan w:val="2"/>
            <w:vMerge/>
            <w:vAlign w:val="center"/>
          </w:tcPr>
          <w:p w14:paraId="223A318E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D8BD866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Additional hospitalization in the following 3 months</w:t>
            </w:r>
          </w:p>
        </w:tc>
        <w:tc>
          <w:tcPr>
            <w:tcW w:w="1310" w:type="dxa"/>
          </w:tcPr>
          <w:p w14:paraId="68F9834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989" w:type="dxa"/>
          </w:tcPr>
          <w:p w14:paraId="472E9D9A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521" w:type="dxa"/>
          </w:tcPr>
          <w:p w14:paraId="6260F01D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14:paraId="3BE87A34" w14:textId="77777777" w:rsidR="00A64DA8" w:rsidRPr="002308FC" w:rsidRDefault="00A64DA8" w:rsidP="008E00D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</w:tbl>
    <w:p w14:paraId="3102337B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308FC">
        <w:rPr>
          <w:rFonts w:ascii="Times New Roman" w:hAnsi="Times New Roman" w:cs="Times New Roman"/>
          <w:sz w:val="24"/>
          <w:szCs w:val="24"/>
          <w:vertAlign w:val="superscript"/>
          <w:rtl/>
        </w:rPr>
        <w:t>1</w:t>
      </w:r>
      <w:r w:rsidRPr="002308FC">
        <w:rPr>
          <w:rFonts w:ascii="Times New Roman" w:hAnsi="Times New Roman" w:cs="Times New Roman"/>
          <w:sz w:val="24"/>
          <w:szCs w:val="24"/>
        </w:rPr>
        <w:t xml:space="preserve"> data is presented as valid percent- unknown data was removed from statistics.</w:t>
      </w:r>
    </w:p>
    <w:p w14:paraId="3C7DC7F5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308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08FC">
        <w:rPr>
          <w:rFonts w:ascii="Times New Roman" w:hAnsi="Times New Roman" w:cs="Times New Roman"/>
          <w:sz w:val="24"/>
          <w:szCs w:val="24"/>
        </w:rPr>
        <w:t xml:space="preserve"> MDRO- multi-drug resistant organism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08FC">
        <w:rPr>
          <w:rFonts w:ascii="Times New Roman" w:hAnsi="Times New Roman" w:cs="Times New Roman"/>
          <w:sz w:val="24"/>
          <w:szCs w:val="24"/>
        </w:rPr>
        <w:t xml:space="preserve"> included pathogens that were resistant to the first empiric antibiotic line: Methicillin-resistant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2308FC">
        <w:rPr>
          <w:rFonts w:ascii="Times New Roman" w:hAnsi="Times New Roman" w:cs="Times New Roman"/>
          <w:sz w:val="24"/>
          <w:szCs w:val="24"/>
        </w:rPr>
        <w:t xml:space="preserve"> (MRSA); Ampicillin and/or vancomycin resistant Enterococcus; Penicillin and/or ceftriaxone non-susceptible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Streptococcus pneumoniae</w:t>
      </w:r>
      <w:r w:rsidRPr="002308FC">
        <w:rPr>
          <w:rFonts w:ascii="Times New Roman" w:hAnsi="Times New Roman" w:cs="Times New Roman"/>
          <w:sz w:val="24"/>
          <w:szCs w:val="24"/>
        </w:rPr>
        <w:t xml:space="preserve">;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Acinetobacter baumannii</w:t>
      </w:r>
      <w:r w:rsidRPr="002308FC">
        <w:rPr>
          <w:rFonts w:ascii="Times New Roman" w:hAnsi="Times New Roman" w:cs="Times New Roman"/>
          <w:sz w:val="24"/>
          <w:szCs w:val="24"/>
        </w:rPr>
        <w:t xml:space="preserve">;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2308FC">
        <w:rPr>
          <w:rFonts w:ascii="Times New Roman" w:hAnsi="Times New Roman" w:cs="Times New Roman"/>
          <w:sz w:val="24"/>
          <w:szCs w:val="24"/>
        </w:rPr>
        <w:t>; Enterobacteriaceae non-susceptible to ≥1 3</w:t>
      </w:r>
      <w:r w:rsidRPr="002308F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308FC">
        <w:rPr>
          <w:rFonts w:ascii="Times New Roman" w:hAnsi="Times New Roman" w:cs="Times New Roman"/>
          <w:sz w:val="24"/>
          <w:szCs w:val="24"/>
        </w:rPr>
        <w:t xml:space="preserve"> generation cephalosporin (e.g., ceftriaxone, ceftazidime, cefotaxime);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Stenotrophomonas maltophilia</w:t>
      </w:r>
      <w:r w:rsidRPr="002308FC">
        <w:rPr>
          <w:rFonts w:ascii="Times New Roman" w:hAnsi="Times New Roman" w:cs="Times New Roman"/>
          <w:sz w:val="24"/>
          <w:szCs w:val="24"/>
        </w:rPr>
        <w:t>.</w:t>
      </w:r>
    </w:p>
    <w:p w14:paraId="406CC66A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308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08FC">
        <w:rPr>
          <w:rFonts w:ascii="Times New Roman" w:hAnsi="Times New Roman" w:cs="Times New Roman"/>
          <w:sz w:val="24"/>
          <w:szCs w:val="24"/>
        </w:rPr>
        <w:t xml:space="preserve"> Immunosuppression include either of the following situations: neutropenia (&lt;500 neutrophils) present at day of culture; Glucocorticoid use for &gt;48 hours in the month previous to culture day; chemotherapy or radiotherapy in the 3 months previous to culture day; carrier of Human Immunodeficiency Virus; Patient has had a bone marrow or solid organ transplantation; Anti-Tumor Necrosis Factor of Anti-tyrosine kinase therapy in past 3 months</w:t>
      </w:r>
    </w:p>
    <w:p w14:paraId="2804A421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1954BD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308FC">
        <w:rPr>
          <w:rFonts w:ascii="Times New Roman" w:hAnsi="Times New Roman" w:cs="Times New Roman"/>
          <w:sz w:val="24"/>
          <w:szCs w:val="24"/>
        </w:rPr>
        <w:t>SD – standard deviation; LTFC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– </w:t>
      </w:r>
      <w:r w:rsidRPr="002308FC">
        <w:rPr>
          <w:rFonts w:ascii="Times New Roman" w:hAnsi="Times New Roman" w:cs="Times New Roman"/>
          <w:sz w:val="24"/>
          <w:szCs w:val="24"/>
        </w:rPr>
        <w:t>Long Term Care Facility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S/P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– </w:t>
      </w:r>
      <w:r w:rsidRPr="002308FC">
        <w:rPr>
          <w:rFonts w:ascii="Times New Roman" w:hAnsi="Times New Roman" w:cs="Times New Roman"/>
          <w:sz w:val="24"/>
          <w:szCs w:val="24"/>
        </w:rPr>
        <w:t>stats post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CABG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– </w:t>
      </w:r>
      <w:r w:rsidRPr="002308FC">
        <w:rPr>
          <w:rFonts w:ascii="Times New Roman" w:hAnsi="Times New Roman" w:cs="Times New Roman"/>
          <w:sz w:val="24"/>
          <w:szCs w:val="24"/>
        </w:rPr>
        <w:t>coronary artery bypass graft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CVA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cerebrovascular accident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TIA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Transient Ischemic Attack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AIDS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Acquired Immune Deficiency Syndrome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SIRS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Systemic Inflammatory Response Syndrome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ICU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intensive care unit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Pr="002308FC">
        <w:rPr>
          <w:rFonts w:ascii="Times New Roman" w:hAnsi="Times New Roman" w:cs="Times New Roman"/>
          <w:sz w:val="24"/>
          <w:szCs w:val="24"/>
        </w:rPr>
        <w:t>ICCU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2308FC">
        <w:rPr>
          <w:rFonts w:ascii="Times New Roman" w:hAnsi="Times New Roman" w:cs="Times New Roman"/>
          <w:sz w:val="24"/>
          <w:szCs w:val="24"/>
        </w:rPr>
        <w:t>Intensive Cardiac-Care Unit</w:t>
      </w:r>
      <w:r w:rsidRPr="002308FC">
        <w:rPr>
          <w:rFonts w:ascii="Times New Roman" w:hAnsi="Times New Roman" w:cs="Times New Roman"/>
          <w:sz w:val="24"/>
          <w:szCs w:val="24"/>
          <w:rtl/>
        </w:rPr>
        <w:t>.</w:t>
      </w:r>
      <w:r w:rsidRPr="002308FC">
        <w:rPr>
          <w:rFonts w:ascii="Times New Roman" w:hAnsi="Times New Roman" w:cs="Times New Roman"/>
          <w:sz w:val="24"/>
          <w:szCs w:val="24"/>
        </w:rPr>
        <w:t xml:space="preserve"> Ob/Gyn- Obstetrics or Gynecology; IQR – inter quartile range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4ACD4" w14:textId="77777777" w:rsidR="00A64DA8" w:rsidRDefault="00A64DA8" w:rsidP="00A64DA8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A64DA8" w:rsidSect="00B72907"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14:paraId="44F71682" w14:textId="46159F93" w:rsidR="00A64DA8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64D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Supplementary 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Characteristics and features of the validation datasets included in the study</w:t>
      </w:r>
      <w:r w:rsidRPr="00CC62CB">
        <w:rPr>
          <w:rFonts w:ascii="Times New Roman" w:hAnsi="Times New Roman" w:cs="Times New Roman"/>
          <w:sz w:val="24"/>
          <w:szCs w:val="24"/>
        </w:rPr>
        <w:t>.</w:t>
      </w:r>
    </w:p>
    <w:p w14:paraId="56275CBB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85"/>
        <w:gridCol w:w="613"/>
        <w:gridCol w:w="1333"/>
        <w:gridCol w:w="3121"/>
        <w:gridCol w:w="1004"/>
        <w:gridCol w:w="1193"/>
        <w:gridCol w:w="613"/>
        <w:gridCol w:w="1307"/>
        <w:gridCol w:w="2774"/>
      </w:tblGrid>
      <w:tr w:rsidR="00A64DA8" w:rsidRPr="002308FC" w14:paraId="2A4E8D17" w14:textId="77777777" w:rsidTr="008E00D8">
        <w:tc>
          <w:tcPr>
            <w:tcW w:w="0" w:type="auto"/>
            <w:gridSpan w:val="5"/>
            <w:vAlign w:val="center"/>
          </w:tcPr>
          <w:p w14:paraId="3F1D542A" w14:textId="77777777" w:rsidR="00A64DA8" w:rsidRDefault="00A64DA8" w:rsidP="008E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Validation datasets of the MDR upon admission score</w:t>
            </w:r>
          </w:p>
        </w:tc>
        <w:tc>
          <w:tcPr>
            <w:tcW w:w="0" w:type="auto"/>
            <w:gridSpan w:val="5"/>
            <w:vAlign w:val="center"/>
          </w:tcPr>
          <w:p w14:paraId="6332AE1D" w14:textId="77777777" w:rsidR="00A64DA8" w:rsidRPr="002308FC" w:rsidRDefault="00A64DA8" w:rsidP="008E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Validation datasets of the nosocomial XDR score</w:t>
            </w:r>
          </w:p>
        </w:tc>
      </w:tr>
      <w:tr w:rsidR="00A64DA8" w:rsidRPr="002308FC" w14:paraId="137D1DB7" w14:textId="77777777" w:rsidTr="008E00D8">
        <w:tc>
          <w:tcPr>
            <w:tcW w:w="0" w:type="auto"/>
            <w:vAlign w:val="center"/>
          </w:tcPr>
          <w:p w14:paraId="22877D2E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Dataset name</w:t>
            </w:r>
          </w:p>
        </w:tc>
        <w:tc>
          <w:tcPr>
            <w:tcW w:w="0" w:type="auto"/>
            <w:vAlign w:val="center"/>
          </w:tcPr>
          <w:p w14:paraId="42DA0EAD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0" w:type="auto"/>
            <w:vAlign w:val="center"/>
          </w:tcPr>
          <w:p w14:paraId="4271C8D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Pt. No.</w:t>
            </w:r>
          </w:p>
        </w:tc>
        <w:tc>
          <w:tcPr>
            <w:tcW w:w="0" w:type="auto"/>
            <w:vAlign w:val="center"/>
          </w:tcPr>
          <w:p w14:paraId="22325FE2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0" w:type="auto"/>
            <w:vAlign w:val="center"/>
          </w:tcPr>
          <w:p w14:paraId="0195260A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</w:tcPr>
          <w:p w14:paraId="51E1054E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Dataset name</w:t>
            </w:r>
          </w:p>
        </w:tc>
        <w:tc>
          <w:tcPr>
            <w:tcW w:w="0" w:type="auto"/>
            <w:vAlign w:val="center"/>
          </w:tcPr>
          <w:p w14:paraId="4095599A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0" w:type="auto"/>
            <w:vAlign w:val="center"/>
          </w:tcPr>
          <w:p w14:paraId="3C9B4D33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Pt. No.</w:t>
            </w:r>
          </w:p>
        </w:tc>
        <w:tc>
          <w:tcPr>
            <w:tcW w:w="0" w:type="auto"/>
            <w:vAlign w:val="center"/>
          </w:tcPr>
          <w:p w14:paraId="2CED78B7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0" w:type="auto"/>
            <w:vAlign w:val="center"/>
          </w:tcPr>
          <w:p w14:paraId="2D3CE07E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64DA8" w:rsidRPr="002308FC" w14:paraId="2C5D4D15" w14:textId="77777777" w:rsidTr="008E00D8">
        <w:tc>
          <w:tcPr>
            <w:tcW w:w="0" w:type="auto"/>
            <w:vAlign w:val="center"/>
          </w:tcPr>
          <w:p w14:paraId="41E9A416" w14:textId="55B0A2DE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MDR1</w:t>
            </w:r>
          </w:p>
        </w:tc>
        <w:tc>
          <w:tcPr>
            <w:tcW w:w="0" w:type="auto"/>
            <w:vAlign w:val="center"/>
          </w:tcPr>
          <w:p w14:paraId="3B48B91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Gil Marcus</w:t>
            </w:r>
          </w:p>
        </w:tc>
        <w:tc>
          <w:tcPr>
            <w:tcW w:w="0" w:type="auto"/>
            <w:vAlign w:val="center"/>
          </w:tcPr>
          <w:p w14:paraId="6FF13357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</w:tcPr>
          <w:p w14:paraId="134B933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CF">
              <w:rPr>
                <w:rFonts w:ascii="Times New Roman" w:hAnsi="Times New Roman" w:cs="Times New Roman"/>
                <w:sz w:val="24"/>
                <w:szCs w:val="24"/>
              </w:rPr>
              <w:t>1/12/2014 – 4/25/2014</w:t>
            </w:r>
          </w:p>
        </w:tc>
        <w:tc>
          <w:tcPr>
            <w:tcW w:w="0" w:type="auto"/>
            <w:vAlign w:val="center"/>
          </w:tcPr>
          <w:p w14:paraId="555B22CE" w14:textId="423FC000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MC, p</w:t>
            </w:r>
            <w:r w:rsidR="00A64DA8" w:rsidRPr="00B949CF">
              <w:rPr>
                <w:rFonts w:ascii="Times New Roman" w:hAnsi="Times New Roman" w:cs="Times New Roman"/>
                <w:sz w:val="24"/>
                <w:szCs w:val="24"/>
              </w:rPr>
              <w:t>atients with MDR BSI vs. patients with non-MDR BSI</w:t>
            </w:r>
          </w:p>
        </w:tc>
        <w:tc>
          <w:tcPr>
            <w:tcW w:w="0" w:type="auto"/>
            <w:vAlign w:val="center"/>
          </w:tcPr>
          <w:p w14:paraId="24532EC6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DMC CRE1</w:t>
            </w:r>
          </w:p>
        </w:tc>
        <w:tc>
          <w:tcPr>
            <w:tcW w:w="0" w:type="auto"/>
            <w:vAlign w:val="center"/>
          </w:tcPr>
          <w:p w14:paraId="26363806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Violet Libman</w:t>
            </w:r>
          </w:p>
        </w:tc>
        <w:tc>
          <w:tcPr>
            <w:tcW w:w="0" w:type="auto"/>
            <w:vAlign w:val="center"/>
          </w:tcPr>
          <w:p w14:paraId="09100CB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</w:tcPr>
          <w:p w14:paraId="47C43D04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2007-2010</w:t>
            </w:r>
          </w:p>
        </w:tc>
        <w:tc>
          <w:tcPr>
            <w:tcW w:w="0" w:type="auto"/>
            <w:vAlign w:val="center"/>
          </w:tcPr>
          <w:p w14:paraId="4E65A44F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DMC, 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patients with CRE BSI vs. patients with ESBL BSI</w:t>
            </w:r>
          </w:p>
        </w:tc>
      </w:tr>
      <w:tr w:rsidR="00A64DA8" w:rsidRPr="002308FC" w14:paraId="10990957" w14:textId="77777777" w:rsidTr="008E00D8">
        <w:tc>
          <w:tcPr>
            <w:tcW w:w="0" w:type="auto"/>
            <w:vAlign w:val="center"/>
          </w:tcPr>
          <w:p w14:paraId="1262E511" w14:textId="61BFF805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MDR2</w:t>
            </w:r>
          </w:p>
        </w:tc>
        <w:tc>
          <w:tcPr>
            <w:tcW w:w="0" w:type="auto"/>
            <w:vAlign w:val="center"/>
          </w:tcPr>
          <w:p w14:paraId="76FA66C2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Mor Broide</w:t>
            </w:r>
          </w:p>
        </w:tc>
        <w:tc>
          <w:tcPr>
            <w:tcW w:w="0" w:type="auto"/>
            <w:vAlign w:val="center"/>
          </w:tcPr>
          <w:p w14:paraId="7F451968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14:paraId="18ECB194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7/1/2012 - 6/30/2013</w:t>
            </w:r>
          </w:p>
        </w:tc>
        <w:tc>
          <w:tcPr>
            <w:tcW w:w="0" w:type="auto"/>
            <w:vAlign w:val="center"/>
          </w:tcPr>
          <w:p w14:paraId="4B654BEA" w14:textId="2A01541E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MC, p</w:t>
            </w:r>
            <w:r w:rsidR="00A64DA8" w:rsidRPr="00B949CF">
              <w:rPr>
                <w:rFonts w:ascii="Times New Roman" w:hAnsi="Times New Roman" w:cs="Times New Roman"/>
                <w:sz w:val="24"/>
                <w:szCs w:val="24"/>
              </w:rPr>
              <w:t xml:space="preserve">atients 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with ESBL-producing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nterobacter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infections vs. patients with non-ESBL-producing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nterobacter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infections</w:t>
            </w:r>
          </w:p>
        </w:tc>
        <w:tc>
          <w:tcPr>
            <w:tcW w:w="0" w:type="auto"/>
            <w:vAlign w:val="center"/>
          </w:tcPr>
          <w:p w14:paraId="081E1EFC" w14:textId="7AEC828D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XDR1</w:t>
            </w:r>
          </w:p>
        </w:tc>
        <w:tc>
          <w:tcPr>
            <w:tcW w:w="0" w:type="auto"/>
            <w:vAlign w:val="center"/>
          </w:tcPr>
          <w:p w14:paraId="06976E43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Matar Yekutiel</w:t>
            </w:r>
          </w:p>
        </w:tc>
        <w:tc>
          <w:tcPr>
            <w:tcW w:w="0" w:type="auto"/>
            <w:vAlign w:val="center"/>
          </w:tcPr>
          <w:p w14:paraId="7A6DA31A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257</w:t>
            </w:r>
          </w:p>
        </w:tc>
        <w:tc>
          <w:tcPr>
            <w:tcW w:w="0" w:type="auto"/>
            <w:vAlign w:val="center"/>
          </w:tcPr>
          <w:p w14:paraId="5B17277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1/1/2013- 2/28/2013</w:t>
            </w:r>
          </w:p>
        </w:tc>
        <w:tc>
          <w:tcPr>
            <w:tcW w:w="0" w:type="auto"/>
            <w:vAlign w:val="center"/>
          </w:tcPr>
          <w:p w14:paraId="2250CB6E" w14:textId="59AE257C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 xml:space="preserve">MC, 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patients with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XDR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BSI vs. patients with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non-XDR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BSI</w:t>
            </w:r>
          </w:p>
        </w:tc>
      </w:tr>
      <w:tr w:rsidR="00A64DA8" w:rsidRPr="002308FC" w14:paraId="243F6CE3" w14:textId="77777777" w:rsidTr="008E00D8">
        <w:tc>
          <w:tcPr>
            <w:tcW w:w="0" w:type="auto"/>
            <w:vAlign w:val="center"/>
          </w:tcPr>
          <w:p w14:paraId="5A0801EE" w14:textId="766D4263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MDR3</w:t>
            </w:r>
          </w:p>
        </w:tc>
        <w:tc>
          <w:tcPr>
            <w:tcW w:w="0" w:type="auto"/>
            <w:vAlign w:val="center"/>
          </w:tcPr>
          <w:p w14:paraId="003EF19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Eyal Taleb</w:t>
            </w:r>
          </w:p>
        </w:tc>
        <w:tc>
          <w:tcPr>
            <w:tcW w:w="0" w:type="auto"/>
            <w:vAlign w:val="center"/>
          </w:tcPr>
          <w:p w14:paraId="09C5DC96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vAlign w:val="center"/>
          </w:tcPr>
          <w:p w14:paraId="06AC0D9C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1/1/2013- 7/31/2013</w:t>
            </w:r>
          </w:p>
        </w:tc>
        <w:tc>
          <w:tcPr>
            <w:tcW w:w="0" w:type="auto"/>
            <w:vAlign w:val="center"/>
          </w:tcPr>
          <w:p w14:paraId="1192D47C" w14:textId="23EE8358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 xml:space="preserve">MC, 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patients with MDR infections vs. patients with non-MDR infections</w:t>
            </w:r>
          </w:p>
        </w:tc>
        <w:tc>
          <w:tcPr>
            <w:tcW w:w="0" w:type="auto"/>
            <w:vAlign w:val="center"/>
          </w:tcPr>
          <w:p w14:paraId="48EE53D2" w14:textId="264308B1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XDR2</w:t>
            </w:r>
          </w:p>
        </w:tc>
        <w:tc>
          <w:tcPr>
            <w:tcW w:w="0" w:type="auto"/>
            <w:vAlign w:val="center"/>
          </w:tcPr>
          <w:p w14:paraId="7A1269C4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Dana Leveat</w:t>
            </w:r>
          </w:p>
        </w:tc>
        <w:tc>
          <w:tcPr>
            <w:tcW w:w="0" w:type="auto"/>
            <w:vAlign w:val="center"/>
          </w:tcPr>
          <w:p w14:paraId="2F70732C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14:paraId="07FF3947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1/1/2013- 7/31/2013</w:t>
            </w:r>
          </w:p>
        </w:tc>
        <w:tc>
          <w:tcPr>
            <w:tcW w:w="0" w:type="auto"/>
            <w:vAlign w:val="center"/>
          </w:tcPr>
          <w:p w14:paraId="6545078C" w14:textId="36B4B0BB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 xml:space="preserve">MC, 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patients with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nosocomial BSI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 xml:space="preserve"> vs. patients with 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>community-onset (i.e., both community-acquired and healthcare-associated) BSI</w:t>
            </w:r>
          </w:p>
        </w:tc>
      </w:tr>
      <w:tr w:rsidR="00A64DA8" w:rsidRPr="002308FC" w14:paraId="31447546" w14:textId="77777777" w:rsidTr="008E00D8">
        <w:tc>
          <w:tcPr>
            <w:tcW w:w="0" w:type="auto"/>
            <w:vAlign w:val="center"/>
          </w:tcPr>
          <w:p w14:paraId="304110F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33A42C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E15C9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0685C7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470141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07EBE9" w14:textId="2F292382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MC XDR3</w:t>
            </w:r>
          </w:p>
        </w:tc>
        <w:tc>
          <w:tcPr>
            <w:tcW w:w="0" w:type="auto"/>
            <w:vAlign w:val="center"/>
          </w:tcPr>
          <w:p w14:paraId="00F2268F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Itzhak Vitkon-Barkay</w:t>
            </w:r>
          </w:p>
        </w:tc>
        <w:tc>
          <w:tcPr>
            <w:tcW w:w="0" w:type="auto"/>
            <w:vAlign w:val="center"/>
          </w:tcPr>
          <w:p w14:paraId="64BDF86A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</w:tcPr>
          <w:p w14:paraId="66EFEAC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1/1/2007- 5/31/2012</w:t>
            </w:r>
          </w:p>
        </w:tc>
        <w:tc>
          <w:tcPr>
            <w:tcW w:w="0" w:type="auto"/>
            <w:vAlign w:val="center"/>
          </w:tcPr>
          <w:p w14:paraId="1D0DB0CD" w14:textId="33F45037" w:rsidR="00A64DA8" w:rsidRPr="002308FC" w:rsidRDefault="00886725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4DA8">
              <w:rPr>
                <w:rFonts w:ascii="Times New Roman" w:hAnsi="Times New Roman" w:cs="Times New Roman"/>
                <w:sz w:val="24"/>
                <w:szCs w:val="24"/>
              </w:rPr>
              <w:t xml:space="preserve">MC, </w:t>
            </w:r>
            <w:r w:rsidR="00A64DA8" w:rsidRPr="002308FC">
              <w:rPr>
                <w:rFonts w:ascii="Times New Roman" w:hAnsi="Times New Roman" w:cs="Times New Roman"/>
                <w:sz w:val="24"/>
                <w:szCs w:val="24"/>
              </w:rPr>
              <w:t>patients with XDR infections vs. patients with MDR infections</w:t>
            </w:r>
          </w:p>
        </w:tc>
      </w:tr>
    </w:tbl>
    <w:p w14:paraId="2A53DF3D" w14:textId="42E632C9" w:rsidR="00A64DA8" w:rsidRPr="00B949CF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PI= primary investigator; </w:t>
      </w:r>
      <w:r w:rsidRPr="002308FC">
        <w:rPr>
          <w:rFonts w:ascii="Times New Roman" w:hAnsi="Times New Roman" w:cs="Times New Roman"/>
          <w:sz w:val="24"/>
          <w:szCs w:val="24"/>
        </w:rPr>
        <w:t>Pt= patient; No= number; MDR</w:t>
      </w:r>
      <w:r w:rsidRPr="002308FC">
        <w:rPr>
          <w:rFonts w:ascii="Times New Roman" w:hAnsi="Times New Roman" w:cs="Times New Roman"/>
          <w:sz w:val="24"/>
          <w:szCs w:val="24"/>
          <w:rtl/>
        </w:rPr>
        <w:t>=</w:t>
      </w:r>
      <w:r w:rsidRPr="002308FC">
        <w:rPr>
          <w:rFonts w:ascii="Times New Roman" w:hAnsi="Times New Roman" w:cs="Times New Roman"/>
          <w:sz w:val="24"/>
          <w:szCs w:val="24"/>
        </w:rPr>
        <w:t xml:space="preserve"> multi-drug resistant; XDR= extensively</w:t>
      </w:r>
      <w:r>
        <w:rPr>
          <w:rFonts w:ascii="Times New Roman" w:hAnsi="Times New Roman" w:cs="Times New Roman"/>
          <w:sz w:val="24"/>
          <w:szCs w:val="24"/>
        </w:rPr>
        <w:t xml:space="preserve"> drug resistant; </w:t>
      </w:r>
      <w:r w:rsidR="008867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MC= Shamir Medical Center; BSI= bloodstream infection; DMC= Detroit Medical Center; CRE= carbapenem-resistant E</w:t>
      </w:r>
      <w:r w:rsidRPr="002308FC">
        <w:rPr>
          <w:rFonts w:ascii="Times New Roman" w:hAnsi="Times New Roman" w:cs="Times New Roman"/>
          <w:sz w:val="24"/>
          <w:szCs w:val="24"/>
        </w:rPr>
        <w:t>nterobacter</w:t>
      </w:r>
      <w:r>
        <w:rPr>
          <w:rFonts w:ascii="Times New Roman" w:hAnsi="Times New Roman" w:cs="Times New Roman"/>
          <w:sz w:val="24"/>
          <w:szCs w:val="24"/>
        </w:rPr>
        <w:t>ales; ESBL= extended-spectrum beta-lactamase producing E</w:t>
      </w:r>
      <w:r w:rsidRPr="002308FC">
        <w:rPr>
          <w:rFonts w:ascii="Times New Roman" w:hAnsi="Times New Roman" w:cs="Times New Roman"/>
          <w:sz w:val="24"/>
          <w:szCs w:val="24"/>
        </w:rPr>
        <w:t>nterobacter</w:t>
      </w:r>
      <w:r>
        <w:rPr>
          <w:rFonts w:ascii="Times New Roman" w:hAnsi="Times New Roman" w:cs="Times New Roman"/>
          <w:sz w:val="24"/>
          <w:szCs w:val="24"/>
        </w:rPr>
        <w:t>ales.</w:t>
      </w:r>
    </w:p>
    <w:p w14:paraId="6EA7F4B5" w14:textId="77777777" w:rsidR="00A64DA8" w:rsidRDefault="00A64DA8" w:rsidP="00A64DA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A64DA8" w:rsidSect="000273AD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14:paraId="3C63C3E2" w14:textId="75B538AA" w:rsidR="00A64DA8" w:rsidRPr="000273AD" w:rsidRDefault="00A64DA8" w:rsidP="00A64DA8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4D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Supplementary 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CC62CB">
        <w:rPr>
          <w:rFonts w:ascii="Times New Roman" w:hAnsi="Times New Roman" w:cs="Times New Roman"/>
          <w:b/>
          <w:bCs/>
          <w:sz w:val="24"/>
          <w:szCs w:val="24"/>
          <w:u w:val="single"/>
        </w:rPr>
        <w:t>requencies of pathogens in the developing cohorts, Shamir (Assaf Harofeh) Medical Center, 2016</w:t>
      </w:r>
      <w:r w:rsidRPr="00CC6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849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57"/>
        <w:gridCol w:w="683"/>
        <w:gridCol w:w="1483"/>
        <w:gridCol w:w="1322"/>
        <w:gridCol w:w="1069"/>
        <w:gridCol w:w="15"/>
        <w:gridCol w:w="1295"/>
        <w:gridCol w:w="1069"/>
        <w:gridCol w:w="8"/>
      </w:tblGrid>
      <w:tr w:rsidR="00A64DA8" w:rsidRPr="002308FC" w14:paraId="02B6A5D5" w14:textId="77777777" w:rsidTr="008E00D8">
        <w:trPr>
          <w:jc w:val="center"/>
        </w:trPr>
        <w:tc>
          <w:tcPr>
            <w:tcW w:w="3715" w:type="dxa"/>
            <w:gridSpan w:val="4"/>
            <w:vAlign w:val="center"/>
          </w:tcPr>
          <w:p w14:paraId="5A5E7FF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color w:val="2F5496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14:paraId="765F9F1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MDRO upon-admission</w:t>
            </w:r>
          </w:p>
        </w:tc>
        <w:tc>
          <w:tcPr>
            <w:tcW w:w="2372" w:type="dxa"/>
            <w:gridSpan w:val="3"/>
            <w:vAlign w:val="center"/>
          </w:tcPr>
          <w:p w14:paraId="4D66FAF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Nosocomial </w:t>
            </w: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XDRO </w:t>
            </w:r>
          </w:p>
        </w:tc>
      </w:tr>
      <w:tr w:rsidR="00A64DA8" w:rsidRPr="002308FC" w14:paraId="612567AC" w14:textId="77777777" w:rsidTr="008E00D8">
        <w:trPr>
          <w:gridAfter w:val="1"/>
          <w:wAfter w:w="8" w:type="dxa"/>
          <w:jc w:val="center"/>
        </w:trPr>
        <w:tc>
          <w:tcPr>
            <w:tcW w:w="3715" w:type="dxa"/>
            <w:gridSpan w:val="4"/>
            <w:vAlign w:val="center"/>
          </w:tcPr>
          <w:p w14:paraId="340496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color w:val="2F5496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F0F6AB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069" w:type="dxa"/>
            <w:vAlign w:val="center"/>
          </w:tcPr>
          <w:p w14:paraId="7D7E161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69227D3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069" w:type="dxa"/>
            <w:vAlign w:val="center"/>
          </w:tcPr>
          <w:p w14:paraId="6B2AB9C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64DA8" w:rsidRPr="002308FC" w14:paraId="724FA98B" w14:textId="77777777" w:rsidTr="008E00D8">
        <w:trPr>
          <w:jc w:val="center"/>
        </w:trPr>
        <w:tc>
          <w:tcPr>
            <w:tcW w:w="8493" w:type="dxa"/>
            <w:gridSpan w:val="10"/>
            <w:vAlign w:val="center"/>
          </w:tcPr>
          <w:p w14:paraId="730718CF" w14:textId="77777777" w:rsidR="00A64DA8" w:rsidRPr="002308FC" w:rsidRDefault="00A64DA8" w:rsidP="008E00D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bacteria isolation</w:t>
            </w:r>
          </w:p>
        </w:tc>
      </w:tr>
      <w:tr w:rsidR="00A64DA8" w:rsidRPr="002308FC" w14:paraId="4C41FBC2" w14:textId="77777777" w:rsidTr="008E00D8">
        <w:trPr>
          <w:gridAfter w:val="1"/>
          <w:wAfter w:w="8" w:type="dxa"/>
          <w:trHeight w:val="301"/>
          <w:jc w:val="center"/>
        </w:trPr>
        <w:tc>
          <w:tcPr>
            <w:tcW w:w="3715" w:type="dxa"/>
            <w:gridSpan w:val="4"/>
            <w:vAlign w:val="center"/>
          </w:tcPr>
          <w:p w14:paraId="75282C82" w14:textId="77777777" w:rsidR="00A64DA8" w:rsidRPr="002308FC" w:rsidRDefault="00A64DA8" w:rsidP="008E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Bacteremia</w:t>
            </w:r>
          </w:p>
        </w:tc>
        <w:tc>
          <w:tcPr>
            <w:tcW w:w="1322" w:type="dxa"/>
            <w:vAlign w:val="center"/>
          </w:tcPr>
          <w:p w14:paraId="2140708A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69" w:type="dxa"/>
            <w:vAlign w:val="center"/>
          </w:tcPr>
          <w:p w14:paraId="402A149B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310" w:type="dxa"/>
            <w:gridSpan w:val="2"/>
            <w:vAlign w:val="center"/>
          </w:tcPr>
          <w:p w14:paraId="29655A2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69" w:type="dxa"/>
            <w:vAlign w:val="center"/>
          </w:tcPr>
          <w:p w14:paraId="304117F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4DA8" w:rsidRPr="002308FC" w14:paraId="4A2980DD" w14:textId="77777777" w:rsidTr="008E00D8">
        <w:trPr>
          <w:gridAfter w:val="1"/>
          <w:wAfter w:w="8" w:type="dxa"/>
          <w:trHeight w:val="20"/>
          <w:jc w:val="center"/>
        </w:trPr>
        <w:tc>
          <w:tcPr>
            <w:tcW w:w="3715" w:type="dxa"/>
            <w:gridSpan w:val="4"/>
            <w:vAlign w:val="center"/>
          </w:tcPr>
          <w:p w14:paraId="1A6419D2" w14:textId="77777777" w:rsidR="00A64DA8" w:rsidRPr="002308FC" w:rsidRDefault="00A64DA8" w:rsidP="008E0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Polymicrobial isolations</w:t>
            </w:r>
          </w:p>
        </w:tc>
        <w:tc>
          <w:tcPr>
            <w:tcW w:w="1322" w:type="dxa"/>
            <w:vAlign w:val="center"/>
          </w:tcPr>
          <w:p w14:paraId="0D3F46B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069" w:type="dxa"/>
            <w:vAlign w:val="center"/>
          </w:tcPr>
          <w:p w14:paraId="4F8786A8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0" w:type="dxa"/>
            <w:gridSpan w:val="2"/>
            <w:vAlign w:val="center"/>
          </w:tcPr>
          <w:p w14:paraId="1D45C82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69" w:type="dxa"/>
            <w:vAlign w:val="center"/>
          </w:tcPr>
          <w:p w14:paraId="191B5F7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4DA8" w:rsidRPr="002308FC" w14:paraId="2CDAE797" w14:textId="77777777" w:rsidTr="008E00D8">
        <w:trPr>
          <w:jc w:val="center"/>
        </w:trPr>
        <w:tc>
          <w:tcPr>
            <w:tcW w:w="8493" w:type="dxa"/>
            <w:gridSpan w:val="10"/>
            <w:vAlign w:val="center"/>
          </w:tcPr>
          <w:p w14:paraId="35418011" w14:textId="77777777" w:rsidR="00A64DA8" w:rsidRPr="002308FC" w:rsidRDefault="00A64DA8" w:rsidP="008E00D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Representative organisms’ group/type</w:t>
            </w:r>
          </w:p>
        </w:tc>
      </w:tr>
      <w:tr w:rsidR="00A64DA8" w:rsidRPr="002308FC" w14:paraId="30DE81F5" w14:textId="77777777" w:rsidTr="008E00D8">
        <w:trPr>
          <w:gridAfter w:val="1"/>
          <w:wAfter w:w="8" w:type="dxa"/>
          <w:jc w:val="center"/>
        </w:trPr>
        <w:tc>
          <w:tcPr>
            <w:tcW w:w="3715" w:type="dxa"/>
            <w:gridSpan w:val="4"/>
            <w:vAlign w:val="center"/>
          </w:tcPr>
          <w:p w14:paraId="64F3566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Gram positive bacteria</w:t>
            </w:r>
          </w:p>
        </w:tc>
        <w:tc>
          <w:tcPr>
            <w:tcW w:w="1322" w:type="dxa"/>
            <w:vAlign w:val="center"/>
          </w:tcPr>
          <w:p w14:paraId="6646C9B7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9" w:type="dxa"/>
            <w:vAlign w:val="center"/>
          </w:tcPr>
          <w:p w14:paraId="44B56DF0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310" w:type="dxa"/>
            <w:gridSpan w:val="2"/>
            <w:vAlign w:val="center"/>
          </w:tcPr>
          <w:p w14:paraId="7F475EB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9" w:type="dxa"/>
            <w:vAlign w:val="center"/>
          </w:tcPr>
          <w:p w14:paraId="700953B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</w:tr>
      <w:tr w:rsidR="00A64DA8" w:rsidRPr="002308FC" w14:paraId="5588D26A" w14:textId="77777777" w:rsidTr="008E00D8">
        <w:trPr>
          <w:gridAfter w:val="1"/>
          <w:wAfter w:w="8" w:type="dxa"/>
          <w:jc w:val="center"/>
        </w:trPr>
        <w:tc>
          <w:tcPr>
            <w:tcW w:w="3715" w:type="dxa"/>
            <w:gridSpan w:val="4"/>
            <w:vAlign w:val="center"/>
          </w:tcPr>
          <w:p w14:paraId="632C571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Gram negative bacteria</w:t>
            </w:r>
          </w:p>
        </w:tc>
        <w:tc>
          <w:tcPr>
            <w:tcW w:w="1322" w:type="dxa"/>
            <w:vAlign w:val="center"/>
          </w:tcPr>
          <w:p w14:paraId="3714F07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69" w:type="dxa"/>
            <w:vAlign w:val="center"/>
          </w:tcPr>
          <w:p w14:paraId="395984B5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1310" w:type="dxa"/>
            <w:gridSpan w:val="2"/>
            <w:vAlign w:val="center"/>
          </w:tcPr>
          <w:p w14:paraId="3A44E32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69" w:type="dxa"/>
            <w:vAlign w:val="center"/>
          </w:tcPr>
          <w:p w14:paraId="7FCC23D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</w:tr>
      <w:tr w:rsidR="00A64DA8" w:rsidRPr="002308FC" w14:paraId="5973C0DC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Align w:val="center"/>
          </w:tcPr>
          <w:p w14:paraId="7CFD138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Organism type</w:t>
            </w:r>
          </w:p>
        </w:tc>
        <w:tc>
          <w:tcPr>
            <w:tcW w:w="2166" w:type="dxa"/>
            <w:gridSpan w:val="2"/>
            <w:vAlign w:val="center"/>
          </w:tcPr>
          <w:p w14:paraId="13E33F3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Organism's full name</w:t>
            </w:r>
          </w:p>
        </w:tc>
        <w:tc>
          <w:tcPr>
            <w:tcW w:w="1322" w:type="dxa"/>
            <w:vAlign w:val="center"/>
          </w:tcPr>
          <w:p w14:paraId="0FFE0AA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069" w:type="dxa"/>
            <w:vAlign w:val="center"/>
          </w:tcPr>
          <w:p w14:paraId="1FEBC6C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3335311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069" w:type="dxa"/>
            <w:vAlign w:val="center"/>
          </w:tcPr>
          <w:p w14:paraId="1AA8D15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64DA8" w:rsidRPr="002308FC" w14:paraId="6C06F4C0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 w:val="restart"/>
            <w:vAlign w:val="center"/>
          </w:tcPr>
          <w:p w14:paraId="48BA91F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GPC</w:t>
            </w:r>
          </w:p>
        </w:tc>
        <w:tc>
          <w:tcPr>
            <w:tcW w:w="2166" w:type="dxa"/>
            <w:gridSpan w:val="2"/>
            <w:vAlign w:val="center"/>
          </w:tcPr>
          <w:p w14:paraId="387F5720" w14:textId="77777777" w:rsidR="00A64DA8" w:rsidRPr="00EB008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Enterococcus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083E33A8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  <w:vAlign w:val="center"/>
          </w:tcPr>
          <w:p w14:paraId="55505D04" w14:textId="77777777" w:rsidR="00A64DA8" w:rsidRPr="002308FC" w:rsidRDefault="00A64DA8" w:rsidP="008E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10" w:type="dxa"/>
            <w:gridSpan w:val="2"/>
            <w:vAlign w:val="center"/>
          </w:tcPr>
          <w:p w14:paraId="070D4A0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9" w:type="dxa"/>
            <w:vAlign w:val="center"/>
          </w:tcPr>
          <w:p w14:paraId="23DCE34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A64DA8" w:rsidRPr="002308FC" w14:paraId="685FBB34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61E8562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93EA988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1322" w:type="dxa"/>
            <w:vAlign w:val="center"/>
          </w:tcPr>
          <w:p w14:paraId="63FA8E3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9" w:type="dxa"/>
            <w:vAlign w:val="center"/>
          </w:tcPr>
          <w:p w14:paraId="1E2DA1B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310" w:type="dxa"/>
            <w:gridSpan w:val="2"/>
            <w:vAlign w:val="center"/>
          </w:tcPr>
          <w:p w14:paraId="57A231B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9" w:type="dxa"/>
            <w:vAlign w:val="center"/>
          </w:tcPr>
          <w:p w14:paraId="045913F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DA8" w:rsidRPr="002308FC" w14:paraId="5859BFC6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3B9D96E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7B1F92D" w14:textId="77777777" w:rsidR="00A64DA8" w:rsidRPr="00EB008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08C">
              <w:rPr>
                <w:rFonts w:ascii="Times New Roman" w:hAnsi="Times New Roman" w:cs="Times New Roman"/>
                <w:sz w:val="24"/>
                <w:szCs w:val="24"/>
              </w:rPr>
              <w:t>Coagulase negat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 s</w:t>
            </w:r>
            <w:r w:rsidRPr="00EB008C">
              <w:rPr>
                <w:rFonts w:ascii="Times New Roman" w:hAnsi="Times New Roman" w:cs="Times New Roman"/>
                <w:sz w:val="24"/>
                <w:szCs w:val="24"/>
              </w:rPr>
              <w:t>taphylococci</w:t>
            </w:r>
          </w:p>
        </w:tc>
        <w:tc>
          <w:tcPr>
            <w:tcW w:w="1322" w:type="dxa"/>
            <w:vAlign w:val="center"/>
          </w:tcPr>
          <w:p w14:paraId="71B0F91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9" w:type="dxa"/>
            <w:vAlign w:val="center"/>
          </w:tcPr>
          <w:p w14:paraId="2D515EC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25AD7D0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14:paraId="0BA1C6F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A64DA8" w:rsidRPr="002308FC" w14:paraId="62F5639E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061EFFE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E4CD746" w14:textId="77777777" w:rsidR="00A64DA8" w:rsidRPr="00EB008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Lactobacillus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322" w:type="dxa"/>
            <w:vAlign w:val="center"/>
          </w:tcPr>
          <w:p w14:paraId="14EB90C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C1D7E4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02814F4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35CBB54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4CFF2740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7AFB8F8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FBEBDF6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Listeria monocytogenes</w:t>
            </w:r>
          </w:p>
        </w:tc>
        <w:tc>
          <w:tcPr>
            <w:tcW w:w="1322" w:type="dxa"/>
            <w:vAlign w:val="center"/>
          </w:tcPr>
          <w:p w14:paraId="738A409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9DC998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3EF9A9A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0AED4F1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45D8A57E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7391A78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5D5BC3E" w14:textId="77777777" w:rsidR="00A64DA8" w:rsidRPr="00EB008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Corynebacterium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322" w:type="dxa"/>
            <w:vAlign w:val="center"/>
          </w:tcPr>
          <w:p w14:paraId="63A35F4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D8B0EF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2AC91FD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00D6A73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0EDDB825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2351B07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FEA7994" w14:textId="77777777" w:rsidR="00A64DA8" w:rsidRPr="00EB008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08C">
              <w:rPr>
                <w:rFonts w:ascii="Times New Roman" w:hAnsi="Times New Roman" w:cs="Times New Roman"/>
                <w:sz w:val="24"/>
                <w:szCs w:val="24"/>
              </w:rPr>
              <w:t>Viridans streptococci</w:t>
            </w:r>
          </w:p>
        </w:tc>
        <w:tc>
          <w:tcPr>
            <w:tcW w:w="1322" w:type="dxa"/>
            <w:vAlign w:val="center"/>
          </w:tcPr>
          <w:p w14:paraId="3146E1C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9" w:type="dxa"/>
            <w:vAlign w:val="center"/>
          </w:tcPr>
          <w:p w14:paraId="0750864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310" w:type="dxa"/>
            <w:gridSpan w:val="2"/>
            <w:vAlign w:val="center"/>
          </w:tcPr>
          <w:p w14:paraId="373C3CB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CF21A0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5ECD9A7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 w:val="restart"/>
            <w:vAlign w:val="center"/>
          </w:tcPr>
          <w:p w14:paraId="6AEE13F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GNB</w:t>
            </w:r>
          </w:p>
        </w:tc>
        <w:tc>
          <w:tcPr>
            <w:tcW w:w="2166" w:type="dxa"/>
            <w:gridSpan w:val="2"/>
            <w:vAlign w:val="center"/>
          </w:tcPr>
          <w:p w14:paraId="4A81EC16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Achromobacter xylosoxidans</w:t>
            </w:r>
          </w:p>
        </w:tc>
        <w:tc>
          <w:tcPr>
            <w:tcW w:w="1322" w:type="dxa"/>
            <w:vAlign w:val="center"/>
          </w:tcPr>
          <w:p w14:paraId="754AE8B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1069" w:type="dxa"/>
            <w:vAlign w:val="center"/>
          </w:tcPr>
          <w:p w14:paraId="55CEEE2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0.4</w:t>
            </w:r>
          </w:p>
        </w:tc>
        <w:tc>
          <w:tcPr>
            <w:tcW w:w="1310" w:type="dxa"/>
            <w:gridSpan w:val="2"/>
            <w:vAlign w:val="center"/>
          </w:tcPr>
          <w:p w14:paraId="7E932C3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6F139F2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A64DA8" w:rsidRPr="002308FC" w14:paraId="709BC23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10ABDED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C8F96A6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baumannii</w:t>
            </w:r>
          </w:p>
        </w:tc>
        <w:tc>
          <w:tcPr>
            <w:tcW w:w="1322" w:type="dxa"/>
            <w:vAlign w:val="center"/>
          </w:tcPr>
          <w:p w14:paraId="1B9323E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76D5980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0" w:type="dxa"/>
            <w:gridSpan w:val="2"/>
            <w:vAlign w:val="center"/>
          </w:tcPr>
          <w:p w14:paraId="7B36447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9" w:type="dxa"/>
            <w:vAlign w:val="center"/>
          </w:tcPr>
          <w:p w14:paraId="6BECA5A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4DA8" w:rsidRPr="002308FC" w14:paraId="325CB1D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2276D45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43BD8432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haemolyticus</w:t>
            </w:r>
          </w:p>
        </w:tc>
        <w:tc>
          <w:tcPr>
            <w:tcW w:w="1322" w:type="dxa"/>
            <w:vAlign w:val="center"/>
          </w:tcPr>
          <w:p w14:paraId="5885438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B7CC2A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4C44390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04C18B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11B12DF5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291E85A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2FA32A2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junii</w:t>
            </w:r>
          </w:p>
        </w:tc>
        <w:tc>
          <w:tcPr>
            <w:tcW w:w="1322" w:type="dxa"/>
            <w:vAlign w:val="center"/>
          </w:tcPr>
          <w:p w14:paraId="237537F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62F09A4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35C762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D2EA65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4400C89E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553CC04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6A87CEB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lwoffii</w:t>
            </w:r>
          </w:p>
        </w:tc>
        <w:tc>
          <w:tcPr>
            <w:tcW w:w="1322" w:type="dxa"/>
            <w:vAlign w:val="center"/>
          </w:tcPr>
          <w:p w14:paraId="58CD0E2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4DA4AC4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172364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59804E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A64DA8" w:rsidRPr="002308FC" w14:paraId="260C9563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6D1D1FC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159E37A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Burkholderia cepacia</w:t>
            </w:r>
          </w:p>
        </w:tc>
        <w:tc>
          <w:tcPr>
            <w:tcW w:w="1322" w:type="dxa"/>
            <w:vAlign w:val="center"/>
          </w:tcPr>
          <w:p w14:paraId="4078774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6885460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BDC1C7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63DA5C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064B27A3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BCBBA4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1B5076F" w14:textId="77777777" w:rsidR="00A64DA8" w:rsidRPr="006D3430" w:rsidRDefault="00A64DA8" w:rsidP="008E00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Salmonella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78EB13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D58F29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0" w:type="dxa"/>
            <w:gridSpan w:val="2"/>
            <w:vAlign w:val="center"/>
          </w:tcPr>
          <w:p w14:paraId="085F6EE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02DC0D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0C100640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0C3C488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7FB7DC67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Citrobacter </w:t>
            </w:r>
            <w:r w:rsidRPr="006D3430"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4B8F487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52DAD59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0" w:type="dxa"/>
            <w:gridSpan w:val="2"/>
            <w:vAlign w:val="center"/>
          </w:tcPr>
          <w:p w14:paraId="3041DB9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699173B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A64DA8" w:rsidRPr="002308FC" w14:paraId="7178D60F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5DCC7A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8854624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Enterobacter </w:t>
            </w:r>
            <w:r w:rsidRPr="006D3430"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7BE0964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1069" w:type="dxa"/>
            <w:vAlign w:val="center"/>
          </w:tcPr>
          <w:p w14:paraId="71F26C1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2.2</w:t>
            </w:r>
          </w:p>
        </w:tc>
        <w:tc>
          <w:tcPr>
            <w:tcW w:w="1310" w:type="dxa"/>
            <w:gridSpan w:val="2"/>
            <w:vAlign w:val="center"/>
          </w:tcPr>
          <w:p w14:paraId="7C29E56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  <w:vAlign w:val="center"/>
          </w:tcPr>
          <w:p w14:paraId="6E52970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A64DA8" w:rsidRPr="002308FC" w14:paraId="7FE6BA4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3B8FAA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A74C697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Moraxella catarrhalis</w:t>
            </w:r>
          </w:p>
        </w:tc>
        <w:tc>
          <w:tcPr>
            <w:tcW w:w="1322" w:type="dxa"/>
            <w:vAlign w:val="center"/>
          </w:tcPr>
          <w:p w14:paraId="5CF3543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1069" w:type="dxa"/>
            <w:vAlign w:val="center"/>
          </w:tcPr>
          <w:p w14:paraId="7DF389A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0.8</w:t>
            </w:r>
          </w:p>
        </w:tc>
        <w:tc>
          <w:tcPr>
            <w:tcW w:w="1310" w:type="dxa"/>
            <w:gridSpan w:val="2"/>
            <w:vAlign w:val="center"/>
          </w:tcPr>
          <w:p w14:paraId="02F43E7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6F0DCFB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5BC8604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5185576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3774FB5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coplasma hominis</w:t>
            </w:r>
          </w:p>
        </w:tc>
        <w:tc>
          <w:tcPr>
            <w:tcW w:w="1322" w:type="dxa"/>
            <w:vAlign w:val="center"/>
          </w:tcPr>
          <w:p w14:paraId="1339903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069" w:type="dxa"/>
            <w:vAlign w:val="center"/>
          </w:tcPr>
          <w:p w14:paraId="225DA5E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7DB283A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44719DB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49016FF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3C6E300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A365270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1322" w:type="dxa"/>
            <w:vAlign w:val="center"/>
          </w:tcPr>
          <w:p w14:paraId="41058C3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69" w:type="dxa"/>
            <w:vAlign w:val="center"/>
          </w:tcPr>
          <w:p w14:paraId="0CE1320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310" w:type="dxa"/>
            <w:gridSpan w:val="2"/>
            <w:vAlign w:val="center"/>
          </w:tcPr>
          <w:p w14:paraId="3648659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vAlign w:val="center"/>
          </w:tcPr>
          <w:p w14:paraId="126F580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64DA8" w:rsidRPr="002308FC" w14:paraId="2782351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36CF1F6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42F4D2C4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 influenza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1322" w:type="dxa"/>
            <w:vAlign w:val="center"/>
          </w:tcPr>
          <w:p w14:paraId="454677F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069" w:type="dxa"/>
            <w:vAlign w:val="center"/>
          </w:tcPr>
          <w:p w14:paraId="3B74A1C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1.6</w:t>
            </w:r>
          </w:p>
        </w:tc>
        <w:tc>
          <w:tcPr>
            <w:tcW w:w="1310" w:type="dxa"/>
            <w:gridSpan w:val="2"/>
            <w:vAlign w:val="center"/>
          </w:tcPr>
          <w:p w14:paraId="047057B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64E104C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A64DA8" w:rsidRPr="002308FC" w14:paraId="25C2E1FD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93AAC0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AE6AD75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1322" w:type="dxa"/>
            <w:vAlign w:val="center"/>
          </w:tcPr>
          <w:p w14:paraId="2E9959B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59</w:t>
            </w:r>
          </w:p>
        </w:tc>
        <w:tc>
          <w:tcPr>
            <w:tcW w:w="1069" w:type="dxa"/>
            <w:vAlign w:val="center"/>
          </w:tcPr>
          <w:p w14:paraId="4C129C4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11.8</w:t>
            </w:r>
          </w:p>
        </w:tc>
        <w:tc>
          <w:tcPr>
            <w:tcW w:w="1310" w:type="dxa"/>
            <w:gridSpan w:val="2"/>
            <w:vAlign w:val="center"/>
          </w:tcPr>
          <w:p w14:paraId="0101A2B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9" w:type="dxa"/>
            <w:vAlign w:val="center"/>
          </w:tcPr>
          <w:p w14:paraId="36CB067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</w:tr>
      <w:tr w:rsidR="00A64DA8" w:rsidRPr="002308FC" w14:paraId="54702C3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0646A0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7451E9B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Morganella morganii</w:t>
            </w:r>
          </w:p>
        </w:tc>
        <w:tc>
          <w:tcPr>
            <w:tcW w:w="1322" w:type="dxa"/>
            <w:vAlign w:val="center"/>
          </w:tcPr>
          <w:p w14:paraId="61B40EC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1069" w:type="dxa"/>
            <w:vAlign w:val="center"/>
          </w:tcPr>
          <w:p w14:paraId="53A6D1E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1310" w:type="dxa"/>
            <w:gridSpan w:val="2"/>
            <w:vAlign w:val="center"/>
          </w:tcPr>
          <w:p w14:paraId="41CFC2A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14:paraId="5A6AF61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A64DA8" w:rsidRPr="002308FC" w14:paraId="0EDE66F7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6E5C517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6ADC06E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Pantoea agglomerans</w:t>
            </w:r>
          </w:p>
        </w:tc>
        <w:tc>
          <w:tcPr>
            <w:tcW w:w="1322" w:type="dxa"/>
            <w:vAlign w:val="center"/>
          </w:tcPr>
          <w:p w14:paraId="32BC2E6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1069" w:type="dxa"/>
            <w:vAlign w:val="center"/>
          </w:tcPr>
          <w:p w14:paraId="784C00B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0.2</w:t>
            </w:r>
          </w:p>
        </w:tc>
        <w:tc>
          <w:tcPr>
            <w:tcW w:w="1310" w:type="dxa"/>
            <w:gridSpan w:val="2"/>
            <w:vAlign w:val="center"/>
          </w:tcPr>
          <w:p w14:paraId="16C4AFF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29F933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73B756C9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0520D2F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574B3C21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 mirabilis</w:t>
            </w:r>
          </w:p>
        </w:tc>
        <w:tc>
          <w:tcPr>
            <w:tcW w:w="1322" w:type="dxa"/>
            <w:vAlign w:val="center"/>
          </w:tcPr>
          <w:p w14:paraId="7C4EA05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</w:p>
        </w:tc>
        <w:tc>
          <w:tcPr>
            <w:tcW w:w="1069" w:type="dxa"/>
            <w:vAlign w:val="center"/>
          </w:tcPr>
          <w:p w14:paraId="6F6B22F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3.1</w:t>
            </w:r>
          </w:p>
        </w:tc>
        <w:tc>
          <w:tcPr>
            <w:tcW w:w="1310" w:type="dxa"/>
            <w:gridSpan w:val="2"/>
            <w:vAlign w:val="center"/>
          </w:tcPr>
          <w:p w14:paraId="7C286DD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9" w:type="dxa"/>
            <w:vAlign w:val="center"/>
          </w:tcPr>
          <w:p w14:paraId="360B89E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A64DA8" w:rsidRPr="002308FC" w14:paraId="3AEA0FB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5B89495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CD067CD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 penneri</w:t>
            </w:r>
          </w:p>
        </w:tc>
        <w:tc>
          <w:tcPr>
            <w:tcW w:w="1322" w:type="dxa"/>
            <w:vAlign w:val="center"/>
          </w:tcPr>
          <w:p w14:paraId="222AF65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53963C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5B508D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D218B4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2BF515B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068E9E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3E2B670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Providencia stuartii</w:t>
            </w:r>
          </w:p>
        </w:tc>
        <w:tc>
          <w:tcPr>
            <w:tcW w:w="1322" w:type="dxa"/>
            <w:vAlign w:val="center"/>
          </w:tcPr>
          <w:p w14:paraId="7B7DA6E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069" w:type="dxa"/>
            <w:vAlign w:val="center"/>
          </w:tcPr>
          <w:p w14:paraId="1E78B8F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185BEB4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95D50E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A64DA8" w:rsidRPr="002308FC" w14:paraId="706AD09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744EF3F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3F2D09C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1322" w:type="dxa"/>
            <w:vAlign w:val="center"/>
          </w:tcPr>
          <w:p w14:paraId="65399DD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40</w:t>
            </w:r>
          </w:p>
        </w:tc>
        <w:tc>
          <w:tcPr>
            <w:tcW w:w="1069" w:type="dxa"/>
            <w:vAlign w:val="center"/>
          </w:tcPr>
          <w:p w14:paraId="6E69A25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1310" w:type="dxa"/>
            <w:gridSpan w:val="2"/>
            <w:vAlign w:val="center"/>
          </w:tcPr>
          <w:p w14:paraId="6585BDE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9" w:type="dxa"/>
            <w:vAlign w:val="center"/>
          </w:tcPr>
          <w:p w14:paraId="56D2CF6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</w:tr>
      <w:tr w:rsidR="00A64DA8" w:rsidRPr="002308FC" w14:paraId="6A7DE2C9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CD149E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40E3343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</w:t>
            </w:r>
            <w:r w:rsidRPr="006D3430"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7FD1583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14:paraId="1D32561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2F1E03B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D81E01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2A80E1BA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7A72277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860D008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Serratia </w:t>
            </w:r>
            <w:r w:rsidRPr="006D3430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</w:p>
        </w:tc>
        <w:tc>
          <w:tcPr>
            <w:tcW w:w="1322" w:type="dxa"/>
            <w:vAlign w:val="center"/>
          </w:tcPr>
          <w:p w14:paraId="0519879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3F74818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0" w:type="dxa"/>
            <w:gridSpan w:val="2"/>
            <w:vAlign w:val="center"/>
          </w:tcPr>
          <w:p w14:paraId="7399FCA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57F2A2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A64DA8" w:rsidRPr="002308FC" w14:paraId="64F4BE7C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2D60620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659D8EFE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Shigella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</w:p>
        </w:tc>
        <w:tc>
          <w:tcPr>
            <w:tcW w:w="1322" w:type="dxa"/>
            <w:vAlign w:val="center"/>
          </w:tcPr>
          <w:p w14:paraId="6883880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19075C8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0" w:type="dxa"/>
            <w:gridSpan w:val="2"/>
            <w:vAlign w:val="center"/>
          </w:tcPr>
          <w:p w14:paraId="4A74650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6E5599A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35F99A54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1C3C900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5A6D8B52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Sphingomonas paucimobilis</w:t>
            </w:r>
          </w:p>
        </w:tc>
        <w:tc>
          <w:tcPr>
            <w:tcW w:w="1322" w:type="dxa"/>
            <w:vAlign w:val="center"/>
          </w:tcPr>
          <w:p w14:paraId="3786A6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3AF456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10" w:type="dxa"/>
            <w:gridSpan w:val="2"/>
            <w:vAlign w:val="center"/>
          </w:tcPr>
          <w:p w14:paraId="36079C9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5D0F7B4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30D17BDC" w14:textId="77777777" w:rsidTr="008E00D8">
        <w:trPr>
          <w:gridAfter w:val="1"/>
          <w:wAfter w:w="8" w:type="dxa"/>
          <w:trHeight w:val="564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43A2573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45F7C200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1322" w:type="dxa"/>
            <w:vAlign w:val="center"/>
          </w:tcPr>
          <w:p w14:paraId="4CDA539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6EC6912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0" w:type="dxa"/>
            <w:gridSpan w:val="2"/>
            <w:vAlign w:val="center"/>
          </w:tcPr>
          <w:p w14:paraId="52BBDE0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  <w:vAlign w:val="center"/>
          </w:tcPr>
          <w:p w14:paraId="0C40E65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A64DA8" w:rsidRPr="002308FC" w14:paraId="39A66DF1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Align w:val="center"/>
          </w:tcPr>
          <w:p w14:paraId="6F89821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Mycobacteria</w:t>
            </w:r>
          </w:p>
        </w:tc>
        <w:tc>
          <w:tcPr>
            <w:tcW w:w="2166" w:type="dxa"/>
            <w:gridSpan w:val="2"/>
            <w:vAlign w:val="center"/>
          </w:tcPr>
          <w:p w14:paraId="09514830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</w:p>
        </w:tc>
        <w:tc>
          <w:tcPr>
            <w:tcW w:w="1322" w:type="dxa"/>
            <w:vAlign w:val="center"/>
          </w:tcPr>
          <w:p w14:paraId="0E4B0F0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708BBB0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10" w:type="dxa"/>
            <w:gridSpan w:val="2"/>
            <w:vAlign w:val="center"/>
          </w:tcPr>
          <w:p w14:paraId="3B94078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14:paraId="38F211E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32C8BFA0" w14:textId="77777777" w:rsidTr="008E00D8">
        <w:trPr>
          <w:jc w:val="center"/>
        </w:trPr>
        <w:tc>
          <w:tcPr>
            <w:tcW w:w="8493" w:type="dxa"/>
            <w:gridSpan w:val="10"/>
            <w:vAlign w:val="center"/>
          </w:tcPr>
          <w:p w14:paraId="40D47CE9" w14:textId="77777777" w:rsidR="00A64DA8" w:rsidRPr="002308FC" w:rsidRDefault="00A64DA8" w:rsidP="008E00D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MDRO</w:t>
            </w:r>
          </w:p>
        </w:tc>
      </w:tr>
      <w:tr w:rsidR="00A64DA8" w:rsidRPr="002308FC" w14:paraId="7A884387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 w:val="restart"/>
            <w:vAlign w:val="center"/>
          </w:tcPr>
          <w:p w14:paraId="5A6C33D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Gram positive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23" w:type="dxa"/>
            <w:gridSpan w:val="3"/>
            <w:vAlign w:val="center"/>
          </w:tcPr>
          <w:p w14:paraId="040CB8D7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1322" w:type="dxa"/>
            <w:vAlign w:val="center"/>
          </w:tcPr>
          <w:p w14:paraId="771BB06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14:paraId="7C4B1DE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310" w:type="dxa"/>
            <w:gridSpan w:val="2"/>
            <w:vAlign w:val="center"/>
          </w:tcPr>
          <w:p w14:paraId="68C73A0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E09016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304C4752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5893943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30A90946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</w:p>
        </w:tc>
        <w:tc>
          <w:tcPr>
            <w:tcW w:w="1322" w:type="dxa"/>
            <w:vAlign w:val="center"/>
          </w:tcPr>
          <w:p w14:paraId="5FD5845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D43DDF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0" w:type="dxa"/>
            <w:gridSpan w:val="2"/>
            <w:vAlign w:val="center"/>
          </w:tcPr>
          <w:p w14:paraId="4FA83CE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36404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552D2DA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7958EDB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63A4E9B6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faecium</w:t>
            </w:r>
          </w:p>
        </w:tc>
        <w:tc>
          <w:tcPr>
            <w:tcW w:w="1322" w:type="dxa"/>
            <w:vAlign w:val="center"/>
          </w:tcPr>
          <w:p w14:paraId="48A6CFB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27CAA0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0" w:type="dxa"/>
            <w:gridSpan w:val="2"/>
            <w:vAlign w:val="center"/>
          </w:tcPr>
          <w:p w14:paraId="4394A27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82A999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DA8" w:rsidRPr="002308FC" w14:paraId="40DFE773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 w:val="restart"/>
            <w:vAlign w:val="center"/>
          </w:tcPr>
          <w:p w14:paraId="656FDA5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Gram negative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23" w:type="dxa"/>
            <w:gridSpan w:val="3"/>
            <w:vAlign w:val="center"/>
          </w:tcPr>
          <w:p w14:paraId="0F186A6B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1322" w:type="dxa"/>
            <w:vAlign w:val="center"/>
          </w:tcPr>
          <w:p w14:paraId="36B7356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9" w:type="dxa"/>
            <w:vAlign w:val="center"/>
          </w:tcPr>
          <w:p w14:paraId="2D899D6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310" w:type="dxa"/>
            <w:gridSpan w:val="2"/>
            <w:vAlign w:val="center"/>
          </w:tcPr>
          <w:p w14:paraId="1367FCC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758B33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24280E8E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68BEEF8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7FF81C8E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1322" w:type="dxa"/>
            <w:vAlign w:val="center"/>
          </w:tcPr>
          <w:p w14:paraId="6C6C5FD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9" w:type="dxa"/>
            <w:vAlign w:val="center"/>
          </w:tcPr>
          <w:p w14:paraId="14A6408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310" w:type="dxa"/>
            <w:gridSpan w:val="2"/>
            <w:vAlign w:val="center"/>
          </w:tcPr>
          <w:p w14:paraId="4906718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73D426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3BCD14B6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2FC3217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6BE7E829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322" w:type="dxa"/>
            <w:vAlign w:val="center"/>
          </w:tcPr>
          <w:p w14:paraId="3AC2587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  <w:vAlign w:val="center"/>
          </w:tcPr>
          <w:p w14:paraId="4CC9AD5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gridSpan w:val="2"/>
            <w:vAlign w:val="center"/>
          </w:tcPr>
          <w:p w14:paraId="700AEA9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DD5BD5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1A5F35CC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45A051D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326FDEF9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 mirabilis</w:t>
            </w:r>
          </w:p>
        </w:tc>
        <w:tc>
          <w:tcPr>
            <w:tcW w:w="1322" w:type="dxa"/>
            <w:vAlign w:val="center"/>
          </w:tcPr>
          <w:p w14:paraId="08C9CFB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  <w:vAlign w:val="center"/>
          </w:tcPr>
          <w:p w14:paraId="4131C65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10" w:type="dxa"/>
            <w:gridSpan w:val="2"/>
            <w:vAlign w:val="center"/>
          </w:tcPr>
          <w:p w14:paraId="2D91E56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11B2B7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80247CC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519F841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6F9C1E6E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baumannii</w:t>
            </w:r>
          </w:p>
        </w:tc>
        <w:tc>
          <w:tcPr>
            <w:tcW w:w="1322" w:type="dxa"/>
            <w:vAlign w:val="center"/>
          </w:tcPr>
          <w:p w14:paraId="5348504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183BB5D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10" w:type="dxa"/>
            <w:gridSpan w:val="2"/>
            <w:vAlign w:val="center"/>
          </w:tcPr>
          <w:p w14:paraId="45BBC5F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FA715F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2C70D698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6A89373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2D19596F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1322" w:type="dxa"/>
            <w:vAlign w:val="center"/>
          </w:tcPr>
          <w:p w14:paraId="4088C03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vAlign w:val="center"/>
          </w:tcPr>
          <w:p w14:paraId="5943672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10" w:type="dxa"/>
            <w:gridSpan w:val="2"/>
            <w:vAlign w:val="center"/>
          </w:tcPr>
          <w:p w14:paraId="09D94D9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081539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186302E1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7FE5601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DA4D250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Morganella morganii</w:t>
            </w:r>
          </w:p>
        </w:tc>
        <w:tc>
          <w:tcPr>
            <w:tcW w:w="1322" w:type="dxa"/>
            <w:vAlign w:val="center"/>
          </w:tcPr>
          <w:p w14:paraId="57250D1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437531B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10" w:type="dxa"/>
            <w:gridSpan w:val="2"/>
            <w:vAlign w:val="center"/>
          </w:tcPr>
          <w:p w14:paraId="0201BA1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74DA29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473DDD66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2972269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B3E3E54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Providencia stuartii</w:t>
            </w:r>
          </w:p>
        </w:tc>
        <w:tc>
          <w:tcPr>
            <w:tcW w:w="1322" w:type="dxa"/>
            <w:vAlign w:val="center"/>
          </w:tcPr>
          <w:p w14:paraId="3DE9D21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4E2D915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10" w:type="dxa"/>
            <w:gridSpan w:val="2"/>
            <w:vAlign w:val="center"/>
          </w:tcPr>
          <w:p w14:paraId="452CF63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8EF813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18D42BD7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2B635C8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DE1BC61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Achromobacter xylosoxidans</w:t>
            </w:r>
          </w:p>
        </w:tc>
        <w:tc>
          <w:tcPr>
            <w:tcW w:w="1322" w:type="dxa"/>
            <w:vAlign w:val="center"/>
          </w:tcPr>
          <w:p w14:paraId="7804891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10C058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253C111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C68501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69CD628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1EA2892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5C74AA42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Enterobacter aerogenes</w:t>
            </w:r>
          </w:p>
        </w:tc>
        <w:tc>
          <w:tcPr>
            <w:tcW w:w="1322" w:type="dxa"/>
            <w:vAlign w:val="center"/>
          </w:tcPr>
          <w:p w14:paraId="02B480F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1C364A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1FF9695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E4ACCB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0808355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59D0AD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359DC439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Enterobacter asburiae</w:t>
            </w:r>
          </w:p>
        </w:tc>
        <w:tc>
          <w:tcPr>
            <w:tcW w:w="1322" w:type="dxa"/>
            <w:vAlign w:val="center"/>
          </w:tcPr>
          <w:p w14:paraId="007D90A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C24321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43A3404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8E5BC95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0206D4E1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6D3B409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52A1CEE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alcaligenes</w:t>
            </w:r>
          </w:p>
        </w:tc>
        <w:tc>
          <w:tcPr>
            <w:tcW w:w="1322" w:type="dxa"/>
            <w:vAlign w:val="center"/>
          </w:tcPr>
          <w:p w14:paraId="0BA486F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1D9930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52EA7EA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90AE52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150424A2" w14:textId="77777777" w:rsidTr="008E00D8">
        <w:trPr>
          <w:gridAfter w:val="1"/>
          <w:wAfter w:w="8" w:type="dxa"/>
          <w:jc w:val="center"/>
        </w:trPr>
        <w:tc>
          <w:tcPr>
            <w:tcW w:w="1492" w:type="dxa"/>
            <w:vMerge/>
            <w:vAlign w:val="center"/>
          </w:tcPr>
          <w:p w14:paraId="5B2173E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2D697A82" w14:textId="77777777" w:rsidR="00A64DA8" w:rsidRPr="006D3430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Sphingomonas paucimobilis</w:t>
            </w:r>
          </w:p>
        </w:tc>
        <w:tc>
          <w:tcPr>
            <w:tcW w:w="1322" w:type="dxa"/>
            <w:vAlign w:val="center"/>
          </w:tcPr>
          <w:p w14:paraId="428DA02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E4694B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10" w:type="dxa"/>
            <w:gridSpan w:val="2"/>
            <w:vAlign w:val="center"/>
          </w:tcPr>
          <w:p w14:paraId="04C5384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D0CF44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FC61AB2" w14:textId="77777777" w:rsidTr="008E00D8">
        <w:trPr>
          <w:jc w:val="center"/>
        </w:trPr>
        <w:tc>
          <w:tcPr>
            <w:tcW w:w="8493" w:type="dxa"/>
            <w:gridSpan w:val="10"/>
            <w:vAlign w:val="center"/>
          </w:tcPr>
          <w:p w14:paraId="5AFE1059" w14:textId="77777777" w:rsidR="00A64DA8" w:rsidRPr="002308FC" w:rsidRDefault="00A64DA8" w:rsidP="008E00D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XDRO group/type</w:t>
            </w:r>
          </w:p>
        </w:tc>
      </w:tr>
      <w:tr w:rsidR="00A64DA8" w:rsidRPr="002308FC" w14:paraId="3FDA8338" w14:textId="77777777" w:rsidTr="008E00D8">
        <w:trPr>
          <w:gridAfter w:val="1"/>
          <w:wAfter w:w="8" w:type="dxa"/>
          <w:jc w:val="center"/>
        </w:trPr>
        <w:tc>
          <w:tcPr>
            <w:tcW w:w="3715" w:type="dxa"/>
            <w:gridSpan w:val="4"/>
            <w:vAlign w:val="center"/>
          </w:tcPr>
          <w:p w14:paraId="4DFAFBE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GPC</w:t>
            </w:r>
          </w:p>
        </w:tc>
        <w:tc>
          <w:tcPr>
            <w:tcW w:w="1322" w:type="dxa"/>
            <w:vAlign w:val="center"/>
          </w:tcPr>
          <w:p w14:paraId="309D98B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8F8843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0F5F73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71AF29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A64DA8" w:rsidRPr="002308FC" w14:paraId="384ECC46" w14:textId="77777777" w:rsidTr="008E00D8">
        <w:trPr>
          <w:gridAfter w:val="1"/>
          <w:wAfter w:w="8" w:type="dxa"/>
          <w:jc w:val="center"/>
        </w:trPr>
        <w:tc>
          <w:tcPr>
            <w:tcW w:w="3715" w:type="dxa"/>
            <w:gridSpan w:val="4"/>
            <w:vAlign w:val="center"/>
          </w:tcPr>
          <w:p w14:paraId="3CE8E3C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GNB</w:t>
            </w:r>
          </w:p>
        </w:tc>
        <w:tc>
          <w:tcPr>
            <w:tcW w:w="1322" w:type="dxa"/>
            <w:vAlign w:val="center"/>
          </w:tcPr>
          <w:p w14:paraId="4D77C48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6BB4A7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A24350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69" w:type="dxa"/>
            <w:vAlign w:val="center"/>
          </w:tcPr>
          <w:p w14:paraId="3A14500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A64DA8" w:rsidRPr="002308FC" w14:paraId="77A762CE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Align w:val="center"/>
          </w:tcPr>
          <w:p w14:paraId="41FF67F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XDRO type</w:t>
            </w:r>
          </w:p>
        </w:tc>
        <w:tc>
          <w:tcPr>
            <w:tcW w:w="2166" w:type="dxa"/>
            <w:gridSpan w:val="2"/>
            <w:vAlign w:val="center"/>
          </w:tcPr>
          <w:p w14:paraId="7E43E34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XDRO's full name</w:t>
            </w:r>
          </w:p>
        </w:tc>
        <w:tc>
          <w:tcPr>
            <w:tcW w:w="1322" w:type="dxa"/>
            <w:vAlign w:val="center"/>
          </w:tcPr>
          <w:p w14:paraId="0D72899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E14157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388E40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5A1B4F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A8" w:rsidRPr="002308FC" w14:paraId="5BF5826C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Align w:val="center"/>
          </w:tcPr>
          <w:p w14:paraId="6B86703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GPC</w:t>
            </w:r>
          </w:p>
        </w:tc>
        <w:tc>
          <w:tcPr>
            <w:tcW w:w="2166" w:type="dxa"/>
            <w:gridSpan w:val="2"/>
            <w:vAlign w:val="center"/>
          </w:tcPr>
          <w:p w14:paraId="1F8B15A4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VRE</w:t>
            </w:r>
          </w:p>
        </w:tc>
        <w:tc>
          <w:tcPr>
            <w:tcW w:w="1322" w:type="dxa"/>
            <w:vAlign w:val="center"/>
          </w:tcPr>
          <w:p w14:paraId="35CA089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2B7BAA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D7F9A6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353ABE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4DA8" w:rsidRPr="002308FC" w14:paraId="1D7E1449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 w:val="restart"/>
            <w:vAlign w:val="center"/>
          </w:tcPr>
          <w:p w14:paraId="74993F1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Aerobic GNB</w:t>
            </w:r>
          </w:p>
        </w:tc>
        <w:tc>
          <w:tcPr>
            <w:tcW w:w="2166" w:type="dxa"/>
            <w:gridSpan w:val="2"/>
            <w:vAlign w:val="center"/>
          </w:tcPr>
          <w:p w14:paraId="3616A86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Achromobacter xylosoxidans</w:t>
            </w:r>
          </w:p>
        </w:tc>
        <w:tc>
          <w:tcPr>
            <w:tcW w:w="1322" w:type="dxa"/>
            <w:vAlign w:val="center"/>
          </w:tcPr>
          <w:p w14:paraId="1E4851A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771A81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E4A898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C8B77C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5B5DD395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08DD00F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17A283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CRAB</w:t>
            </w:r>
          </w:p>
        </w:tc>
        <w:tc>
          <w:tcPr>
            <w:tcW w:w="1322" w:type="dxa"/>
            <w:vAlign w:val="center"/>
          </w:tcPr>
          <w:p w14:paraId="6666B4A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D2E4F1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49D74C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vAlign w:val="center"/>
          </w:tcPr>
          <w:p w14:paraId="679507E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A64DA8" w:rsidRPr="002308FC" w14:paraId="2B12D603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398AD5B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1E35BE7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Burkholderia cepacia</w:t>
            </w:r>
          </w:p>
        </w:tc>
        <w:tc>
          <w:tcPr>
            <w:tcW w:w="1322" w:type="dxa"/>
            <w:vAlign w:val="center"/>
          </w:tcPr>
          <w:p w14:paraId="0ED8FE8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5A8467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3A45ED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3D7DBA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48C908E9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0CA8EEF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vAlign w:val="center"/>
          </w:tcPr>
          <w:p w14:paraId="47E4EE5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</w:p>
        </w:tc>
        <w:tc>
          <w:tcPr>
            <w:tcW w:w="1483" w:type="dxa"/>
            <w:vAlign w:val="center"/>
          </w:tcPr>
          <w:p w14:paraId="34998E8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Enterobacter aerogenes</w:t>
            </w:r>
          </w:p>
        </w:tc>
        <w:tc>
          <w:tcPr>
            <w:tcW w:w="1322" w:type="dxa"/>
            <w:vAlign w:val="center"/>
          </w:tcPr>
          <w:p w14:paraId="01FD869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622305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8A65F3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1A096E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3E632CE7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63679DF2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14:paraId="19233BD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7BA477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Enterobacter cloacae</w:t>
            </w:r>
          </w:p>
        </w:tc>
        <w:tc>
          <w:tcPr>
            <w:tcW w:w="1322" w:type="dxa"/>
            <w:vAlign w:val="center"/>
          </w:tcPr>
          <w:p w14:paraId="4053B2B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5FACE7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1D0BFB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056D62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62C663D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7DBE685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14:paraId="0CB6BEC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9C2CAF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1322" w:type="dxa"/>
            <w:vAlign w:val="center"/>
          </w:tcPr>
          <w:p w14:paraId="20F12F50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FB0D1C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D6C7E3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6338D7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64DA8" w:rsidRPr="002308FC" w14:paraId="4B5865F2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6FF0507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14:paraId="714BFBFC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B0EDE1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322" w:type="dxa"/>
            <w:vAlign w:val="center"/>
          </w:tcPr>
          <w:p w14:paraId="546A2531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7219BA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5DEB4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  <w:vAlign w:val="center"/>
          </w:tcPr>
          <w:p w14:paraId="4117DBCF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64DA8" w:rsidRPr="002308FC" w14:paraId="46895688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194BD54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D41A88A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CRPA</w:t>
            </w:r>
          </w:p>
        </w:tc>
        <w:tc>
          <w:tcPr>
            <w:tcW w:w="1322" w:type="dxa"/>
            <w:vAlign w:val="center"/>
          </w:tcPr>
          <w:p w14:paraId="2AEB5BE6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2314F0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8B0F25E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  <w:vAlign w:val="center"/>
          </w:tcPr>
          <w:p w14:paraId="174ED68B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A64DA8" w:rsidRPr="002308FC" w14:paraId="29D309D7" w14:textId="77777777" w:rsidTr="008E00D8">
        <w:trPr>
          <w:gridAfter w:val="1"/>
          <w:wAfter w:w="8" w:type="dxa"/>
          <w:jc w:val="center"/>
        </w:trPr>
        <w:tc>
          <w:tcPr>
            <w:tcW w:w="1549" w:type="dxa"/>
            <w:gridSpan w:val="2"/>
            <w:vMerge/>
            <w:vAlign w:val="center"/>
          </w:tcPr>
          <w:p w14:paraId="1DC9768D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54D5BC3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Stenotrophomonas maltophilia</w:t>
            </w:r>
          </w:p>
        </w:tc>
        <w:tc>
          <w:tcPr>
            <w:tcW w:w="1322" w:type="dxa"/>
            <w:vAlign w:val="center"/>
          </w:tcPr>
          <w:p w14:paraId="26A25E47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E078A88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25A5AD9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  <w:vAlign w:val="center"/>
          </w:tcPr>
          <w:p w14:paraId="1F5C0FB3" w14:textId="77777777" w:rsidR="00A64DA8" w:rsidRPr="002308FC" w:rsidRDefault="00A64DA8" w:rsidP="008E00D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14:paraId="202D3F58" w14:textId="77777777" w:rsidR="00A64DA8" w:rsidRPr="002308FC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308FC">
        <w:rPr>
          <w:rFonts w:ascii="Times New Roman" w:hAnsi="Times New Roman" w:cs="Times New Roman"/>
          <w:sz w:val="24"/>
          <w:szCs w:val="24"/>
          <w:vertAlign w:val="superscript"/>
          <w:rtl/>
        </w:rPr>
        <w:t>1</w:t>
      </w:r>
      <w:r w:rsidRPr="002308F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2308FC">
        <w:rPr>
          <w:rFonts w:ascii="Times New Roman" w:hAnsi="Times New Roman" w:cs="Times New Roman"/>
          <w:sz w:val="24"/>
          <w:szCs w:val="24"/>
        </w:rPr>
        <w:t>Valid percent represents the frequency percent after exclusion of items for which data was missing (those were subtracted from the denominator)</w:t>
      </w:r>
      <w:r w:rsidRPr="002308FC">
        <w:rPr>
          <w:rFonts w:ascii="Times New Roman" w:hAnsi="Times New Roman" w:cs="Times New Roman"/>
          <w:sz w:val="24"/>
          <w:szCs w:val="24"/>
          <w:rtl/>
        </w:rPr>
        <w:t>.</w:t>
      </w:r>
    </w:p>
    <w:p w14:paraId="02E3DC54" w14:textId="77777777" w:rsidR="00A64DA8" w:rsidRDefault="00A64DA8" w:rsidP="00A64DA8">
      <w:pPr>
        <w:bidi w:val="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 xml:space="preserve">MDRO- multi-drug resistance organisms; XDRO- extensively drug-resistant organisms; </w:t>
      </w:r>
      <w:r w:rsidRPr="002308FC">
        <w:rPr>
          <w:rFonts w:ascii="Times New Roman" w:hAnsi="Times New Roman" w:cs="Times New Roman"/>
          <w:sz w:val="24"/>
          <w:szCs w:val="24"/>
        </w:rPr>
        <w:t xml:space="preserve">CRAB – carbapenem-resistant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Acinetobacter baumannii</w:t>
      </w:r>
      <w:r w:rsidRPr="002308FC">
        <w:rPr>
          <w:rFonts w:ascii="Times New Roman" w:hAnsi="Times New Roman" w:cs="Times New Roman"/>
          <w:sz w:val="24"/>
          <w:szCs w:val="24"/>
        </w:rPr>
        <w:t xml:space="preserve">; CRE – carbapenem -resistant enterobacteriaceæ; CRPA – carbapenem-resistant </w:t>
      </w:r>
      <w:r w:rsidRPr="002308FC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2308FC">
        <w:rPr>
          <w:rFonts w:ascii="Times New Roman" w:hAnsi="Times New Roman" w:cs="Times New Roman"/>
          <w:sz w:val="24"/>
          <w:szCs w:val="24"/>
        </w:rPr>
        <w:t>; GNB – Gram-negative bac</w:t>
      </w:r>
      <w:r>
        <w:rPr>
          <w:rFonts w:ascii="Times New Roman" w:hAnsi="Times New Roman" w:cs="Times New Roman"/>
          <w:sz w:val="24"/>
          <w:szCs w:val="24"/>
        </w:rPr>
        <w:t xml:space="preserve">illi; VRE- </w:t>
      </w:r>
      <w:r w:rsidRPr="002308FC">
        <w:rPr>
          <w:rFonts w:ascii="Times New Roman" w:hAnsi="Times New Roman" w:cs="Times New Roman"/>
          <w:sz w:val="24"/>
          <w:szCs w:val="24"/>
          <w:lang w:bidi="th-TH"/>
        </w:rPr>
        <w:t xml:space="preserve">vancomycin-resistant </w:t>
      </w:r>
      <w:r w:rsidRPr="002308FC">
        <w:rPr>
          <w:rFonts w:ascii="Times New Roman" w:hAnsi="Times New Roman" w:cs="Times New Roman"/>
          <w:i/>
          <w:iCs/>
          <w:sz w:val="24"/>
          <w:szCs w:val="24"/>
          <w:lang w:bidi="th-TH"/>
        </w:rPr>
        <w:t>Enterococcus</w:t>
      </w:r>
      <w:r>
        <w:rPr>
          <w:rFonts w:ascii="Times New Roman" w:hAnsi="Times New Roman" w:cs="Times New Roman"/>
          <w:sz w:val="24"/>
          <w:szCs w:val="24"/>
          <w:lang w:bidi="th-TH"/>
        </w:rPr>
        <w:t>; GPC- Gram positive cocci.</w:t>
      </w:r>
    </w:p>
    <w:p w14:paraId="59A22010" w14:textId="4B240B42" w:rsidR="000E589D" w:rsidRPr="00A64DA8" w:rsidRDefault="000E589D" w:rsidP="00A64DA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th-TH"/>
        </w:rPr>
      </w:pPr>
    </w:p>
    <w:sectPr w:rsidR="000E589D" w:rsidRPr="00A64DA8" w:rsidSect="00525B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E39"/>
    <w:multiLevelType w:val="hybridMultilevel"/>
    <w:tmpl w:val="417A49DC"/>
    <w:lvl w:ilvl="0" w:tplc="11568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C8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45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6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EE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AB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1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E8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0C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87A93"/>
    <w:multiLevelType w:val="hybridMultilevel"/>
    <w:tmpl w:val="5A2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48C"/>
    <w:multiLevelType w:val="hybridMultilevel"/>
    <w:tmpl w:val="081C7768"/>
    <w:lvl w:ilvl="0" w:tplc="5BE25B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8"/>
    <w:rsid w:val="000E589D"/>
    <w:rsid w:val="00525BBD"/>
    <w:rsid w:val="00886725"/>
    <w:rsid w:val="00A64DA8"/>
    <w:rsid w:val="00B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8C99"/>
  <w15:chartTrackingRefBased/>
  <w15:docId w15:val="{876A2E37-AB27-40C8-88EE-E990811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DA8"/>
    <w:pPr>
      <w:spacing w:line="259" w:lineRule="auto"/>
      <w:jc w:val="left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A64DA8"/>
    <w:pPr>
      <w:keepNext/>
      <w:keepLines/>
      <w:spacing w:before="200" w:after="0"/>
      <w:outlineLvl w:val="1"/>
    </w:pPr>
    <w:rPr>
      <w:rFonts w:ascii="Calibri Light" w:eastAsia="Calibri Light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A64DA8"/>
    <w:rPr>
      <w:rFonts w:ascii="Calibri Light" w:eastAsia="Calibri Light" w:hAnsi="Calibri Light" w:cs="Times New Roman"/>
      <w:b/>
      <w:bCs/>
      <w:color w:val="4472C4"/>
      <w:sz w:val="26"/>
      <w:szCs w:val="26"/>
    </w:rPr>
  </w:style>
  <w:style w:type="paragraph" w:customStyle="1" w:styleId="EndNoteBibliographyTitle">
    <w:name w:val="EndNote Bibliography Title"/>
    <w:basedOn w:val="a"/>
    <w:link w:val="EndNoteBibliographyTitle0"/>
    <w:rsid w:val="00A64DA8"/>
    <w:pPr>
      <w:spacing w:after="0"/>
      <w:jc w:val="center"/>
    </w:pPr>
    <w:rPr>
      <w:rFonts w:cs="Calibri"/>
      <w:noProof/>
    </w:rPr>
  </w:style>
  <w:style w:type="character" w:customStyle="1" w:styleId="EndNoteBibliographyTitle0">
    <w:name w:val="EndNote Bibliography Title תו"/>
    <w:basedOn w:val="a0"/>
    <w:link w:val="EndNoteBibliographyTitle"/>
    <w:rsid w:val="00A64DA8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A64DA8"/>
    <w:pPr>
      <w:spacing w:line="240" w:lineRule="auto"/>
      <w:jc w:val="both"/>
    </w:pPr>
    <w:rPr>
      <w:rFonts w:cs="Calibri"/>
      <w:noProof/>
    </w:rPr>
  </w:style>
  <w:style w:type="character" w:customStyle="1" w:styleId="EndNoteBibliography0">
    <w:name w:val="EndNote Bibliography תו"/>
    <w:basedOn w:val="a0"/>
    <w:link w:val="EndNoteBibliography"/>
    <w:rsid w:val="00A64DA8"/>
    <w:rPr>
      <w:rFonts w:ascii="Calibri" w:eastAsia="Calibri" w:hAnsi="Calibri" w:cs="Calibri"/>
      <w:noProof/>
    </w:rPr>
  </w:style>
  <w:style w:type="character" w:styleId="Hyperlink">
    <w:name w:val="Hyperlink"/>
    <w:basedOn w:val="a0"/>
    <w:uiPriority w:val="99"/>
    <w:unhideWhenUsed/>
    <w:rsid w:val="00A64DA8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A64D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64D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4DA8"/>
    <w:pPr>
      <w:spacing w:after="200"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A64DA8"/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4DA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64DA8"/>
    <w:rPr>
      <w:rFonts w:ascii="Tahoma" w:eastAsia="Calibri" w:hAnsi="Tahoma" w:cs="Tahoma"/>
      <w:sz w:val="18"/>
      <w:szCs w:val="18"/>
    </w:rPr>
  </w:style>
  <w:style w:type="character" w:customStyle="1" w:styleId="1">
    <w:name w:val="אזכור לא מזוהה1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64D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A64DA8"/>
    <w:rPr>
      <w:rFonts w:ascii="Calibri" w:eastAsia="Calibri" w:hAnsi="Calibri" w:cs="Arial"/>
    </w:rPr>
  </w:style>
  <w:style w:type="paragraph" w:styleId="ab">
    <w:name w:val="footer"/>
    <w:basedOn w:val="a"/>
    <w:link w:val="ac"/>
    <w:uiPriority w:val="99"/>
    <w:unhideWhenUsed/>
    <w:rsid w:val="00A64D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A64DA8"/>
    <w:rPr>
      <w:rFonts w:ascii="Calibri" w:eastAsia="Calibri" w:hAnsi="Calibri" w:cs="Arial"/>
    </w:rPr>
  </w:style>
  <w:style w:type="character" w:customStyle="1" w:styleId="21">
    <w:name w:val="אזכור לא מזוהה2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A64DA8"/>
    <w:pPr>
      <w:spacing w:after="160"/>
    </w:pPr>
    <w:rPr>
      <w:b/>
      <w:bCs/>
    </w:rPr>
  </w:style>
  <w:style w:type="character" w:customStyle="1" w:styleId="ae">
    <w:name w:val="נושא הערה תו"/>
    <w:basedOn w:val="a6"/>
    <w:link w:val="ad"/>
    <w:uiPriority w:val="99"/>
    <w:semiHidden/>
    <w:rsid w:val="00A64DA8"/>
    <w:rPr>
      <w:rFonts w:ascii="Calibri" w:eastAsia="Calibri" w:hAnsi="Calibri" w:cs="Arial"/>
      <w:b/>
      <w:bCs/>
      <w:sz w:val="20"/>
      <w:szCs w:val="20"/>
    </w:rPr>
  </w:style>
  <w:style w:type="character" w:customStyle="1" w:styleId="3">
    <w:name w:val="אזכור לא מזוהה3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A64DA8"/>
    <w:pPr>
      <w:bidi w:val="0"/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A64DA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64DA8"/>
    <w:pPr>
      <w:bidi w:val="0"/>
      <w:spacing w:after="0" w:line="240" w:lineRule="auto"/>
      <w:jc w:val="left"/>
    </w:pPr>
    <w:rPr>
      <w:rFonts w:ascii="Calibri" w:eastAsia="Calibri" w:hAnsi="Calibri" w:cs="Arial"/>
    </w:rPr>
  </w:style>
  <w:style w:type="character" w:customStyle="1" w:styleId="4">
    <w:name w:val="אזכור לא מזוהה4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character" w:customStyle="1" w:styleId="5">
    <w:name w:val="אזכור לא מזוהה5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character" w:customStyle="1" w:styleId="6">
    <w:name w:val="אזכור לא מזוהה6"/>
    <w:basedOn w:val="a0"/>
    <w:uiPriority w:val="99"/>
    <w:semiHidden/>
    <w:unhideWhenUsed/>
    <w:rsid w:val="00A64DA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A6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זילברמן-איצקוביץ</dc:creator>
  <cp:keywords/>
  <dc:description/>
  <cp:lastModifiedBy>שני זילברמן-איצקוביץ</cp:lastModifiedBy>
  <cp:revision>2</cp:revision>
  <dcterms:created xsi:type="dcterms:W3CDTF">2020-05-21T07:04:00Z</dcterms:created>
  <dcterms:modified xsi:type="dcterms:W3CDTF">2020-07-26T12:19:00Z</dcterms:modified>
</cp:coreProperties>
</file>