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0" w:rsidRPr="007214A4" w:rsidRDefault="007214A4" w:rsidP="00E85A92">
      <w:pPr>
        <w:jc w:val="center"/>
        <w:rPr>
          <w:rFonts w:ascii="Times New Roman" w:hAnsi="Times New Roman" w:cs="Times New Roman"/>
        </w:rPr>
      </w:pPr>
      <w:r w:rsidRPr="007214A4">
        <w:rPr>
          <w:rFonts w:ascii="Times New Roman" w:hAnsi="Times New Roman" w:cs="Times New Roman"/>
        </w:rPr>
        <w:t>Supplementary Appendix</w:t>
      </w:r>
    </w:p>
    <w:p w:rsidR="007214A4" w:rsidRPr="007214A4" w:rsidRDefault="007214A4" w:rsidP="0072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</w:t>
      </w:r>
      <w:r w:rsidR="00E85A92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1: </w:t>
      </w:r>
      <w:r w:rsidRPr="003729FB">
        <w:rPr>
          <w:rFonts w:ascii="Times New Roman" w:hAnsi="Times New Roman"/>
        </w:rPr>
        <w:t>Risk of Mortality, Unadjusted and Adjusted Analyses of Hospitalized Patients with COVID-19, Southeast United States</w:t>
      </w:r>
      <w:r w:rsidR="00E85A92">
        <w:rPr>
          <w:rFonts w:ascii="Times New Roman" w:hAnsi="Times New Roman"/>
        </w:rPr>
        <w:t>; Individual Comorbidities</w:t>
      </w:r>
    </w:p>
    <w:tbl>
      <w:tblPr>
        <w:tblStyle w:val="TableGrid"/>
        <w:tblW w:w="10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1960"/>
        <w:gridCol w:w="1751"/>
        <w:gridCol w:w="2051"/>
        <w:gridCol w:w="2046"/>
      </w:tblGrid>
      <w:tr w:rsidR="007214A4" w:rsidRPr="009B1EB0" w:rsidTr="00E85A92">
        <w:trPr>
          <w:trHeight w:val="468"/>
          <w:jc w:val="center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Covariate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Default="007214A4" w:rsidP="000C6E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Univariate (Unadjusted)</w:t>
            </w:r>
          </w:p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Multivariate (Adjusted)</w:t>
            </w:r>
          </w:p>
        </w:tc>
      </w:tr>
      <w:tr w:rsidR="007214A4" w:rsidRPr="009B1EB0" w:rsidTr="00E85A92">
        <w:trPr>
          <w:trHeight w:val="226"/>
          <w:jc w:val="center"/>
        </w:trPr>
        <w:tc>
          <w:tcPr>
            <w:tcW w:w="2848" w:type="dxa"/>
            <w:tcBorders>
              <w:top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OR</w:t>
            </w:r>
            <w:r w:rsidRPr="00282FEC">
              <w:rPr>
                <w:rFonts w:ascii="Times New Roman" w:hAnsi="Times New Roman"/>
                <w:sz w:val="20"/>
                <w:szCs w:val="18"/>
                <w:vertAlign w:val="superscript"/>
              </w:rPr>
              <w:t>a</w:t>
            </w:r>
            <w:proofErr w:type="spellEnd"/>
            <w:r w:rsidRPr="00EE61CA">
              <w:rPr>
                <w:rFonts w:ascii="Times New Roman" w:hAnsi="Times New Roman"/>
                <w:sz w:val="20"/>
              </w:rPr>
              <w:t xml:space="preserve"> (95% </w:t>
            </w:r>
            <w:proofErr w:type="spellStart"/>
            <w:r w:rsidRPr="00EE61CA">
              <w:rPr>
                <w:rFonts w:ascii="Times New Roman" w:hAnsi="Times New Roman"/>
                <w:sz w:val="20"/>
              </w:rPr>
              <w:t>CI</w:t>
            </w:r>
            <w:r w:rsidRPr="00570D06">
              <w:rPr>
                <w:rFonts w:ascii="Times New Roman" w:hAnsi="Times New Roman"/>
                <w:sz w:val="20"/>
                <w:vertAlign w:val="superscript"/>
              </w:rPr>
              <w:t>b</w:t>
            </w:r>
            <w:proofErr w:type="spellEnd"/>
            <w:r w:rsidRPr="00EE61C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p-value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OR</w:t>
            </w:r>
            <w:r w:rsidRPr="00282FEC">
              <w:rPr>
                <w:rFonts w:ascii="Times New Roman" w:hAnsi="Times New Roman"/>
                <w:sz w:val="20"/>
                <w:szCs w:val="18"/>
                <w:vertAlign w:val="superscript"/>
              </w:rPr>
              <w:t>a</w:t>
            </w:r>
            <w:proofErr w:type="spellEnd"/>
            <w:r w:rsidRPr="00EE61CA">
              <w:rPr>
                <w:rFonts w:ascii="Times New Roman" w:hAnsi="Times New Roman"/>
                <w:sz w:val="20"/>
              </w:rPr>
              <w:t xml:space="preserve"> (95% </w:t>
            </w:r>
            <w:proofErr w:type="spellStart"/>
            <w:r w:rsidRPr="00EE61CA">
              <w:rPr>
                <w:rFonts w:ascii="Times New Roman" w:hAnsi="Times New Roman"/>
                <w:sz w:val="20"/>
              </w:rPr>
              <w:t>CI</w:t>
            </w:r>
            <w:r w:rsidRPr="00570D06">
              <w:rPr>
                <w:rFonts w:ascii="Times New Roman" w:hAnsi="Times New Roman"/>
                <w:sz w:val="20"/>
                <w:vertAlign w:val="superscript"/>
              </w:rPr>
              <w:t>b</w:t>
            </w:r>
            <w:proofErr w:type="spellEnd"/>
            <w:r w:rsidRPr="00EE61C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p-value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Age (per decade)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2.13 (1.74-2.65)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2.07 (1.57-2.79)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Gender (male)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1.81 (1.09-3.07)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0.02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2.48 (1.34-4.75)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Race/Ethnicity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Caucasian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Ref</w:t>
            </w:r>
            <w:r>
              <w:rPr>
                <w:rFonts w:ascii="Times New Roman" w:hAnsi="Times New Roman"/>
                <w:sz w:val="20"/>
                <w:vertAlign w:val="superscript"/>
              </w:rPr>
              <w:t>c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Ref</w:t>
            </w:r>
            <w:r>
              <w:rPr>
                <w:rFonts w:ascii="Times New Roman" w:hAnsi="Times New Roman"/>
                <w:sz w:val="20"/>
                <w:vertAlign w:val="superscript"/>
              </w:rPr>
              <w:t>c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--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African American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0.49 (0.30-0.81)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0.74 (0.40-1.37)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0.34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b/>
                <w:sz w:val="20"/>
              </w:rPr>
              <w:t>BMI</w:t>
            </w:r>
            <w:r>
              <w:rPr>
                <w:rFonts w:ascii="Times New Roman" w:hAnsi="Times New Roman"/>
                <w:sz w:val="20"/>
                <w:vertAlign w:val="superscript"/>
              </w:rPr>
              <w:t>d</w:t>
            </w:r>
            <w:proofErr w:type="spellEnd"/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&lt;18.5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1.39 (0.29-5.22)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0.65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1.45 (0.25-6.84)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0.65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18.5 to &lt;25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Ref</w:t>
            </w:r>
            <w:r>
              <w:rPr>
                <w:rFonts w:ascii="Times New Roman" w:hAnsi="Times New Roman"/>
                <w:sz w:val="20"/>
                <w:vertAlign w:val="superscript"/>
              </w:rPr>
              <w:t>c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Ref</w:t>
            </w:r>
            <w:r>
              <w:rPr>
                <w:rFonts w:ascii="Times New Roman" w:hAnsi="Times New Roman"/>
                <w:sz w:val="20"/>
                <w:vertAlign w:val="superscript"/>
              </w:rPr>
              <w:t>c</w:t>
            </w:r>
            <w:proofErr w:type="spellEnd"/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--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25 to &lt;30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0.93 (0.46-1.86)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0.83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1.26 (0.55-2.95)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0.59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30 to &lt;40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0.55 (0.28-1.10)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0.09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0.99 (0.43-2.32)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0.98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≥40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0.85 (0.36-1.92)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0.70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1.67 (0.56-4.97)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0.35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Co-morbidities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4D508A" w:rsidRDefault="007214A4" w:rsidP="000C6EF7">
            <w:pPr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  Coronary vascular disease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2.61 (1.44-4.64)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0.89 (0.42-1.85)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0.76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4D508A" w:rsidRDefault="007214A4" w:rsidP="007214A4">
            <w:pPr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  Congestive heart failure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3.60 (1.99-6.42)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1.31 (0.59-2.86)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0.50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7214A4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Cardiac a</w:t>
            </w:r>
            <w:r w:rsidRPr="009B1EB0">
              <w:rPr>
                <w:rFonts w:ascii="Times New Roman" w:hAnsi="Times New Roman"/>
                <w:sz w:val="20"/>
              </w:rPr>
              <w:t>rrhythmia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4.85 (2.60-8.97)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1.67 (0.76-3.63)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0.19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4D508A" w:rsidRDefault="007214A4" w:rsidP="007214A4">
            <w:pPr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  Other cardiovascular disease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1.69 (0.69-3.74)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0.22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1.20 (0.41-3.26)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0.73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4D508A" w:rsidRDefault="007214A4" w:rsidP="007214A4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B1EB0">
              <w:rPr>
                <w:rFonts w:ascii="Times New Roman" w:hAnsi="Times New Roman"/>
                <w:sz w:val="20"/>
              </w:rPr>
              <w:t>COPD</w:t>
            </w:r>
            <w:r>
              <w:rPr>
                <w:rFonts w:ascii="Times New Roman" w:hAnsi="Times New Roman"/>
                <w:sz w:val="20"/>
                <w:vertAlign w:val="superscript"/>
              </w:rPr>
              <w:t>e</w:t>
            </w:r>
            <w:proofErr w:type="spellEnd"/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3.38 (1.55-7.12)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1.58 (0.60-3.99)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0.34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7214A4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1EB0">
              <w:rPr>
                <w:rFonts w:ascii="Times New Roman" w:hAnsi="Times New Roman"/>
                <w:sz w:val="20"/>
              </w:rPr>
              <w:t>Asthma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0.58 (0.20-1.40)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0.27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0.87 (0.25-2.56)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0.81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7214A4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1EB0">
              <w:rPr>
                <w:rFonts w:ascii="Times New Roman" w:hAnsi="Times New Roman"/>
                <w:sz w:val="20"/>
              </w:rPr>
              <w:t>Other lung</w:t>
            </w:r>
            <w:r>
              <w:rPr>
                <w:rFonts w:ascii="Times New Roman" w:hAnsi="Times New Roman"/>
                <w:sz w:val="20"/>
              </w:rPr>
              <w:t xml:space="preserve"> disease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2.36 (0.81-6.11)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0.09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3.35 (0.97-10.67)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0.05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4D508A" w:rsidRDefault="007214A4" w:rsidP="000C6EF7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Chronic kidney disease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2.61 (1.34-4.93)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1.44 (0.60-3.35)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0.40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4D508A" w:rsidRDefault="007214A4" w:rsidP="000C6EF7">
            <w:pPr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  End stage renal disease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0.67 (0.16-2.00)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0.53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0.32 (0.04-1.36)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0.17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Stroke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1.81 (0.89-3.48)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0.09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1.31 (0.57-2.89)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0.52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Hypertension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1.83 (1.07-3.23)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0.03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0.80 (0.39-1.63)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0.53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Diabetes mellitus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1.43 (0.86-2.37)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0.16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1.45 (0.75-2.83)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0.27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Peripheral vascular</w:t>
            </w:r>
            <w:r>
              <w:rPr>
                <w:rFonts w:ascii="Times New Roman" w:hAnsi="Times New Roman"/>
                <w:sz w:val="20"/>
              </w:rPr>
              <w:t xml:space="preserve"> disease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2.01 (0.89-4.22)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0.07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1.40 (0.54-3.48)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0.48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Connective tissue</w:t>
            </w:r>
            <w:r>
              <w:rPr>
                <w:rFonts w:ascii="Times New Roman" w:hAnsi="Times New Roman"/>
                <w:sz w:val="20"/>
              </w:rPr>
              <w:t xml:space="preserve"> disorder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4.22 (1.89-9.21)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2.88 (1.12-7.33)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0.03</w:t>
            </w:r>
          </w:p>
        </w:tc>
      </w:tr>
      <w:tr w:rsidR="007214A4" w:rsidRPr="009B1EB0" w:rsidTr="000C6EF7">
        <w:trPr>
          <w:trHeight w:val="226"/>
          <w:jc w:val="center"/>
        </w:trPr>
        <w:tc>
          <w:tcPr>
            <w:tcW w:w="2848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Liver</w:t>
            </w:r>
            <w:r>
              <w:rPr>
                <w:rFonts w:ascii="Times New Roman" w:hAnsi="Times New Roman"/>
                <w:sz w:val="20"/>
              </w:rPr>
              <w:t xml:space="preserve"> disease</w:t>
            </w:r>
          </w:p>
        </w:tc>
        <w:tc>
          <w:tcPr>
            <w:tcW w:w="1960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1.79 (0.39-6.15)</w:t>
            </w:r>
          </w:p>
        </w:tc>
        <w:tc>
          <w:tcPr>
            <w:tcW w:w="17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0.39</w:t>
            </w:r>
          </w:p>
        </w:tc>
        <w:tc>
          <w:tcPr>
            <w:tcW w:w="2051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2.14 (0.40-9.04)</w:t>
            </w:r>
          </w:p>
        </w:tc>
        <w:tc>
          <w:tcPr>
            <w:tcW w:w="2046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0.33</w:t>
            </w:r>
          </w:p>
        </w:tc>
      </w:tr>
      <w:tr w:rsidR="007214A4" w:rsidRPr="009B1EB0" w:rsidTr="007214A4">
        <w:trPr>
          <w:trHeight w:val="226"/>
          <w:jc w:val="center"/>
        </w:trPr>
        <w:tc>
          <w:tcPr>
            <w:tcW w:w="2848" w:type="dxa"/>
            <w:tcBorders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Smoking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0.87 (0.20-2.66)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0.83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1.07 (0.21-4.19)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0.93</w:t>
            </w:r>
          </w:p>
        </w:tc>
      </w:tr>
      <w:tr w:rsidR="007214A4" w:rsidRPr="009B1EB0" w:rsidTr="007214A4">
        <w:trPr>
          <w:trHeight w:val="226"/>
          <w:jc w:val="center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Immunocompromised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1.36 (0.62-2.76)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0.41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1.74 (0.68-4.20)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0.23</w:t>
            </w:r>
          </w:p>
        </w:tc>
      </w:tr>
    </w:tbl>
    <w:p w:rsidR="007214A4" w:rsidRDefault="007214A4" w:rsidP="007214A4">
      <w:pPr>
        <w:spacing w:after="0" w:line="240" w:lineRule="auto"/>
        <w:rPr>
          <w:rFonts w:ascii="Times New Roman" w:hAnsi="Times New Roman"/>
          <w:sz w:val="20"/>
          <w:szCs w:val="18"/>
        </w:rPr>
      </w:pPr>
      <w:proofErr w:type="spellStart"/>
      <w:proofErr w:type="gramStart"/>
      <w:r w:rsidRPr="00570D06">
        <w:rPr>
          <w:rFonts w:ascii="Times New Roman" w:hAnsi="Times New Roman"/>
          <w:sz w:val="20"/>
          <w:szCs w:val="18"/>
          <w:vertAlign w:val="superscript"/>
        </w:rPr>
        <w:t>a</w:t>
      </w:r>
      <w:r w:rsidRPr="003729FB">
        <w:rPr>
          <w:rFonts w:ascii="Times New Roman" w:hAnsi="Times New Roman"/>
          <w:sz w:val="20"/>
          <w:szCs w:val="18"/>
        </w:rPr>
        <w:t>OR</w:t>
      </w:r>
      <w:proofErr w:type="spellEnd"/>
      <w:proofErr w:type="gramEnd"/>
      <w:r w:rsidRPr="003729FB">
        <w:rPr>
          <w:rFonts w:ascii="Times New Roman" w:hAnsi="Times New Roman"/>
          <w:sz w:val="20"/>
          <w:szCs w:val="18"/>
        </w:rPr>
        <w:t>, odds ratio</w:t>
      </w:r>
    </w:p>
    <w:p w:rsidR="007214A4" w:rsidRDefault="007214A4" w:rsidP="007214A4">
      <w:pPr>
        <w:spacing w:after="0" w:line="240" w:lineRule="auto"/>
        <w:rPr>
          <w:rFonts w:ascii="Times New Roman" w:hAnsi="Times New Roman"/>
          <w:sz w:val="20"/>
          <w:szCs w:val="18"/>
        </w:rPr>
      </w:pPr>
      <w:proofErr w:type="spellStart"/>
      <w:proofErr w:type="gramStart"/>
      <w:r w:rsidRPr="00282FEC">
        <w:rPr>
          <w:rFonts w:ascii="Times New Roman" w:hAnsi="Times New Roman"/>
          <w:sz w:val="20"/>
          <w:vertAlign w:val="superscript"/>
        </w:rPr>
        <w:t>b</w:t>
      </w:r>
      <w:r w:rsidRPr="003729FB">
        <w:rPr>
          <w:rFonts w:ascii="Times New Roman" w:hAnsi="Times New Roman"/>
          <w:sz w:val="20"/>
          <w:szCs w:val="18"/>
        </w:rPr>
        <w:t>CI</w:t>
      </w:r>
      <w:proofErr w:type="spellEnd"/>
      <w:proofErr w:type="gramEnd"/>
      <w:r w:rsidRPr="003729FB">
        <w:rPr>
          <w:rFonts w:ascii="Times New Roman" w:hAnsi="Times New Roman"/>
          <w:sz w:val="20"/>
          <w:szCs w:val="18"/>
        </w:rPr>
        <w:t>, confidence interval</w:t>
      </w:r>
      <w:r w:rsidRPr="00AC0346">
        <w:rPr>
          <w:rFonts w:ascii="Times New Roman" w:hAnsi="Times New Roman"/>
          <w:sz w:val="20"/>
          <w:szCs w:val="18"/>
        </w:rPr>
        <w:t xml:space="preserve"> </w:t>
      </w:r>
    </w:p>
    <w:p w:rsidR="007214A4" w:rsidRPr="00583234" w:rsidRDefault="007214A4" w:rsidP="007214A4">
      <w:pPr>
        <w:spacing w:after="0" w:line="240" w:lineRule="auto"/>
        <w:rPr>
          <w:rFonts w:ascii="Times New Roman" w:hAnsi="Times New Roman"/>
          <w:sz w:val="20"/>
          <w:szCs w:val="18"/>
        </w:rPr>
      </w:pPr>
      <w:proofErr w:type="spellStart"/>
      <w:proofErr w:type="gramStart"/>
      <w:r w:rsidRPr="00570D06">
        <w:rPr>
          <w:rFonts w:ascii="Times New Roman" w:hAnsi="Times New Roman"/>
          <w:sz w:val="20"/>
          <w:szCs w:val="18"/>
          <w:vertAlign w:val="superscript"/>
        </w:rPr>
        <w:t>c</w:t>
      </w:r>
      <w:r>
        <w:rPr>
          <w:rFonts w:ascii="Times New Roman" w:hAnsi="Times New Roman"/>
          <w:sz w:val="20"/>
          <w:szCs w:val="18"/>
        </w:rPr>
        <w:t>Ref</w:t>
      </w:r>
      <w:proofErr w:type="spellEnd"/>
      <w:proofErr w:type="gramEnd"/>
      <w:r>
        <w:rPr>
          <w:rFonts w:ascii="Times New Roman" w:hAnsi="Times New Roman"/>
          <w:sz w:val="20"/>
          <w:szCs w:val="18"/>
        </w:rPr>
        <w:t>, reference</w:t>
      </w:r>
    </w:p>
    <w:p w:rsidR="007214A4" w:rsidRDefault="007214A4" w:rsidP="007214A4">
      <w:pPr>
        <w:spacing w:after="0" w:line="240" w:lineRule="auto"/>
        <w:rPr>
          <w:rFonts w:ascii="Times New Roman" w:hAnsi="Times New Roman"/>
          <w:sz w:val="20"/>
          <w:szCs w:val="18"/>
        </w:rPr>
      </w:pPr>
      <w:proofErr w:type="spellStart"/>
      <w:proofErr w:type="gramStart"/>
      <w:r>
        <w:rPr>
          <w:rFonts w:ascii="Times New Roman" w:hAnsi="Times New Roman"/>
          <w:sz w:val="20"/>
          <w:szCs w:val="18"/>
          <w:vertAlign w:val="superscript"/>
        </w:rPr>
        <w:t>d</w:t>
      </w:r>
      <w:r w:rsidRPr="003729FB">
        <w:rPr>
          <w:rFonts w:ascii="Times New Roman" w:hAnsi="Times New Roman"/>
          <w:sz w:val="20"/>
          <w:szCs w:val="18"/>
        </w:rPr>
        <w:t>BMI</w:t>
      </w:r>
      <w:proofErr w:type="spellEnd"/>
      <w:proofErr w:type="gramEnd"/>
      <w:r w:rsidRPr="003729FB">
        <w:rPr>
          <w:rFonts w:ascii="Times New Roman" w:hAnsi="Times New Roman"/>
          <w:sz w:val="20"/>
          <w:szCs w:val="18"/>
        </w:rPr>
        <w:t>, body mass index</w:t>
      </w:r>
    </w:p>
    <w:p w:rsidR="007214A4" w:rsidRDefault="007214A4" w:rsidP="007214A4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proofErr w:type="gramStart"/>
      <w:r w:rsidRPr="004D508A">
        <w:rPr>
          <w:rFonts w:ascii="Times New Roman" w:hAnsi="Times New Roman"/>
          <w:sz w:val="20"/>
          <w:vertAlign w:val="superscript"/>
        </w:rPr>
        <w:t>e</w:t>
      </w:r>
      <w:r>
        <w:rPr>
          <w:rFonts w:ascii="Times New Roman" w:hAnsi="Times New Roman"/>
          <w:sz w:val="20"/>
        </w:rPr>
        <w:t>COPD</w:t>
      </w:r>
      <w:proofErr w:type="spellEnd"/>
      <w:proofErr w:type="gramEnd"/>
      <w:r>
        <w:rPr>
          <w:rFonts w:ascii="Times New Roman" w:hAnsi="Times New Roman"/>
          <w:sz w:val="20"/>
        </w:rPr>
        <w:t>, chronic obstructive pulmonary disease</w:t>
      </w:r>
    </w:p>
    <w:p w:rsidR="007214A4" w:rsidRDefault="007214A4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E85A92" w:rsidRDefault="00E85A92" w:rsidP="007214A4">
      <w:pPr>
        <w:spacing w:line="480" w:lineRule="auto"/>
        <w:rPr>
          <w:rFonts w:ascii="Times New Roman" w:hAnsi="Times New Roman"/>
        </w:rPr>
      </w:pPr>
    </w:p>
    <w:p w:rsidR="00E85A92" w:rsidRDefault="00E85A92" w:rsidP="007214A4">
      <w:pPr>
        <w:spacing w:line="480" w:lineRule="auto"/>
        <w:rPr>
          <w:rFonts w:ascii="Times New Roman" w:hAnsi="Times New Roman"/>
        </w:rPr>
      </w:pPr>
    </w:p>
    <w:p w:rsidR="00E85A92" w:rsidRDefault="00E85A92" w:rsidP="007214A4">
      <w:pPr>
        <w:spacing w:line="480" w:lineRule="auto"/>
        <w:rPr>
          <w:rFonts w:ascii="Times New Roman" w:hAnsi="Times New Roman"/>
        </w:rPr>
      </w:pPr>
    </w:p>
    <w:p w:rsidR="007214A4" w:rsidRDefault="00E85A92" w:rsidP="00E85A9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Table S2</w:t>
      </w:r>
      <w:r w:rsidR="007214A4" w:rsidRPr="003729FB">
        <w:rPr>
          <w:rFonts w:ascii="Times New Roman" w:hAnsi="Times New Roman"/>
        </w:rPr>
        <w:t>: Risk of Severe Disease</w:t>
      </w:r>
      <w:r w:rsidR="007214A4">
        <w:rPr>
          <w:rFonts w:ascii="Times New Roman" w:hAnsi="Times New Roman"/>
          <w:vertAlign w:val="superscript"/>
        </w:rPr>
        <w:t>+</w:t>
      </w:r>
      <w:r w:rsidR="007214A4" w:rsidRPr="003729FB">
        <w:rPr>
          <w:rFonts w:ascii="Times New Roman" w:hAnsi="Times New Roman"/>
        </w:rPr>
        <w:t>, Unadjusted and Adjusted Analyses of Hospitalized Patients with CO</w:t>
      </w:r>
      <w:r w:rsidR="007214A4">
        <w:rPr>
          <w:rFonts w:ascii="Times New Roman" w:hAnsi="Times New Roman"/>
        </w:rPr>
        <w:t>VID-19, Southeast United States</w:t>
      </w:r>
      <w:r>
        <w:rPr>
          <w:rFonts w:ascii="Times New Roman" w:hAnsi="Times New Roman"/>
        </w:rPr>
        <w:t>; Individual Comorbidities</w:t>
      </w:r>
    </w:p>
    <w:p w:rsidR="00E85A92" w:rsidRDefault="00E85A92" w:rsidP="00E85A92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106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1887"/>
        <w:gridCol w:w="1594"/>
        <w:gridCol w:w="1984"/>
        <w:gridCol w:w="2269"/>
      </w:tblGrid>
      <w:tr w:rsidR="007214A4" w:rsidRPr="009B1EB0" w:rsidTr="00E85A92">
        <w:trPr>
          <w:trHeight w:val="465"/>
          <w:jc w:val="center"/>
        </w:trPr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Covariate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Univariate (Unadjusted)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Default="007214A4" w:rsidP="000C6E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Multivariate (Adjusted)</w:t>
            </w:r>
          </w:p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214A4" w:rsidRPr="009B1EB0" w:rsidTr="00E85A92">
        <w:trPr>
          <w:trHeight w:val="225"/>
          <w:jc w:val="center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OR</w:t>
            </w:r>
            <w:r w:rsidRPr="00282FEC">
              <w:rPr>
                <w:rFonts w:ascii="Times New Roman" w:hAnsi="Times New Roman"/>
                <w:sz w:val="20"/>
                <w:szCs w:val="18"/>
                <w:vertAlign w:val="superscript"/>
              </w:rPr>
              <w:t>a</w:t>
            </w:r>
            <w:proofErr w:type="spellEnd"/>
            <w:r w:rsidRPr="00EE61CA">
              <w:rPr>
                <w:rFonts w:ascii="Times New Roman" w:hAnsi="Times New Roman"/>
                <w:sz w:val="20"/>
              </w:rPr>
              <w:t xml:space="preserve"> (95% </w:t>
            </w:r>
            <w:proofErr w:type="spellStart"/>
            <w:r w:rsidRPr="00EE61CA">
              <w:rPr>
                <w:rFonts w:ascii="Times New Roman" w:hAnsi="Times New Roman"/>
                <w:sz w:val="20"/>
              </w:rPr>
              <w:t>CI</w:t>
            </w:r>
            <w:r w:rsidRPr="00570D06">
              <w:rPr>
                <w:rFonts w:ascii="Times New Roman" w:hAnsi="Times New Roman"/>
                <w:sz w:val="20"/>
                <w:vertAlign w:val="superscript"/>
              </w:rPr>
              <w:t>b</w:t>
            </w:r>
            <w:proofErr w:type="spellEnd"/>
            <w:r w:rsidRPr="00EE61C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p-value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OR</w:t>
            </w:r>
            <w:r w:rsidRPr="00282FEC">
              <w:rPr>
                <w:rFonts w:ascii="Times New Roman" w:hAnsi="Times New Roman"/>
                <w:sz w:val="20"/>
                <w:szCs w:val="18"/>
                <w:vertAlign w:val="superscript"/>
              </w:rPr>
              <w:t>a</w:t>
            </w:r>
            <w:proofErr w:type="spellEnd"/>
            <w:r w:rsidRPr="00EE61CA">
              <w:rPr>
                <w:rFonts w:ascii="Times New Roman" w:hAnsi="Times New Roman"/>
                <w:sz w:val="20"/>
              </w:rPr>
              <w:t xml:space="preserve"> (95% </w:t>
            </w:r>
            <w:proofErr w:type="spellStart"/>
            <w:r w:rsidRPr="00EE61CA">
              <w:rPr>
                <w:rFonts w:ascii="Times New Roman" w:hAnsi="Times New Roman"/>
                <w:sz w:val="20"/>
              </w:rPr>
              <w:t>CI</w:t>
            </w:r>
            <w:r w:rsidRPr="00570D06">
              <w:rPr>
                <w:rFonts w:ascii="Times New Roman" w:hAnsi="Times New Roman"/>
                <w:sz w:val="20"/>
                <w:vertAlign w:val="superscript"/>
              </w:rPr>
              <w:t>b</w:t>
            </w:r>
            <w:proofErr w:type="spellEnd"/>
            <w:r w:rsidRPr="00EE61C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p-value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Age (per decade)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1.34 (1.20-1.52)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1.14 (0.99-1.31)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0.07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Gender (male)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2.02 (1.39-2.94)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2.33 (1.53-3.60)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Race/Ethnicity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Caucasian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Ref</w:t>
            </w:r>
            <w:r>
              <w:rPr>
                <w:rFonts w:ascii="Times New Roman" w:hAnsi="Times New Roman"/>
                <w:sz w:val="20"/>
                <w:vertAlign w:val="superscript"/>
              </w:rPr>
              <w:t>c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Ref</w:t>
            </w:r>
            <w:r>
              <w:rPr>
                <w:rFonts w:ascii="Times New Roman" w:hAnsi="Times New Roman"/>
                <w:sz w:val="20"/>
                <w:vertAlign w:val="superscript"/>
              </w:rPr>
              <w:t>c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--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African American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0.81 (0.56-1.19)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0.28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1.15 (0.74-1.78)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0.54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b/>
                <w:sz w:val="20"/>
              </w:rPr>
              <w:t>BMI</w:t>
            </w:r>
            <w:r>
              <w:rPr>
                <w:rFonts w:ascii="Times New Roman" w:hAnsi="Times New Roman"/>
                <w:sz w:val="20"/>
                <w:vertAlign w:val="superscript"/>
              </w:rPr>
              <w:t>d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&lt;18.5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0.66 (0.14-2.37)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0.54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0.86 (0.17-3.43)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0.84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18.5 to &lt;25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Ref</w:t>
            </w:r>
            <w:r>
              <w:rPr>
                <w:rFonts w:ascii="Times New Roman" w:hAnsi="Times New Roman"/>
                <w:sz w:val="20"/>
                <w:vertAlign w:val="superscript"/>
              </w:rPr>
              <w:t>c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61CA">
              <w:rPr>
                <w:rFonts w:ascii="Times New Roman" w:hAnsi="Times New Roman"/>
                <w:sz w:val="20"/>
              </w:rPr>
              <w:t>Ref</w:t>
            </w:r>
            <w:r>
              <w:rPr>
                <w:rFonts w:ascii="Times New Roman" w:hAnsi="Times New Roman"/>
                <w:sz w:val="20"/>
                <w:vertAlign w:val="superscript"/>
              </w:rPr>
              <w:t>c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--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25 to &lt;30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1.38 (0.80-2.39)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0.24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1.82 (0.98-3.41)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0.06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30 to &lt;40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0.97 (0.58-1.64)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0.91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1.37 (0.76-2.52)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0.30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≥40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1.19 (0.62-2.26)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0.59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2.00 (0.94-4.30)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0.07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b/>
                <w:sz w:val="20"/>
              </w:rPr>
            </w:pPr>
            <w:r w:rsidRPr="009B1EB0">
              <w:rPr>
                <w:rFonts w:ascii="Times New Roman" w:hAnsi="Times New Roman"/>
                <w:b/>
                <w:sz w:val="20"/>
              </w:rPr>
              <w:t>Co-morbidities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B22BE9" w:rsidRDefault="007214A4" w:rsidP="00E85A92">
            <w:pPr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  Coronary vascular disease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1.83 (1.11-3.01)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0.02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1.08 (0.58-1.98)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0.81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B22BE9" w:rsidRDefault="007214A4" w:rsidP="00E85A92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C</w:t>
            </w:r>
            <w:r>
              <w:rPr>
                <w:rFonts w:ascii="Times New Roman" w:hAnsi="Times New Roman"/>
                <w:sz w:val="20"/>
              </w:rPr>
              <w:t>ongestive heart failure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1.81 (1.09-3.01)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0.02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1.23 (0.64-2.33)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0.53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E85A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Cardiac a</w:t>
            </w:r>
            <w:r w:rsidRPr="009B1EB0">
              <w:rPr>
                <w:rFonts w:ascii="Times New Roman" w:hAnsi="Times New Roman"/>
                <w:sz w:val="20"/>
              </w:rPr>
              <w:t>rrhythmia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2.61 (1.48-4.64)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&lt;0.01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2.01 (1.04-3.92)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0.04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B22BE9" w:rsidRDefault="007214A4" w:rsidP="00E85A92">
            <w:pPr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  Other cardiovascular disease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1.19 (0.59-2.33)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0.61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0.98 (0.46-2.03)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0.95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B22BE9" w:rsidRDefault="007214A4" w:rsidP="00E85A92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9B1EB0">
              <w:rPr>
                <w:rFonts w:ascii="Times New Roman" w:hAnsi="Times New Roman"/>
                <w:sz w:val="20"/>
              </w:rPr>
              <w:t>COPD</w:t>
            </w:r>
            <w:r>
              <w:rPr>
                <w:rFonts w:ascii="Times New Roman" w:hAnsi="Times New Roman"/>
                <w:sz w:val="20"/>
                <w:vertAlign w:val="superscript"/>
              </w:rPr>
              <w:t>e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1.36 (0.65-2.76)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0.40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0.95 (0.41-2.16)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0.90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E85A92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Asthma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0.70 (0.35-1.31)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0.28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0.78 (0.36-1.59)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0.50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 xml:space="preserve">  Other </w:t>
            </w:r>
            <w:r>
              <w:rPr>
                <w:rFonts w:ascii="Times New Roman" w:hAnsi="Times New Roman"/>
                <w:sz w:val="20"/>
              </w:rPr>
              <w:t>pulmonary disease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1.12 (0.43-2.70)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0.81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1.06 (0.38-2.81)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0.91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B22BE9" w:rsidRDefault="007214A4" w:rsidP="000C6EF7">
            <w:pPr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B1EB0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hronic kidney disease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1.41 (0.79-2.47)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0.23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0.93 (0.47-1.81)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0.83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B22BE9" w:rsidRDefault="007214A4" w:rsidP="000C6EF7">
            <w:pPr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B1EB0"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nd stage renal disease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1.41 (0.66-2.96)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0.37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1.13 (0.47-2.65)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0.78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B1EB0">
              <w:rPr>
                <w:rFonts w:ascii="Times New Roman" w:hAnsi="Times New Roman"/>
                <w:sz w:val="20"/>
              </w:rPr>
              <w:t>Stroke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1.37 (0.78-2.38)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0.27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0.92 (0.48-1.75)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0.81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B1EB0">
              <w:rPr>
                <w:rFonts w:ascii="Times New Roman" w:hAnsi="Times New Roman"/>
                <w:sz w:val="20"/>
              </w:rPr>
              <w:t>Hypertension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1.43 (0.98-2.09)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0.06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1.11 (0.69-1.80)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0.66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B1EB0">
              <w:rPr>
                <w:rFonts w:ascii="Times New Roman" w:hAnsi="Times New Roman"/>
                <w:sz w:val="20"/>
              </w:rPr>
              <w:t>Diabetes mellitus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1.35 (0.92-1.98)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0.12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1.17 (0.74-1.85)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0.50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B1EB0">
              <w:rPr>
                <w:rFonts w:ascii="Times New Roman" w:hAnsi="Times New Roman"/>
                <w:sz w:val="20"/>
              </w:rPr>
              <w:t>Peripheral vascular</w:t>
            </w:r>
            <w:r>
              <w:rPr>
                <w:rFonts w:ascii="Times New Roman" w:hAnsi="Times New Roman"/>
                <w:sz w:val="20"/>
              </w:rPr>
              <w:t xml:space="preserve"> disease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1.46 (0.74-2.83)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0.27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1.11 (0.51-2.36)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0.79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B1EB0">
              <w:rPr>
                <w:rFonts w:ascii="Times New Roman" w:hAnsi="Times New Roman"/>
                <w:sz w:val="20"/>
              </w:rPr>
              <w:t>Connective tissue</w:t>
            </w:r>
            <w:r>
              <w:rPr>
                <w:rFonts w:ascii="Times New Roman" w:hAnsi="Times New Roman"/>
                <w:sz w:val="20"/>
              </w:rPr>
              <w:t xml:space="preserve"> disorder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2.12 (1.03-4.44)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1.60 (0.72-3.58)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0.25</w:t>
            </w:r>
          </w:p>
        </w:tc>
      </w:tr>
      <w:tr w:rsidR="007214A4" w:rsidRPr="009B1EB0" w:rsidTr="000C6EF7">
        <w:trPr>
          <w:trHeight w:val="225"/>
          <w:jc w:val="center"/>
        </w:trPr>
        <w:tc>
          <w:tcPr>
            <w:tcW w:w="2932" w:type="dxa"/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B1EB0">
              <w:rPr>
                <w:rFonts w:ascii="Times New Roman" w:hAnsi="Times New Roman"/>
                <w:sz w:val="20"/>
              </w:rPr>
              <w:t>Liver</w:t>
            </w:r>
            <w:r>
              <w:rPr>
                <w:rFonts w:ascii="Times New Roman" w:hAnsi="Times New Roman"/>
                <w:sz w:val="20"/>
              </w:rPr>
              <w:t xml:space="preserve"> disease</w:t>
            </w:r>
          </w:p>
        </w:tc>
        <w:tc>
          <w:tcPr>
            <w:tcW w:w="1887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2.58 (0.85-8.64)</w:t>
            </w:r>
          </w:p>
        </w:tc>
        <w:tc>
          <w:tcPr>
            <w:tcW w:w="159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0.10</w:t>
            </w:r>
          </w:p>
        </w:tc>
        <w:tc>
          <w:tcPr>
            <w:tcW w:w="1984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2.34 (0.71-8.36)</w:t>
            </w:r>
          </w:p>
        </w:tc>
        <w:tc>
          <w:tcPr>
            <w:tcW w:w="2269" w:type="dxa"/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0.17</w:t>
            </w:r>
          </w:p>
        </w:tc>
      </w:tr>
      <w:tr w:rsidR="007214A4" w:rsidRPr="009B1EB0" w:rsidTr="007214A4">
        <w:trPr>
          <w:trHeight w:val="225"/>
          <w:jc w:val="center"/>
        </w:trPr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B1EB0">
              <w:rPr>
                <w:rFonts w:ascii="Times New Roman" w:hAnsi="Times New Roman"/>
                <w:sz w:val="20"/>
              </w:rPr>
              <w:t>Smoking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1.33 (0.55-3.13)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0.52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1.54 (0.59-3.97)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0.37</w:t>
            </w:r>
          </w:p>
        </w:tc>
      </w:tr>
      <w:tr w:rsidR="007214A4" w:rsidRPr="009B1EB0" w:rsidTr="007214A4">
        <w:trPr>
          <w:trHeight w:val="225"/>
          <w:jc w:val="center"/>
        </w:trPr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B1EB0">
              <w:rPr>
                <w:rFonts w:ascii="Times New Roman" w:hAnsi="Times New Roman"/>
                <w:sz w:val="20"/>
              </w:rPr>
              <w:t>Immunocompromised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1.66 (0.94-2.94)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1.93 (1.03-3.61)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4A4" w:rsidRPr="009B1EB0" w:rsidRDefault="007214A4" w:rsidP="000C6EF7">
            <w:pPr>
              <w:jc w:val="center"/>
              <w:rPr>
                <w:rFonts w:ascii="Times New Roman" w:hAnsi="Times New Roman"/>
                <w:sz w:val="20"/>
              </w:rPr>
            </w:pPr>
            <w:r w:rsidRPr="009B1EB0">
              <w:rPr>
                <w:rFonts w:ascii="Times New Roman" w:hAnsi="Times New Roman"/>
                <w:sz w:val="20"/>
              </w:rPr>
              <w:t>0.04</w:t>
            </w:r>
          </w:p>
        </w:tc>
      </w:tr>
    </w:tbl>
    <w:p w:rsidR="007214A4" w:rsidRPr="00583234" w:rsidRDefault="007214A4" w:rsidP="007214A4">
      <w:pPr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  <w:vertAlign w:val="superscript"/>
        </w:rPr>
        <w:t>+</w:t>
      </w:r>
      <w:r>
        <w:rPr>
          <w:rFonts w:ascii="Times New Roman" w:hAnsi="Times New Roman"/>
          <w:sz w:val="20"/>
          <w:szCs w:val="18"/>
        </w:rPr>
        <w:t>Severe disease, defined as a composite of ICU admission or requirement of mechanical ventilation</w:t>
      </w:r>
    </w:p>
    <w:p w:rsidR="007214A4" w:rsidRDefault="007214A4" w:rsidP="007214A4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proofErr w:type="gramStart"/>
      <w:r w:rsidRPr="00282FEC">
        <w:rPr>
          <w:rFonts w:ascii="Times New Roman" w:hAnsi="Times New Roman"/>
          <w:sz w:val="20"/>
          <w:szCs w:val="18"/>
          <w:vertAlign w:val="superscript"/>
        </w:rPr>
        <w:t>a</w:t>
      </w:r>
      <w:r w:rsidRPr="003729FB">
        <w:rPr>
          <w:rFonts w:ascii="Times New Roman" w:hAnsi="Times New Roman"/>
          <w:sz w:val="20"/>
        </w:rPr>
        <w:t>OR</w:t>
      </w:r>
      <w:proofErr w:type="spellEnd"/>
      <w:proofErr w:type="gramEnd"/>
      <w:r w:rsidRPr="003729FB">
        <w:rPr>
          <w:rFonts w:ascii="Times New Roman" w:hAnsi="Times New Roman"/>
          <w:sz w:val="20"/>
        </w:rPr>
        <w:t>, odds ratio</w:t>
      </w:r>
    </w:p>
    <w:p w:rsidR="007214A4" w:rsidRDefault="007214A4" w:rsidP="007214A4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proofErr w:type="gramStart"/>
      <w:r w:rsidRPr="00282FEC">
        <w:rPr>
          <w:rFonts w:ascii="Times New Roman" w:hAnsi="Times New Roman"/>
          <w:sz w:val="20"/>
          <w:vertAlign w:val="superscript"/>
        </w:rPr>
        <w:t>b</w:t>
      </w:r>
      <w:r w:rsidRPr="003729FB">
        <w:rPr>
          <w:rFonts w:ascii="Times New Roman" w:hAnsi="Times New Roman"/>
          <w:sz w:val="20"/>
        </w:rPr>
        <w:t>CI</w:t>
      </w:r>
      <w:proofErr w:type="spellEnd"/>
      <w:proofErr w:type="gramEnd"/>
      <w:r w:rsidRPr="003729FB">
        <w:rPr>
          <w:rFonts w:ascii="Times New Roman" w:hAnsi="Times New Roman"/>
          <w:sz w:val="20"/>
        </w:rPr>
        <w:t>, confidence interval</w:t>
      </w:r>
    </w:p>
    <w:p w:rsidR="007214A4" w:rsidRPr="00583234" w:rsidRDefault="007214A4" w:rsidP="007214A4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proofErr w:type="gramStart"/>
      <w:r w:rsidRPr="00570D06">
        <w:rPr>
          <w:rFonts w:ascii="Times New Roman" w:hAnsi="Times New Roman"/>
          <w:sz w:val="20"/>
          <w:vertAlign w:val="superscript"/>
        </w:rPr>
        <w:t>c</w:t>
      </w:r>
      <w:r>
        <w:rPr>
          <w:rFonts w:ascii="Times New Roman" w:hAnsi="Times New Roman"/>
          <w:sz w:val="20"/>
        </w:rPr>
        <w:t>Ref</w:t>
      </w:r>
      <w:proofErr w:type="spellEnd"/>
      <w:proofErr w:type="gramEnd"/>
      <w:r>
        <w:rPr>
          <w:rFonts w:ascii="Times New Roman" w:hAnsi="Times New Roman"/>
          <w:sz w:val="20"/>
        </w:rPr>
        <w:t>, reference</w:t>
      </w:r>
    </w:p>
    <w:p w:rsidR="007214A4" w:rsidRPr="003729FB" w:rsidRDefault="007214A4" w:rsidP="007214A4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proofErr w:type="gramStart"/>
      <w:r>
        <w:rPr>
          <w:rFonts w:ascii="Times New Roman" w:hAnsi="Times New Roman"/>
          <w:sz w:val="20"/>
          <w:vertAlign w:val="superscript"/>
        </w:rPr>
        <w:t>d</w:t>
      </w:r>
      <w:r w:rsidRPr="003729FB">
        <w:rPr>
          <w:rFonts w:ascii="Times New Roman" w:hAnsi="Times New Roman"/>
          <w:sz w:val="20"/>
        </w:rPr>
        <w:t>BMI</w:t>
      </w:r>
      <w:proofErr w:type="spellEnd"/>
      <w:proofErr w:type="gramEnd"/>
      <w:r w:rsidRPr="003729FB">
        <w:rPr>
          <w:rFonts w:ascii="Times New Roman" w:hAnsi="Times New Roman"/>
          <w:sz w:val="20"/>
        </w:rPr>
        <w:t xml:space="preserve"> body mass index</w:t>
      </w:r>
    </w:p>
    <w:p w:rsidR="007214A4" w:rsidRDefault="007214A4" w:rsidP="007214A4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proofErr w:type="gramStart"/>
      <w:r>
        <w:rPr>
          <w:rFonts w:ascii="Times New Roman" w:hAnsi="Times New Roman"/>
          <w:sz w:val="20"/>
          <w:vertAlign w:val="superscript"/>
        </w:rPr>
        <w:t>e</w:t>
      </w:r>
      <w:r>
        <w:rPr>
          <w:rFonts w:ascii="Times New Roman" w:hAnsi="Times New Roman"/>
          <w:sz w:val="20"/>
        </w:rPr>
        <w:t>COPD</w:t>
      </w:r>
      <w:proofErr w:type="spellEnd"/>
      <w:proofErr w:type="gramEnd"/>
      <w:r>
        <w:rPr>
          <w:rFonts w:ascii="Times New Roman" w:hAnsi="Times New Roman"/>
          <w:sz w:val="20"/>
        </w:rPr>
        <w:t>, chronic obstructive pulmonary disease</w:t>
      </w: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lastRenderedPageBreak/>
        <w:t>Table S3 Mortality by Age</w:t>
      </w:r>
    </w:p>
    <w:p w:rsidR="001C5175" w:rsidRDefault="001C5175" w:rsidP="007214A4">
      <w:pPr>
        <w:spacing w:after="0" w:line="240" w:lineRule="auto"/>
        <w:rPr>
          <w:rFonts w:ascii="Times New Roman" w:hAnsi="Times New Roman"/>
          <w:sz w:val="20"/>
        </w:rPr>
      </w:pPr>
      <w:r w:rsidRPr="00271AAC">
        <w:rPr>
          <w:noProof/>
        </w:rPr>
        <w:drawing>
          <wp:inline distT="0" distB="0" distL="0" distR="0" wp14:anchorId="7C0F02D7" wp14:editId="66ECF467">
            <wp:extent cx="5943600" cy="2171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4A4" w:rsidRPr="007214A4" w:rsidRDefault="007214A4" w:rsidP="007214A4">
      <w:pPr>
        <w:spacing w:after="0" w:line="240" w:lineRule="auto"/>
        <w:rPr>
          <w:rFonts w:ascii="Times New Roman" w:hAnsi="Times New Roman"/>
          <w:sz w:val="20"/>
        </w:rPr>
      </w:pPr>
    </w:p>
    <w:p w:rsidR="007214A4" w:rsidRDefault="007214A4"/>
    <w:sectPr w:rsidR="0072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A4"/>
    <w:rsid w:val="001C5175"/>
    <w:rsid w:val="00716913"/>
    <w:rsid w:val="007214A4"/>
    <w:rsid w:val="00AA1630"/>
    <w:rsid w:val="00E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4A4"/>
    <w:pPr>
      <w:spacing w:after="0" w:line="240" w:lineRule="auto"/>
    </w:pPr>
    <w:rPr>
      <w:rFonts w:ascii="Palatino" w:eastAsia="Times New Roman" w:hAnsi="Palatino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4A4"/>
    <w:rPr>
      <w:rFonts w:ascii="Palatino" w:eastAsia="Times New Roman" w:hAnsi="Palatin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4A4"/>
    <w:pPr>
      <w:spacing w:after="0" w:line="240" w:lineRule="auto"/>
    </w:pPr>
    <w:rPr>
      <w:rFonts w:ascii="Palatino" w:eastAsia="Times New Roman" w:hAnsi="Palatino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4A4"/>
    <w:rPr>
      <w:rFonts w:ascii="Palatino" w:eastAsia="Times New Roman" w:hAnsi="Palatin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2020-12-18T23:35:00Z</dcterms:created>
  <dcterms:modified xsi:type="dcterms:W3CDTF">2020-12-19T01:45:00Z</dcterms:modified>
</cp:coreProperties>
</file>