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A3DE" w14:textId="77777777" w:rsidR="00A4736B" w:rsidRPr="009F7380" w:rsidRDefault="003474DA" w:rsidP="00B621E2">
      <w:pPr>
        <w:keepNext/>
        <w:keepLines/>
        <w:spacing w:after="0" w:line="480" w:lineRule="auto"/>
        <w:outlineLvl w:val="1"/>
        <w:rPr>
          <w:rFonts w:asciiTheme="majorBidi" w:eastAsiaTheme="majorEastAsia" w:hAnsiTheme="majorBidi" w:cstheme="majorBidi"/>
          <w:b/>
          <w:bCs/>
          <w:sz w:val="24"/>
          <w:szCs w:val="24"/>
          <w:lang w:eastAsia="en-US"/>
        </w:rPr>
      </w:pPr>
      <w:bookmarkStart w:id="0" w:name="_Toc7548752"/>
      <w:bookmarkStart w:id="1" w:name="_GoBack"/>
      <w:bookmarkEnd w:id="1"/>
      <w:r>
        <w:rPr>
          <w:rFonts w:asciiTheme="majorBidi" w:eastAsiaTheme="majorEastAsia" w:hAnsiTheme="majorBidi" w:cstheme="majorBidi"/>
          <w:b/>
          <w:bCs/>
          <w:sz w:val="24"/>
          <w:szCs w:val="24"/>
          <w:lang w:eastAsia="en-US"/>
        </w:rPr>
        <w:t>M</w:t>
      </w:r>
      <w:r w:rsidR="00A4736B" w:rsidRPr="009F7380">
        <w:rPr>
          <w:rFonts w:asciiTheme="majorBidi" w:eastAsiaTheme="majorEastAsia" w:hAnsiTheme="majorBidi" w:cstheme="majorBidi"/>
          <w:b/>
          <w:bCs/>
          <w:sz w:val="24"/>
          <w:szCs w:val="24"/>
          <w:lang w:eastAsia="en-US"/>
        </w:rPr>
        <w:t>ethods</w:t>
      </w:r>
      <w:bookmarkEnd w:id="0"/>
    </w:p>
    <w:p w14:paraId="14A261C7" w14:textId="77777777" w:rsidR="00A4736B" w:rsidRDefault="00A4736B" w:rsidP="00B621E2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</w:p>
    <w:p w14:paraId="348DD8E0" w14:textId="77777777" w:rsidR="00B621E2" w:rsidRDefault="00765FE9" w:rsidP="00E4187E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R</w:t>
      </w:r>
      <w:r w:rsidR="00B621E2" w:rsidRPr="009F7380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eal-time quantitative PCR (qPCR) </w:t>
      </w:r>
      <w:r w:rsidR="00B621E2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reactions</w:t>
      </w:r>
      <w:r w:rsidR="00B621E2"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</w:p>
    <w:p w14:paraId="40C5CB16" w14:textId="77777777" w:rsidR="00A4736B" w:rsidRDefault="00B621E2" w:rsidP="007B4CD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qPCR reactions containing final concentration of SYBR Green 1x Master Mix (Qiagen, UK), 0.6 </w:t>
      </w:r>
      <w:proofErr w:type="spellStart"/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μM</w:t>
      </w:r>
      <w:proofErr w:type="spellEnd"/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primers (Table I) and 25 ng of DNA template were prepared to a final volume of 20 </w:t>
      </w:r>
      <w:proofErr w:type="spellStart"/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μL</w:t>
      </w:r>
      <w:proofErr w:type="spellEnd"/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Reactions were analysed in a Rotor-gene Q (Qiagen, UK) using the following conditions: 95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ºC for 5 min, and 95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ºC for 10s, 58 ºC for 15s, 72 ºC for 20s, repeated for 40 cycles. 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S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tandard curves of viral DNA ranging from 5x10</w:t>
      </w:r>
      <w:r w:rsidRPr="009F7380">
        <w:rPr>
          <w:rFonts w:asciiTheme="majorBidi" w:eastAsia="Times New Roman" w:hAnsiTheme="majorBidi" w:cstheme="majorBidi"/>
          <w:sz w:val="24"/>
          <w:szCs w:val="24"/>
          <w:vertAlign w:val="superscript"/>
          <w:lang w:eastAsia="en-US"/>
        </w:rPr>
        <w:t>9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copies/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µL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to 500 copies/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µL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, in a 10-fold dilution series</w:t>
      </w:r>
      <w:r w:rsidR="003108CC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and 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prepared as previously described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fldChar w:fldCharType="begin"/>
      </w:r>
      <w:r w:rsidR="007B4CDB">
        <w:rPr>
          <w:rFonts w:asciiTheme="majorBidi" w:eastAsia="Times New Roman" w:hAnsiTheme="majorBidi" w:cstheme="majorBidi"/>
          <w:sz w:val="24"/>
          <w:szCs w:val="24"/>
          <w:lang w:eastAsia="en-US"/>
        </w:rPr>
        <w:instrText xml:space="preserve"> ADDIN EN.CITE &lt;EndNote&gt;&lt;Cite&gt;&lt;Author&gt;Moura&lt;/Author&gt;&lt;Year&gt;2020&lt;/Year&gt;&lt;RecNum&gt;59&lt;/RecNum&gt;&lt;DisplayText&gt;&lt;style face="superscript"&gt;1&lt;/style&gt;&lt;/DisplayText&gt;&lt;record&gt;&lt;rec-number&gt;59&lt;/rec-number&gt;&lt;foreign-keys&gt;&lt;key app="EN" db-id="9s2a2sdabxe0v0e9f5cvtszhv9seesdxp5wa" timestamp="1578926810"&gt;59&lt;/key&gt;&lt;/foreign-keys&gt;&lt;ref-type name="Journal Article"&gt;17&lt;/ref-type&gt;&lt;contributors&gt;&lt;authors&gt;&lt;author&gt;Moura, Ines B.&lt;/author&gt;&lt;author&gt;Normington, Charmaine&lt;/author&gt;&lt;author&gt;Ewin, Duncan&lt;/author&gt;&lt;author&gt;Clark, Emma&lt;/author&gt;&lt;author&gt;Wilcox, Mark H.&lt;/author&gt;&lt;author&gt;Buckley, Anthony M.&lt;/author&gt;&lt;author&gt;Chilton, Caroline H.&lt;/author&gt;&lt;/authors&gt;&lt;/contributors&gt;&lt;titles&gt;&lt;title&gt;Method comparison for the direct enumeration of bacterial species using a chemostat model of the human colon&lt;/title&gt;&lt;secondary-title&gt;BMC Microbiol&lt;/secondary-title&gt;&lt;/titles&gt;&lt;periodical&gt;&lt;full-title&gt;BMC Microbiol&lt;/full-title&gt;&lt;/periodical&gt;&lt;pages&gt;2&lt;/pages&gt;&lt;volume&gt;20&lt;/volume&gt;&lt;number&gt;1&lt;/number&gt;&lt;dates&gt;&lt;year&gt;2020&lt;/year&gt;&lt;/dates&gt;&lt;isbn&gt;1471-2180&lt;/isbn&gt;&lt;urls&gt;&lt;related-urls&gt;&lt;url&gt;&lt;style face="underline" font="default" size="100%"&gt;https://doi.org/10.1186/s12866-019-1669-2&lt;/style&gt;&lt;/url&gt;&lt;/related-urls&gt;&lt;/urls&gt;&lt;electronic-resource-num&gt;10.1186/s12866-019-1669-2&lt;/electronic-resource-num&gt;&lt;/record&gt;&lt;/Cite&gt;&lt;/EndNote&gt;</w:instrTex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fldChar w:fldCharType="separate"/>
      </w:r>
      <w:r w:rsidR="007B4CDB" w:rsidRPr="007B4CDB">
        <w:rPr>
          <w:rFonts w:asciiTheme="majorBidi" w:eastAsia="Times New Roman" w:hAnsiTheme="majorBidi" w:cstheme="majorBidi"/>
          <w:noProof/>
          <w:sz w:val="24"/>
          <w:szCs w:val="24"/>
          <w:vertAlign w:val="superscript"/>
          <w:lang w:eastAsia="en-US"/>
        </w:rPr>
        <w:t>1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, </w:t>
      </w:r>
      <w:r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were included in triplicate on each qPCR 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run.</w:t>
      </w:r>
      <w:r w:rsidR="0093016D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="0093016D" w:rsidRPr="009F7380">
        <w:rPr>
          <w:rFonts w:asciiTheme="majorBidi" w:eastAsia="Times New Roman" w:hAnsiTheme="majorBidi" w:cstheme="majorBidi"/>
          <w:sz w:val="24"/>
          <w:szCs w:val="24"/>
          <w:lang w:eastAsia="en-US"/>
        </w:rPr>
        <w:t>Each DNA extract was run in duplicate</w:t>
      </w:r>
      <w:r w:rsidR="0093016D">
        <w:rPr>
          <w:rFonts w:asciiTheme="majorBidi" w:eastAsia="Times New Roman" w:hAnsiTheme="majorBidi" w:cstheme="majorBidi"/>
          <w:sz w:val="24"/>
          <w:szCs w:val="24"/>
          <w:lang w:eastAsia="en-US"/>
        </w:rPr>
        <w:t>.</w:t>
      </w:r>
    </w:p>
    <w:p w14:paraId="7F0CF04B" w14:textId="77777777" w:rsidR="00C60A5F" w:rsidRDefault="00C60A5F" w:rsidP="007B4CD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The s</w:t>
      </w:r>
      <w:r w:rsidRPr="006739D0">
        <w:rPr>
          <w:rFonts w:asciiTheme="majorBidi" w:eastAsia="Times New Roman" w:hAnsiTheme="majorBidi" w:cstheme="majorBidi"/>
          <w:sz w:val="24"/>
          <w:szCs w:val="24"/>
          <w:lang w:eastAsia="en-US"/>
        </w:rPr>
        <w:t>tandard curves were used to convert threshold cycle values to copies per µL of template.  The limit of detection was established at 500 copies (2.7 log</w:t>
      </w:r>
      <w:r w:rsidRPr="006739D0">
        <w:rPr>
          <w:rFonts w:asciiTheme="majorBidi" w:eastAsia="Times New Roman" w:hAnsiTheme="majorBidi" w:cstheme="majorBidi"/>
          <w:sz w:val="24"/>
          <w:szCs w:val="24"/>
          <w:vertAlign w:val="subscript"/>
          <w:lang w:eastAsia="en-US"/>
        </w:rPr>
        <w:t>10</w:t>
      </w:r>
      <w:r w:rsidRPr="006739D0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copies/µL).    </w:t>
      </w:r>
    </w:p>
    <w:p w14:paraId="2E6B5D44" w14:textId="77777777" w:rsidR="00B621E2" w:rsidRDefault="00B621E2" w:rsidP="00B621E2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</w:p>
    <w:p w14:paraId="67E5C275" w14:textId="77777777" w:rsidR="00B621E2" w:rsidRPr="007B4CDB" w:rsidRDefault="00B621E2" w:rsidP="00B621E2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</w:p>
    <w:p w14:paraId="7461EAA7" w14:textId="77777777" w:rsidR="00A4736B" w:rsidRPr="007B4CDB" w:rsidRDefault="00A4736B" w:rsidP="00B621E2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4CDB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14:paraId="6B73F4F0" w14:textId="77777777" w:rsidR="00BD2A95" w:rsidRPr="00F9625E" w:rsidRDefault="00A4736B" w:rsidP="00F9625E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CDB">
        <w:rPr>
          <w:rFonts w:asciiTheme="majorBidi" w:hAnsiTheme="majorBidi" w:cstheme="majorBidi"/>
          <w:sz w:val="24"/>
          <w:szCs w:val="24"/>
        </w:rPr>
        <w:fldChar w:fldCharType="begin"/>
      </w:r>
      <w:r w:rsidRPr="007B4CDB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7B4CDB">
        <w:rPr>
          <w:rFonts w:asciiTheme="majorBidi" w:hAnsiTheme="majorBidi" w:cstheme="majorBidi"/>
          <w:sz w:val="24"/>
          <w:szCs w:val="24"/>
        </w:rPr>
        <w:fldChar w:fldCharType="separate"/>
      </w:r>
      <w:r w:rsidR="00BD2A95" w:rsidRPr="00F9625E">
        <w:rPr>
          <w:rFonts w:ascii="Times New Roman" w:hAnsi="Times New Roman" w:cs="Times New Roman"/>
          <w:b/>
          <w:sz w:val="24"/>
          <w:szCs w:val="24"/>
        </w:rPr>
        <w:t>1.</w:t>
      </w:r>
      <w:r w:rsidR="00BD2A95" w:rsidRPr="00F9625E">
        <w:rPr>
          <w:rFonts w:ascii="Times New Roman" w:hAnsi="Times New Roman" w:cs="Times New Roman"/>
          <w:sz w:val="24"/>
          <w:szCs w:val="24"/>
        </w:rPr>
        <w:tab/>
        <w:t xml:space="preserve">Moura IB, Normington C, Ewin D, et al. Method comparison for the direct enumeration of bacterial species using a chemostat model of the human colon. </w:t>
      </w:r>
      <w:r w:rsidR="00BD2A95" w:rsidRPr="00F9625E">
        <w:rPr>
          <w:rFonts w:ascii="Times New Roman" w:hAnsi="Times New Roman" w:cs="Times New Roman"/>
          <w:i/>
          <w:sz w:val="24"/>
          <w:szCs w:val="24"/>
        </w:rPr>
        <w:t xml:space="preserve">BMC Microbiol </w:t>
      </w:r>
      <w:r w:rsidR="00BD2A95" w:rsidRPr="00F9625E">
        <w:rPr>
          <w:rFonts w:ascii="Times New Roman" w:hAnsi="Times New Roman" w:cs="Times New Roman"/>
          <w:sz w:val="24"/>
          <w:szCs w:val="24"/>
        </w:rPr>
        <w:t>2020;20:2.</w:t>
      </w:r>
    </w:p>
    <w:p w14:paraId="5A888728" w14:textId="77777777" w:rsidR="00A4736B" w:rsidRPr="009F7380" w:rsidRDefault="00A4736B" w:rsidP="007B4CDB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007B4CDB">
        <w:rPr>
          <w:rFonts w:asciiTheme="majorBidi" w:hAnsiTheme="majorBidi" w:cstheme="majorBidi"/>
          <w:sz w:val="24"/>
          <w:szCs w:val="24"/>
        </w:rPr>
        <w:fldChar w:fldCharType="end"/>
      </w:r>
    </w:p>
    <w:p w14:paraId="42B5FFFE" w14:textId="77777777" w:rsidR="00434934" w:rsidRDefault="00434934">
      <w:pPr>
        <w:rPr>
          <w:noProof/>
        </w:rPr>
      </w:pPr>
    </w:p>
    <w:p w14:paraId="5B2A93C8" w14:textId="77777777" w:rsidR="002E2A22" w:rsidRDefault="002E2A22">
      <w:pPr>
        <w:rPr>
          <w:noProof/>
        </w:rPr>
      </w:pPr>
      <w:r>
        <w:rPr>
          <w:noProof/>
        </w:rPr>
        <w:br w:type="page"/>
      </w:r>
    </w:p>
    <w:p w14:paraId="397D8D0E" w14:textId="55A9C1A0" w:rsidR="005F6301" w:rsidRDefault="006B7837" w:rsidP="00C60A5F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>
        <w:rPr>
          <w:rFonts w:eastAsia="Times New Roman"/>
          <w:noProof/>
          <w:color w:val="212121"/>
        </w:rPr>
        <w:lastRenderedPageBreak/>
        <w:drawing>
          <wp:inline distT="0" distB="0" distL="0" distR="0" wp14:anchorId="77C40605" wp14:editId="2F8EACB1">
            <wp:extent cx="2463099" cy="1833245"/>
            <wp:effectExtent l="0" t="9208" r="4763" b="4762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561abc-6244-4327-ac37-c01d1d64537d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4" r="7555"/>
                    <a:stretch/>
                  </pic:blipFill>
                  <pic:spPr bwMode="auto">
                    <a:xfrm rot="5400000">
                      <a:off x="0" y="0"/>
                      <a:ext cx="2466735" cy="18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F8737" w14:textId="63660A3A" w:rsidR="009C65B4" w:rsidRDefault="009C65B4" w:rsidP="00C60A5F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Fig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ure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S1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="0052492A">
        <w:rPr>
          <w:rFonts w:asciiTheme="majorBidi" w:eastAsia="Times New Roman" w:hAnsiTheme="majorBidi" w:cstheme="majorBidi"/>
          <w:sz w:val="24"/>
          <w:szCs w:val="24"/>
          <w:lang w:eastAsia="en-US"/>
        </w:rPr>
        <w:t>J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>e</w:t>
      </w:r>
      <w:r w:rsidR="00247955">
        <w:rPr>
          <w:rFonts w:asciiTheme="majorBidi" w:eastAsia="Times New Roman" w:hAnsiTheme="majorBidi" w:cstheme="majorBidi"/>
          <w:sz w:val="24"/>
          <w:szCs w:val="24"/>
          <w:lang w:eastAsia="en-US"/>
        </w:rPr>
        <w:t>t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air dryer </w:t>
      </w:r>
      <w:r w:rsidR="00767BA2">
        <w:rPr>
          <w:rFonts w:asciiTheme="majorBidi" w:eastAsia="Times New Roman" w:hAnsiTheme="majorBidi" w:cstheme="majorBidi"/>
          <w:sz w:val="24"/>
          <w:szCs w:val="24"/>
          <w:lang w:eastAsia="en-US"/>
        </w:rPr>
        <w:t>available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="005F6301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in 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the toilet </w:t>
      </w:r>
      <w:r w:rsidR="0052492A">
        <w:rPr>
          <w:rFonts w:asciiTheme="majorBidi" w:eastAsia="Times New Roman" w:hAnsiTheme="majorBidi" w:cstheme="majorBidi"/>
          <w:sz w:val="24"/>
          <w:szCs w:val="24"/>
          <w:lang w:eastAsia="en-US"/>
        </w:rPr>
        <w:t>where hand drying assays performed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>. Instead of heat, this electric hand dryer uses high speed air jets to remove moisture</w:t>
      </w:r>
      <w:r w:rsidR="0024795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="00BB1548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from hands. </w:t>
      </w:r>
    </w:p>
    <w:p w14:paraId="64E30E36" w14:textId="77777777" w:rsidR="009C65B4" w:rsidRDefault="009C65B4" w:rsidP="00C60A5F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</w:p>
    <w:p w14:paraId="75A52786" w14:textId="77777777" w:rsidR="0085247C" w:rsidRDefault="0085247C" w:rsidP="00C60A5F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</w:p>
    <w:p w14:paraId="5BEA2DD3" w14:textId="77777777" w:rsidR="00C60A5F" w:rsidRDefault="00C60A5F" w:rsidP="00C60A5F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Table S1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Primer sequences used for amplification of P3 and P12 gene of PR772 by standard and qPCR reactions.</w:t>
      </w:r>
    </w:p>
    <w:p w14:paraId="41ECD217" w14:textId="77777777" w:rsidR="00C60A5F" w:rsidRPr="003D6625" w:rsidRDefault="00C60A5F" w:rsidP="00C60A5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418"/>
        <w:gridCol w:w="1271"/>
      </w:tblGrid>
      <w:tr w:rsidR="00C60A5F" w:rsidRPr="003D6625" w14:paraId="744885E7" w14:textId="77777777" w:rsidTr="00615CCD"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449F69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A45DEE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B444AF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Amplicon size (bp)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BBC385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b/>
                <w:bCs/>
                <w:color w:val="000000"/>
                <w:kern w:val="24"/>
                <w:sz w:val="24"/>
                <w:szCs w:val="24"/>
              </w:rPr>
              <w:t>Reference</w:t>
            </w:r>
          </w:p>
        </w:tc>
      </w:tr>
      <w:tr w:rsidR="00C60A5F" w:rsidRPr="003D6625" w14:paraId="6356E9C4" w14:textId="77777777" w:rsidTr="00615CCD"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45DECA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P3 Forward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80A634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5′-CCCATTAAGTACGGCGATGTTATG-3′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E74E2EC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323CE5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ADDIN EN.CITE &lt;EndNote&gt;&lt;Cite&gt;&lt;Author&gt;Gall&lt;/Author&gt;&lt;Year&gt;2016&lt;/Year&gt;&lt;RecNum&gt;3&lt;/RecNum&gt;&lt;DisplayText&gt;&lt;style face="superscript"&gt;2&lt;/style&gt;&lt;/DisplayText&gt;&lt;record&gt;&lt;rec-number&gt;3&lt;/rec-number&gt;&lt;foreign-keys&gt;&lt;key app="EN" db-id="9s2a2sdabxe0v0e9f5cvtszhv9seesdxp5wa" timestamp="1556114058"&gt;3&lt;/key&gt;&lt;/foreign-keys&gt;&lt;ref-type name="Journal Article"&gt;17&lt;/ref-type&gt;&lt;contributors&gt;&lt;authors&gt;&lt;author&gt;Gall, A. M.&lt;/author&gt;&lt;author&gt;Shisler, J. L.&lt;/author&gt;&lt;author&gt;Marinas, B. J.&lt;/author&gt;&lt;/authors&gt;&lt;/contributors&gt;&lt;auth-address&gt;Department of Civil and Environmental Engineering, double daggerDepartment of Microbiology and College of Medicine, and section signSafe Global Water Institute, University of Illinois at Urbana-Champaign , Urbana, Illinois 61801, United States.&lt;/auth-address&gt;&lt;titles&gt;&lt;title&gt;Characterizing Bacteriophage PR772 as a Potential Surrogate for Adenovirus in Water Disinfection: A Comparative Analysis of Inactivation Kinetics and Replication Cycle Inhibition by Free Chlorine&lt;/title&gt;&lt;secondary-title&gt;Environ Sci Technol&lt;/secondary-title&gt;&lt;/titles&gt;&lt;periodical&gt;&lt;full-title&gt;Environ Sci Technol&lt;/full-title&gt;&lt;/periodical&gt;&lt;pages&gt;2522-9&lt;/pages&gt;&lt;volume&gt;50&lt;/volume&gt;&lt;number&gt;5&lt;/number&gt;&lt;edition&gt;2016/01/29&lt;/edition&gt;&lt;keywords&gt;&lt;keyword&gt;Adenoviruses, Human/*drug effects/physiology&lt;/keyword&gt;&lt;keyword&gt;Bacteriophages/*drug effects/genetics/physiology&lt;/keyword&gt;&lt;keyword&gt;Chlorine/*pharmacology&lt;/keyword&gt;&lt;keyword&gt;Disinfectants/pharmacology&lt;/keyword&gt;&lt;keyword&gt;Disinfection/methods&lt;/keyword&gt;&lt;keyword&gt;Kinetics&lt;/keyword&gt;&lt;keyword&gt;Polymerase Chain Reaction/methods&lt;/keyword&gt;&lt;keyword&gt;Virus Replication/drug effects&lt;/keyword&gt;&lt;keyword&gt;Water Microbiology&lt;/keyword&gt;&lt;keyword&gt;Water Purification/*methods&lt;/keyword&gt;&lt;/keywords&gt;&lt;dates&gt;&lt;year&gt;2016&lt;/year&gt;&lt;pub-dates&gt;&lt;date&gt;Mar 1&lt;/date&gt;&lt;/pub-dates&gt;&lt;/dates&gt;&lt;isbn&gt;1520-5851 (Electronic)&amp;#xD;0013-936X (Linking)&lt;/isbn&gt;&lt;accession-num&gt;26820824&lt;/accession-num&gt;&lt;urls&gt;&lt;related-urls&gt;&lt;url&gt;https://www.ncbi.nlm.nih.gov/pubmed/26820824&lt;/url&gt;&lt;/related-urls&gt;&lt;/urls&gt;&lt;electronic-resource-num&gt;10.1021/acs.est.5b04713&lt;/electronic-resource-num&gt;&lt;/record&gt;&lt;/Cite&gt;&lt;/EndNote&gt;</w:instrText>
            </w: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B67024">
              <w:rPr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2</w:t>
            </w: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C60A5F" w:rsidRPr="003D6625" w14:paraId="13044520" w14:textId="77777777" w:rsidTr="00615CC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52F679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P3 Reverse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1C63382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5′-GGCAAGCGGAACCCAATAG-3′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2DADD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34BEB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0A5F" w:rsidRPr="003D6625" w14:paraId="02D730D9" w14:textId="77777777" w:rsidTr="00615CC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DC8C6E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P12 Forward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9042D75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5′-AATCCACCTTTGGCGACTTC-3′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09EA5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E3022C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>
              <w:rPr>
                <w:rFonts w:asciiTheme="majorBidi" w:hAnsiTheme="majorBidi" w:cstheme="majorBidi"/>
                <w:sz w:val="24"/>
                <w:szCs w:val="24"/>
              </w:rPr>
              <w:instrText xml:space="preserve"> ADDIN EN.CITE &lt;EndNote&gt;&lt;Cite&gt;&lt;Author&gt;Gall&lt;/Author&gt;&lt;Year&gt;2016&lt;/Year&gt;&lt;RecNum&gt;3&lt;/RecNum&gt;&lt;DisplayText&gt;&lt;style face="superscript"&gt;2&lt;/style&gt;&lt;/DisplayText&gt;&lt;record&gt;&lt;rec-number&gt;3&lt;/rec-number&gt;&lt;foreign-keys&gt;&lt;key app="EN" db-id="9s2a2sdabxe0v0e9f5cvtszhv9seesdxp5wa" timestamp="1556114058"&gt;3&lt;/key&gt;&lt;/foreign-keys&gt;&lt;ref-type name="Journal Article"&gt;17&lt;/ref-type&gt;&lt;contributors&gt;&lt;authors&gt;&lt;author&gt;Gall, A. M.&lt;/author&gt;&lt;author&gt;Shisler, J. L.&lt;/author&gt;&lt;author&gt;Marinas, B. J.&lt;/author&gt;&lt;/authors&gt;&lt;/contributors&gt;&lt;auth-address&gt;Department of Civil and Environmental Engineering, double daggerDepartment of Microbiology and College of Medicine, and section signSafe Global Water Institute, University of Illinois at Urbana-Champaign , Urbana, Illinois 61801, United States.&lt;/auth-address&gt;&lt;titles&gt;&lt;title&gt;Characterizing Bacteriophage PR772 as a Potential Surrogate for Adenovirus in Water Disinfection: A Comparative Analysis of Inactivation Kinetics and Replication Cycle Inhibition by Free Chlorine&lt;/title&gt;&lt;secondary-title&gt;Environ Sci Technol&lt;/secondary-title&gt;&lt;/titles&gt;&lt;periodical&gt;&lt;full-title&gt;Environ Sci Technol&lt;/full-title&gt;&lt;/periodical&gt;&lt;pages&gt;2522-9&lt;/pages&gt;&lt;volume&gt;50&lt;/volume&gt;&lt;number&gt;5&lt;/number&gt;&lt;edition&gt;2016/01/29&lt;/edition&gt;&lt;keywords&gt;&lt;keyword&gt;Adenoviruses, Human/*drug effects/physiology&lt;/keyword&gt;&lt;keyword&gt;Bacteriophages/*drug effects/genetics/physiology&lt;/keyword&gt;&lt;keyword&gt;Chlorine/*pharmacology&lt;/keyword&gt;&lt;keyword&gt;Disinfectants/pharmacology&lt;/keyword&gt;&lt;keyword&gt;Disinfection/methods&lt;/keyword&gt;&lt;keyword&gt;Kinetics&lt;/keyword&gt;&lt;keyword&gt;Polymerase Chain Reaction/methods&lt;/keyword&gt;&lt;keyword&gt;Virus Replication/drug effects&lt;/keyword&gt;&lt;keyword&gt;Water Microbiology&lt;/keyword&gt;&lt;keyword&gt;Water Purification/*methods&lt;/keyword&gt;&lt;/keywords&gt;&lt;dates&gt;&lt;year&gt;2016&lt;/year&gt;&lt;pub-dates&gt;&lt;date&gt;Mar 1&lt;/date&gt;&lt;/pub-dates&gt;&lt;/dates&gt;&lt;isbn&gt;1520-5851 (Electronic)&amp;#xD;0013-936X (Linking)&lt;/isbn&gt;&lt;accession-num&gt;26820824&lt;/accession-num&gt;&lt;urls&gt;&lt;related-urls&gt;&lt;url&gt;https://www.ncbi.nlm.nih.gov/pubmed/26820824&lt;/url&gt;&lt;/related-urls&gt;&lt;/urls&gt;&lt;electronic-resource-num&gt;10.1021/acs.est.5b04713&lt;/electronic-resource-num&gt;&lt;/record&gt;&lt;/Cite&gt;&lt;/EndNote&gt;</w:instrText>
            </w: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B67024">
              <w:rPr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2</w:t>
            </w:r>
            <w:r w:rsidRPr="003D6625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</w:p>
        </w:tc>
      </w:tr>
      <w:tr w:rsidR="00C60A5F" w:rsidRPr="003D6625" w14:paraId="105CFA83" w14:textId="77777777" w:rsidTr="00615CC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79A6AA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P12 Reverse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FB7339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D66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5′-CCAGTACCTTTGGCAGAATCAG-3′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80034F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0BD0FA" w14:textId="77777777" w:rsidR="00C60A5F" w:rsidRPr="003D6625" w:rsidRDefault="00C60A5F" w:rsidP="00615CC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033873" w14:textId="77777777" w:rsidR="00C60A5F" w:rsidRDefault="00C60A5F" w:rsidP="00C60A5F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br w:type="page"/>
      </w:r>
    </w:p>
    <w:p w14:paraId="48996AD8" w14:textId="77777777" w:rsidR="00A4736B" w:rsidRDefault="00434934" w:rsidP="00434934">
      <w:pPr>
        <w:spacing w:after="0" w:line="48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434934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t>Results</w:t>
      </w:r>
    </w:p>
    <w:p w14:paraId="40A4BCDB" w14:textId="77777777" w:rsidR="002532A1" w:rsidRDefault="002532A1" w:rsidP="00434934">
      <w:pPr>
        <w:spacing w:after="0" w:line="48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0AEDF5FA" w14:textId="77777777" w:rsidR="002532A1" w:rsidRDefault="002532A1" w:rsidP="002532A1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38FC4C84" wp14:editId="4210383F">
            <wp:extent cx="4244467" cy="512859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.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709" cy="5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382F" w14:textId="77777777" w:rsidR="002532A1" w:rsidRDefault="002532A1" w:rsidP="002532A1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</w:p>
    <w:p w14:paraId="7E323E09" w14:textId="77777777" w:rsidR="002532A1" w:rsidRDefault="002532A1" w:rsidP="002532A1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Fig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ure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S</w:t>
      </w:r>
      <w:r w:rsidR="009C65B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2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Box plot in log</w:t>
      </w:r>
      <w:r w:rsidRPr="003D6625">
        <w:rPr>
          <w:rFonts w:asciiTheme="majorBidi" w:eastAsia="Times New Roman" w:hAnsiTheme="majorBidi" w:cstheme="majorBidi"/>
          <w:sz w:val="24"/>
          <w:szCs w:val="24"/>
          <w:vertAlign w:val="subscript"/>
          <w:lang w:eastAsia="en-US"/>
        </w:rPr>
        <w:t>10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copies/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µL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 xml:space="preserve">of gene P3 results from 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assays performed with and without gloves for all samples</w:t>
      </w:r>
      <w:r w:rsidR="00EB4CF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(top), and for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each hand drying method used</w:t>
      </w:r>
      <w:r w:rsidR="00EB4CF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(bottom)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. </w:t>
      </w:r>
      <w:r w:rsidR="00EB4CF4" w:rsidRPr="006739D0">
        <w:rPr>
          <w:rFonts w:asciiTheme="majorBidi" w:eastAsia="Times New Roman" w:hAnsiTheme="majorBidi" w:cstheme="majorBidi"/>
          <w:sz w:val="24"/>
          <w:szCs w:val="24"/>
          <w:lang w:eastAsia="en-US"/>
        </w:rPr>
        <w:t>There was no significant difference in bacteriophage recovery between assays performed with and without gloves</w:t>
      </w:r>
      <w:r w:rsidR="00EB4CF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. </w:t>
      </w:r>
      <w:r w:rsidR="00EB4CF4" w:rsidRPr="006739D0">
        <w:rPr>
          <w:rFonts w:asciiTheme="majorBidi" w:eastAsia="Times New Roman" w:hAnsiTheme="majorBidi" w:cstheme="majorBidi"/>
          <w:sz w:val="24"/>
          <w:szCs w:val="24"/>
          <w:lang w:eastAsia="en-US"/>
        </w:rPr>
        <w:t>Similarly, bacteriophage dispersion and recovery was not significantly affected by the use of gloves when either JAD or PT was used</w:t>
      </w:r>
      <w:r w:rsidR="00EB4CF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. 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Statistical analysis was performed using the Mann-Whitney U test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, </w:t>
      </w:r>
      <w:r w:rsidRPr="003D6625">
        <w:rPr>
          <w:rFonts w:asciiTheme="majorBidi" w:eastAsia="Times New Roman" w:hAnsiTheme="majorBidi" w:cstheme="majorBidi"/>
          <w:i/>
          <w:iCs/>
          <w:sz w:val="24"/>
          <w:szCs w:val="24"/>
          <w:lang w:eastAsia="en-US"/>
        </w:rPr>
        <w:t>p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&lt;0.05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is considered statistically significant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.</w:t>
      </w:r>
      <w:r w:rsidR="00EB4CF4" w:rsidRPr="00EB4CF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</w:p>
    <w:p w14:paraId="6882CCBD" w14:textId="77777777" w:rsidR="002532A1" w:rsidRPr="00434934" w:rsidRDefault="002532A1" w:rsidP="00434934">
      <w:pPr>
        <w:spacing w:after="0" w:line="48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7CF55708" w14:textId="77777777" w:rsidR="005B1A22" w:rsidRDefault="00326F4B">
      <w:r>
        <w:rPr>
          <w:noProof/>
        </w:rPr>
        <w:lastRenderedPageBreak/>
        <w:drawing>
          <wp:inline distT="0" distB="0" distL="0" distR="0" wp14:anchorId="034AAFFE" wp14:editId="634E545A">
            <wp:extent cx="4631287" cy="2857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199" cy="285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8CF15" w14:textId="77777777" w:rsidR="005B1A22" w:rsidRDefault="005B1A22" w:rsidP="002532A1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Figure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S</w:t>
      </w:r>
      <w:r w:rsidR="009C65B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3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>qPCR results for detection of the gene P</w:t>
      </w:r>
      <w:r>
        <w:rPr>
          <w:rFonts w:asciiTheme="majorBidi" w:hAnsiTheme="majorBidi" w:cstheme="majorBidi"/>
          <w:sz w:val="24"/>
          <w:szCs w:val="24"/>
          <w:lang w:val="en-US"/>
        </w:rPr>
        <w:t>12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 xml:space="preserve"> of bacteriophage PR772 from surfaces 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exposed to bacteriophage</w:t>
      </w:r>
      <w:r w:rsidR="006F7A5C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following hand contact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. * </w:t>
      </w:r>
      <w:r w:rsidRPr="003D6625">
        <w:rPr>
          <w:rFonts w:asciiTheme="majorBidi" w:eastAsia="Times New Roman" w:hAnsiTheme="majorBidi" w:cstheme="majorBidi"/>
          <w:i/>
          <w:iCs/>
          <w:sz w:val="24"/>
          <w:szCs w:val="24"/>
          <w:lang w:eastAsia="en-US"/>
        </w:rPr>
        <w:t>p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&lt;0.05 on the Wilcoxon Signed Rank; </w:t>
      </w:r>
      <w:r w:rsidRPr="003D6625">
        <w:rPr>
          <w:rFonts w:asciiTheme="majorBidi" w:eastAsia="Times New Roman" w:hAnsiTheme="majorBidi" w:cstheme="majorBidi"/>
          <w:sz w:val="24"/>
          <w:szCs w:val="24"/>
          <w:vertAlign w:val="superscript"/>
          <w:lang w:eastAsia="en-US"/>
        </w:rPr>
        <w:t>#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eastAsia="Times New Roman" w:hAnsiTheme="majorBidi" w:cstheme="majorBidi"/>
          <w:i/>
          <w:iCs/>
          <w:sz w:val="24"/>
          <w:szCs w:val="24"/>
          <w:lang w:eastAsia="en-US"/>
        </w:rPr>
        <w:t>p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&lt;0.05, Mann-Whitney U test.</w:t>
      </w:r>
    </w:p>
    <w:p w14:paraId="31CD382A" w14:textId="77777777" w:rsidR="005B1A22" w:rsidRDefault="005B1A22">
      <w:pPr>
        <w:rPr>
          <w:rFonts w:asciiTheme="majorBidi" w:eastAsia="Times New Roman" w:hAnsiTheme="majorBidi" w:cstheme="majorBidi"/>
          <w:sz w:val="24"/>
          <w:szCs w:val="24"/>
          <w:lang w:eastAsia="en-US"/>
        </w:rPr>
      </w:pPr>
    </w:p>
    <w:p w14:paraId="28F06D83" w14:textId="77777777" w:rsidR="009C5E24" w:rsidRDefault="009C5E24">
      <w:pPr>
        <w:rPr>
          <w:rFonts w:asciiTheme="majorBidi" w:eastAsia="Times New Roman" w:hAnsiTheme="majorBidi" w:cstheme="majorBidi"/>
          <w:sz w:val="24"/>
          <w:szCs w:val="24"/>
          <w:lang w:eastAsia="en-US"/>
        </w:rPr>
      </w:pPr>
    </w:p>
    <w:p w14:paraId="2AA614A8" w14:textId="77777777" w:rsidR="009C5E24" w:rsidRDefault="00326F4B">
      <w:r>
        <w:rPr>
          <w:noProof/>
        </w:rPr>
        <w:drawing>
          <wp:inline distT="0" distB="0" distL="0" distR="0" wp14:anchorId="4F06D990" wp14:editId="54D54420">
            <wp:extent cx="5693462" cy="2938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3"/>
                    <a:stretch/>
                  </pic:blipFill>
                  <pic:spPr bwMode="auto">
                    <a:xfrm>
                      <a:off x="0" y="0"/>
                      <a:ext cx="5701300" cy="29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3313F" w14:textId="77777777" w:rsidR="005B1A22" w:rsidRDefault="005B1A22"/>
    <w:p w14:paraId="1E350AEA" w14:textId="77777777" w:rsidR="009C5E24" w:rsidRDefault="005B1A22" w:rsidP="002532A1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Fig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ure S</w:t>
      </w:r>
      <w:r w:rsidR="009C65B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4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>qPCR results for detection of gene P</w:t>
      </w:r>
      <w:r>
        <w:rPr>
          <w:rFonts w:asciiTheme="majorBidi" w:hAnsiTheme="majorBidi" w:cstheme="majorBidi"/>
          <w:sz w:val="24"/>
          <w:szCs w:val="24"/>
          <w:lang w:val="en-US"/>
        </w:rPr>
        <w:t>12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 xml:space="preserve"> of the bacteriophage PR772 from environmental samples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following contact with contaminated hand. </w:t>
      </w:r>
      <w:r w:rsidRPr="003D6625">
        <w:rPr>
          <w:rFonts w:asciiTheme="majorBidi" w:eastAsia="Times New Roman" w:hAnsiTheme="majorBidi" w:cstheme="majorBidi"/>
          <w:sz w:val="24"/>
          <w:szCs w:val="24"/>
          <w:vertAlign w:val="superscript"/>
          <w:lang w:eastAsia="en-US"/>
        </w:rPr>
        <w:t>#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eastAsia="Times New Roman" w:hAnsiTheme="majorBidi" w:cstheme="majorBidi"/>
          <w:i/>
          <w:iCs/>
          <w:sz w:val="24"/>
          <w:szCs w:val="24"/>
          <w:lang w:eastAsia="en-US"/>
        </w:rPr>
        <w:t>p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&lt;0.05, Mann-Whitney U test.</w:t>
      </w:r>
    </w:p>
    <w:p w14:paraId="73F0825B" w14:textId="77777777" w:rsidR="00A71EAD" w:rsidRDefault="00326F4B" w:rsidP="005B1A22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14A35F29" wp14:editId="5A867212">
            <wp:extent cx="4542155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5C49B" w14:textId="77777777" w:rsidR="00A71EAD" w:rsidRDefault="00A71EAD" w:rsidP="005B1A22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</w:p>
    <w:p w14:paraId="7A146FB5" w14:textId="77777777" w:rsidR="005B1A22" w:rsidRPr="003D6625" w:rsidRDefault="005B1A22" w:rsidP="002532A1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Figure S</w:t>
      </w:r>
      <w:r w:rsidR="009C65B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5</w:t>
      </w:r>
      <w:r w:rsidRPr="003D662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.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>qPCR results for detection of gene P</w:t>
      </w:r>
      <w:r>
        <w:rPr>
          <w:rFonts w:asciiTheme="majorBidi" w:hAnsiTheme="majorBidi" w:cstheme="majorBidi"/>
          <w:sz w:val="24"/>
          <w:szCs w:val="24"/>
          <w:lang w:val="en-US"/>
        </w:rPr>
        <w:t>12</w:t>
      </w:r>
      <w:r w:rsidRPr="003D6625">
        <w:rPr>
          <w:rFonts w:asciiTheme="majorBidi" w:hAnsiTheme="majorBidi" w:cstheme="majorBidi"/>
          <w:sz w:val="24"/>
          <w:szCs w:val="24"/>
          <w:lang w:val="en-US"/>
        </w:rPr>
        <w:t xml:space="preserve"> of the bacteriophage PR772 from environmental samples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obtained after contact with contaminated apron. </w:t>
      </w:r>
      <w:r w:rsidRPr="003D6625">
        <w:rPr>
          <w:rFonts w:asciiTheme="majorBidi" w:eastAsia="Times New Roman" w:hAnsiTheme="majorBidi" w:cstheme="majorBidi"/>
          <w:sz w:val="24"/>
          <w:szCs w:val="24"/>
          <w:vertAlign w:val="superscript"/>
          <w:lang w:eastAsia="en-US"/>
        </w:rPr>
        <w:t>#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r w:rsidRPr="003D6625">
        <w:rPr>
          <w:rFonts w:asciiTheme="majorBidi" w:eastAsia="Times New Roman" w:hAnsiTheme="majorBidi" w:cstheme="majorBidi"/>
          <w:i/>
          <w:iCs/>
          <w:sz w:val="24"/>
          <w:szCs w:val="24"/>
          <w:lang w:eastAsia="en-US"/>
        </w:rPr>
        <w:t>p</w:t>
      </w:r>
      <w:r w:rsidRPr="003D6625">
        <w:rPr>
          <w:rFonts w:asciiTheme="majorBidi" w:eastAsia="Times New Roman" w:hAnsiTheme="majorBidi" w:cstheme="majorBidi"/>
          <w:sz w:val="24"/>
          <w:szCs w:val="24"/>
          <w:lang w:eastAsia="en-US"/>
        </w:rPr>
        <w:t>&lt;0.05, Mann-Whitney U test.</w:t>
      </w:r>
    </w:p>
    <w:p w14:paraId="7D0E6744" w14:textId="5C904C4F" w:rsidR="003A5787" w:rsidRDefault="003A5787" w:rsidP="00A4736B"/>
    <w:sectPr w:rsidR="003A5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2a2sdabxe0v0e9f5cvtszhv9seesdxp5wa&quot;&gt;EndNote Library_washroom-Converted&lt;record-ids&gt;&lt;item&gt;59&lt;/item&gt;&lt;/record-ids&gt;&lt;/item&gt;&lt;/Libraries&gt;"/>
  </w:docVars>
  <w:rsids>
    <w:rsidRoot w:val="00BC46AB"/>
    <w:rsid w:val="001245E2"/>
    <w:rsid w:val="00247955"/>
    <w:rsid w:val="002532A1"/>
    <w:rsid w:val="002C739A"/>
    <w:rsid w:val="002E2A22"/>
    <w:rsid w:val="002F738F"/>
    <w:rsid w:val="003108CC"/>
    <w:rsid w:val="00326F4B"/>
    <w:rsid w:val="003474DA"/>
    <w:rsid w:val="0035204C"/>
    <w:rsid w:val="003A0002"/>
    <w:rsid w:val="003A5787"/>
    <w:rsid w:val="00434934"/>
    <w:rsid w:val="0052492A"/>
    <w:rsid w:val="00552501"/>
    <w:rsid w:val="005B1A22"/>
    <w:rsid w:val="005F6301"/>
    <w:rsid w:val="006B7837"/>
    <w:rsid w:val="006F7A5C"/>
    <w:rsid w:val="00765FE9"/>
    <w:rsid w:val="00767BA2"/>
    <w:rsid w:val="007B4CDB"/>
    <w:rsid w:val="0085247C"/>
    <w:rsid w:val="0093016D"/>
    <w:rsid w:val="00994C75"/>
    <w:rsid w:val="009A2512"/>
    <w:rsid w:val="009C5E24"/>
    <w:rsid w:val="009C65B4"/>
    <w:rsid w:val="00A4736B"/>
    <w:rsid w:val="00A71EAD"/>
    <w:rsid w:val="00B57B89"/>
    <w:rsid w:val="00B621E2"/>
    <w:rsid w:val="00B67024"/>
    <w:rsid w:val="00BA13C7"/>
    <w:rsid w:val="00BB1548"/>
    <w:rsid w:val="00BC46AB"/>
    <w:rsid w:val="00BD2A95"/>
    <w:rsid w:val="00C60A5F"/>
    <w:rsid w:val="00C677BD"/>
    <w:rsid w:val="00D02312"/>
    <w:rsid w:val="00DE77C1"/>
    <w:rsid w:val="00E4187E"/>
    <w:rsid w:val="00EB4CF4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2E9E"/>
  <w15:chartTrackingRefBased/>
  <w15:docId w15:val="{75049C05-CF43-4605-AAC1-6C1B43B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4736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4736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4736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4736B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2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eb561abc-6244-4327-ac37-c01d1d6453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3CDA-4304-4F1D-8982-FEC2B05D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Moura</dc:creator>
  <cp:keywords/>
  <dc:description/>
  <cp:lastModifiedBy>Ines Moura</cp:lastModifiedBy>
  <cp:revision>19</cp:revision>
  <dcterms:created xsi:type="dcterms:W3CDTF">2021-01-05T17:19:00Z</dcterms:created>
  <dcterms:modified xsi:type="dcterms:W3CDTF">2021-01-17T16:16:00Z</dcterms:modified>
</cp:coreProperties>
</file>