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FF3AB" w14:textId="37E6B4D8" w:rsidR="00FB31B8" w:rsidRDefault="00F86E68" w:rsidP="00FB31B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 A. </w:t>
      </w:r>
      <w:r w:rsidR="00FB31B8" w:rsidRPr="005257B5">
        <w:rPr>
          <w:rFonts w:ascii="Times New Roman" w:hAnsi="Times New Roman" w:cs="Times New Roman"/>
          <w:b/>
          <w:bCs/>
          <w:sz w:val="24"/>
          <w:szCs w:val="24"/>
        </w:rPr>
        <w:t>Attrition Diagram</w:t>
      </w:r>
    </w:p>
    <w:p w14:paraId="28B49A36" w14:textId="05C6770B" w:rsidR="00F86E68" w:rsidRPr="005257B5" w:rsidRDefault="00F86E68" w:rsidP="00FB31B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163C7">
        <w:rPr>
          <w:rFonts w:ascii="Times New Roman" w:hAnsi="Times New Roman" w:cs="Times New Roman"/>
          <w:sz w:val="24"/>
          <w:szCs w:val="24"/>
        </w:rPr>
        <w:t>Diagram shows the inclusion and exclusion criteria applied to the inpatient and hospital-based outpatient populations identified in the Premier Healthcare Database with orthopedic surgical discharges between July 1, 2010 and June 30, 2015.</w:t>
      </w:r>
    </w:p>
    <w:p w14:paraId="68011B28" w14:textId="63895B4B" w:rsidR="00745DFA" w:rsidRDefault="00FB31B8"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803B11" wp14:editId="7D66C773">
            <wp:extent cx="5751824" cy="43561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43" cy="436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B8"/>
    <w:rsid w:val="000255B2"/>
    <w:rsid w:val="00170E52"/>
    <w:rsid w:val="0046460B"/>
    <w:rsid w:val="005E5A66"/>
    <w:rsid w:val="00745DFA"/>
    <w:rsid w:val="009A5264"/>
    <w:rsid w:val="00D419C4"/>
    <w:rsid w:val="00D868C3"/>
    <w:rsid w:val="00F86E68"/>
    <w:rsid w:val="00F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0F39"/>
  <w15:chartTrackingRefBased/>
  <w15:docId w15:val="{43820575-DAE5-4147-97BC-E5828EF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Dreyfus</dc:creator>
  <cp:keywords/>
  <dc:description/>
  <cp:lastModifiedBy>Todd Dreyfus</cp:lastModifiedBy>
  <cp:revision>2</cp:revision>
  <dcterms:created xsi:type="dcterms:W3CDTF">2021-01-23T19:32:00Z</dcterms:created>
  <dcterms:modified xsi:type="dcterms:W3CDTF">2021-01-23T19:32:00Z</dcterms:modified>
</cp:coreProperties>
</file>