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31FE" w14:textId="77777777" w:rsidR="00AB3CBF" w:rsidRDefault="00AB3CBF" w:rsidP="00AB3CBF">
      <w:pPr>
        <w:pStyle w:val="HABSIabstract"/>
        <w:spacing w:line="480" w:lineRule="auto"/>
        <w:jc w:val="left"/>
        <w:rPr>
          <w:rFonts w:hAnsi="Times New Roman" w:cs="Times New Roman"/>
          <w:bCs w:val="0"/>
          <w:color w:val="auto"/>
          <w:lang w:val="en-GB"/>
        </w:rPr>
      </w:pPr>
      <w:r w:rsidRPr="00AF4D3A">
        <w:rPr>
          <w:rFonts w:hAnsi="Times New Roman" w:cs="Times New Roman"/>
          <w:bCs w:val="0"/>
          <w:color w:val="auto"/>
          <w:lang w:val="en-GB"/>
        </w:rPr>
        <w:t>Seasonal variation of hospital-acquired bloodstream infections: a national seasonality cohort study</w:t>
      </w:r>
    </w:p>
    <w:p w14:paraId="3CF5A7FA" w14:textId="77777777" w:rsidR="00AB3CBF" w:rsidRPr="004C299A" w:rsidRDefault="00AB3CBF" w:rsidP="00AB3CBF">
      <w:pPr>
        <w:pStyle w:val="HABSIabstract"/>
        <w:spacing w:line="480" w:lineRule="auto"/>
        <w:jc w:val="left"/>
        <w:rPr>
          <w:rFonts w:hAnsi="Times New Roman" w:cs="Times New Roman"/>
          <w:b w:val="0"/>
          <w:bCs w:val="0"/>
          <w:color w:val="auto"/>
          <w:sz w:val="24"/>
          <w:szCs w:val="24"/>
          <w:lang w:val="nl-BE"/>
        </w:rPr>
      </w:pPr>
      <w:r w:rsidRPr="004C299A">
        <w:rPr>
          <w:rFonts w:hAnsi="Times New Roman" w:cs="Times New Roman"/>
          <w:b w:val="0"/>
          <w:bCs w:val="0"/>
          <w:color w:val="auto"/>
          <w:sz w:val="24"/>
          <w:szCs w:val="24"/>
          <w:lang w:val="nl-BE"/>
        </w:rPr>
        <w:t>Koen Blot, Naïma Hammami, Stijn Blot, Dirk Vogelaers, Marie-Laurence Lambert</w:t>
      </w:r>
    </w:p>
    <w:p w14:paraId="3739FF55" w14:textId="77777777" w:rsidR="00AB3CBF" w:rsidRDefault="00AB3CBF" w:rsidP="00AB3CBF">
      <w:pPr>
        <w:pStyle w:val="HABSIabstract"/>
        <w:jc w:val="left"/>
        <w:rPr>
          <w:rFonts w:hAnsi="Times New Roman" w:cs="Times New Roman"/>
          <w:bCs w:val="0"/>
          <w:color w:val="auto"/>
          <w:lang w:val="en-GB"/>
        </w:rPr>
      </w:pPr>
      <w:r>
        <w:rPr>
          <w:rFonts w:hAnsi="Times New Roman" w:cs="Times New Roman"/>
          <w:bCs w:val="0"/>
          <w:color w:val="auto"/>
          <w:lang w:val="en-GB"/>
        </w:rPr>
        <w:t>Appendix table of contents</w:t>
      </w:r>
    </w:p>
    <w:p w14:paraId="47052DBB" w14:textId="77777777" w:rsidR="00FC313D" w:rsidRPr="008573A1" w:rsidRDefault="00FC313D" w:rsidP="00FC313D">
      <w:pPr>
        <w:pStyle w:val="HABSI4"/>
        <w:rPr>
          <w:lang w:val="en-GB"/>
        </w:rPr>
      </w:pPr>
      <w:r>
        <w:rPr>
          <w:lang w:val="en-GB"/>
        </w:rPr>
        <w:t>Appendix</w:t>
      </w:r>
      <w:r w:rsidRPr="008573A1">
        <w:rPr>
          <w:lang w:val="en-GB"/>
        </w:rPr>
        <w:t xml:space="preserve"> 1. </w:t>
      </w:r>
      <w:r>
        <w:rPr>
          <w:lang w:val="en-GB"/>
        </w:rPr>
        <w:t>Surveillance programme</w:t>
      </w:r>
      <w:r w:rsidRPr="008573A1">
        <w:rPr>
          <w:lang w:val="en-GB"/>
        </w:rPr>
        <w:t xml:space="preserve"> </w:t>
      </w:r>
      <w:r>
        <w:rPr>
          <w:lang w:val="en-GB"/>
        </w:rPr>
        <w:t>bloodstream infection (BSI)</w:t>
      </w:r>
      <w:r w:rsidRPr="008573A1">
        <w:rPr>
          <w:lang w:val="en-GB"/>
        </w:rPr>
        <w:t xml:space="preserve"> case definition </w:t>
      </w:r>
    </w:p>
    <w:p w14:paraId="2CB82E36" w14:textId="77777777" w:rsidR="00FC313D" w:rsidRPr="008573A1" w:rsidRDefault="00FC313D" w:rsidP="00FC313D">
      <w:pPr>
        <w:pStyle w:val="HABSI4"/>
        <w:rPr>
          <w:lang w:val="en-GB"/>
        </w:rPr>
      </w:pPr>
      <w:r>
        <w:rPr>
          <w:lang w:val="en-GB"/>
        </w:rPr>
        <w:t>Appendix</w:t>
      </w:r>
      <w:r w:rsidRPr="008573A1">
        <w:rPr>
          <w:lang w:val="en-GB"/>
        </w:rPr>
        <w:t xml:space="preserve"> 2. </w:t>
      </w:r>
      <w:r>
        <w:rPr>
          <w:lang w:val="en-GB"/>
        </w:rPr>
        <w:t>Surveillance programme</w:t>
      </w:r>
      <w:r w:rsidRPr="008573A1">
        <w:rPr>
          <w:lang w:val="en-GB"/>
        </w:rPr>
        <w:t xml:space="preserve"> </w:t>
      </w:r>
      <w:r>
        <w:rPr>
          <w:lang w:val="en-GB"/>
        </w:rPr>
        <w:t>central line-associated bloodstream infection (CLABSI)</w:t>
      </w:r>
      <w:r w:rsidRPr="008573A1">
        <w:rPr>
          <w:lang w:val="en-GB"/>
        </w:rPr>
        <w:t xml:space="preserve"> definition criteria</w:t>
      </w:r>
    </w:p>
    <w:p w14:paraId="30D187D6" w14:textId="77777777" w:rsidR="00FC313D" w:rsidRDefault="0001080F" w:rsidP="0001080F">
      <w:pPr>
        <w:spacing w:line="360" w:lineRule="auto"/>
        <w:rPr>
          <w:b/>
        </w:rPr>
      </w:pPr>
      <w:r>
        <w:rPr>
          <w:b/>
        </w:rPr>
        <w:t xml:space="preserve">Appendix 3. </w:t>
      </w:r>
      <w:r w:rsidRPr="00500746">
        <w:rPr>
          <w:b/>
        </w:rPr>
        <w:t>Statistical methodology</w:t>
      </w:r>
      <w:r>
        <w:rPr>
          <w:b/>
        </w:rPr>
        <w:t xml:space="preserve"> for mixed-effects negative binomial regression analysis</w:t>
      </w:r>
    </w:p>
    <w:p w14:paraId="7154FBC0" w14:textId="77777777" w:rsidR="0017376B" w:rsidRPr="0017376B" w:rsidRDefault="0017376B" w:rsidP="0017376B">
      <w:pPr>
        <w:pStyle w:val="Default"/>
        <w:keepNext/>
        <w:rPr>
          <w:rFonts w:hAnsi="Times New Roman" w:cs="Times New Roman"/>
          <w:b/>
          <w:lang w:val="en-GB"/>
        </w:rPr>
      </w:pPr>
      <w:r>
        <w:rPr>
          <w:rFonts w:hAnsi="Times New Roman" w:cs="Times New Roman"/>
          <w:b/>
          <w:lang w:val="en-GB"/>
        </w:rPr>
        <w:t>Appendix</w:t>
      </w:r>
      <w:r w:rsidRPr="00461149">
        <w:rPr>
          <w:rFonts w:hAnsi="Times New Roman" w:cs="Times New Roman"/>
          <w:b/>
          <w:lang w:val="en-GB"/>
        </w:rPr>
        <w:t xml:space="preserve"> </w:t>
      </w:r>
      <w:r>
        <w:rPr>
          <w:rFonts w:hAnsi="Times New Roman" w:cs="Times New Roman"/>
          <w:b/>
          <w:lang w:val="en-GB"/>
        </w:rPr>
        <w:t>4</w:t>
      </w:r>
      <w:r w:rsidRPr="00461149">
        <w:rPr>
          <w:rFonts w:hAnsi="Times New Roman" w:cs="Times New Roman"/>
          <w:b/>
          <w:lang w:val="en-GB"/>
        </w:rPr>
        <w:t xml:space="preserve">. </w:t>
      </w:r>
      <w:r>
        <w:rPr>
          <w:rFonts w:hAnsi="Times New Roman" w:cs="Times New Roman"/>
          <w:b/>
          <w:lang w:val="en-GB"/>
        </w:rPr>
        <w:t>Number</w:t>
      </w:r>
      <w:r w:rsidRPr="00461149">
        <w:rPr>
          <w:rFonts w:hAnsi="Times New Roman" w:cs="Times New Roman"/>
          <w:b/>
          <w:lang w:val="en-GB"/>
        </w:rPr>
        <w:t xml:space="preserve"> of hospital-</w:t>
      </w:r>
      <w:r>
        <w:rPr>
          <w:rFonts w:hAnsi="Times New Roman" w:cs="Times New Roman"/>
          <w:b/>
          <w:lang w:val="en-GB"/>
        </w:rPr>
        <w:t>acquired</w:t>
      </w:r>
      <w:r w:rsidRPr="00461149">
        <w:rPr>
          <w:rFonts w:hAnsi="Times New Roman" w:cs="Times New Roman"/>
          <w:b/>
          <w:lang w:val="en-GB"/>
        </w:rPr>
        <w:t xml:space="preserve"> bloodstream infection</w:t>
      </w:r>
      <w:r>
        <w:rPr>
          <w:rFonts w:hAnsi="Times New Roman" w:cs="Times New Roman"/>
          <w:b/>
          <w:lang w:val="en-GB"/>
        </w:rPr>
        <w:t>s, per microorganism and infectious origin</w:t>
      </w:r>
    </w:p>
    <w:p w14:paraId="644ADAE0" w14:textId="205DB87C" w:rsidR="00681864" w:rsidRDefault="00681864" w:rsidP="0001080F">
      <w:pPr>
        <w:spacing w:line="360" w:lineRule="auto"/>
        <w:rPr>
          <w:b/>
        </w:rPr>
      </w:pPr>
      <w:r>
        <w:rPr>
          <w:b/>
        </w:rPr>
        <w:t xml:space="preserve">Appendix </w:t>
      </w:r>
      <w:r w:rsidR="0017376B">
        <w:rPr>
          <w:b/>
        </w:rPr>
        <w:t>5</w:t>
      </w:r>
      <w:r>
        <w:rPr>
          <w:b/>
        </w:rPr>
        <w:t>. Hospital-acquired bloodstream infections per infectious origin, responsible microorganisms</w:t>
      </w:r>
    </w:p>
    <w:p w14:paraId="467B34FA" w14:textId="0E94F03D" w:rsidR="004C299A" w:rsidRPr="0001080F" w:rsidRDefault="004C299A" w:rsidP="0001080F">
      <w:pPr>
        <w:spacing w:line="360" w:lineRule="auto"/>
        <w:rPr>
          <w:b/>
        </w:rPr>
      </w:pPr>
      <w:r>
        <w:rPr>
          <w:b/>
        </w:rPr>
        <w:t>Appendix 6. Seasonal variation of pulmonary HABSI, by microorganism</w:t>
      </w:r>
    </w:p>
    <w:p w14:paraId="26BBB365" w14:textId="77777777" w:rsidR="00FC313D" w:rsidRPr="008573A1" w:rsidRDefault="00C3689B" w:rsidP="00FC313D">
      <w:pPr>
        <w:pStyle w:val="HABSI4"/>
        <w:rPr>
          <w:lang w:val="en-GB"/>
        </w:rPr>
      </w:pPr>
      <w:r>
        <w:br w:type="page"/>
      </w:r>
      <w:r w:rsidR="00FC313D">
        <w:rPr>
          <w:lang w:val="en-GB"/>
        </w:rPr>
        <w:lastRenderedPageBreak/>
        <w:t>Appendix</w:t>
      </w:r>
      <w:r w:rsidR="00FC313D" w:rsidRPr="008573A1">
        <w:rPr>
          <w:lang w:val="en-GB"/>
        </w:rPr>
        <w:t xml:space="preserve"> 1. </w:t>
      </w:r>
      <w:r w:rsidR="00FC313D">
        <w:rPr>
          <w:lang w:val="en-GB"/>
        </w:rPr>
        <w:t>Surveillance programme</w:t>
      </w:r>
      <w:r w:rsidR="00FC313D" w:rsidRPr="008573A1">
        <w:rPr>
          <w:lang w:val="en-GB"/>
        </w:rPr>
        <w:t xml:space="preserve"> </w:t>
      </w:r>
      <w:r w:rsidR="00FC313D">
        <w:rPr>
          <w:lang w:val="en-GB"/>
        </w:rPr>
        <w:t>bloodstream infection (BSI)</w:t>
      </w:r>
      <w:r w:rsidR="00FC313D" w:rsidRPr="008573A1">
        <w:rPr>
          <w:lang w:val="en-GB"/>
        </w:rPr>
        <w:t xml:space="preserve"> case definition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9504"/>
      </w:tblGrid>
      <w:tr w:rsidR="00FC313D" w:rsidRPr="008573A1" w14:paraId="22A807B2" w14:textId="77777777" w:rsidTr="00CA1A2E"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DDF260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jc w:val="left"/>
              <w:rPr>
                <w:lang w:val="en-GB"/>
              </w:rPr>
            </w:pPr>
            <w:r w:rsidRPr="008573A1">
              <w:rPr>
                <w:b/>
                <w:bCs/>
                <w:lang w:val="en-GB"/>
              </w:rPr>
              <w:t>BSI Criteria</w:t>
            </w:r>
            <w:r w:rsidRPr="008573A1">
              <w:rPr>
                <w:lang w:val="en-GB"/>
              </w:rPr>
              <w:t xml:space="preserve"> </w:t>
            </w:r>
          </w:p>
        </w:tc>
      </w:tr>
      <w:tr w:rsidR="00FC313D" w:rsidRPr="008573A1" w14:paraId="5019CED2" w14:textId="77777777" w:rsidTr="00CA1A2E">
        <w:tblPrEx>
          <w:shd w:val="clear" w:color="auto" w:fill="auto"/>
        </w:tblPrEx>
        <w:trPr>
          <w:trHeight w:val="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396" w:type="dxa"/>
            </w:tcMar>
            <w:vAlign w:val="center"/>
          </w:tcPr>
          <w:p w14:paraId="233C01B2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jc w:val="left"/>
              <w:rPr>
                <w:lang w:val="en-GB"/>
              </w:rPr>
            </w:pPr>
            <w:r w:rsidRPr="008573A1">
              <w:rPr>
                <w:lang w:val="en-GB"/>
              </w:rPr>
              <w:t xml:space="preserve">Recognized pathogen isolated from </w:t>
            </w:r>
            <w:r w:rsidRPr="008573A1">
              <w:rPr>
                <w:rFonts w:hAnsi="Times New Roman"/>
                <w:lang w:val="en-GB"/>
              </w:rPr>
              <w:t>≥</w:t>
            </w:r>
            <w:r w:rsidRPr="008573A1">
              <w:rPr>
                <w:lang w:val="en-GB"/>
              </w:rPr>
              <w:t>1 blood culture</w:t>
            </w:r>
          </w:p>
        </w:tc>
      </w:tr>
      <w:tr w:rsidR="00FC313D" w:rsidRPr="008573A1" w14:paraId="1337C02D" w14:textId="77777777" w:rsidTr="00CA1A2E">
        <w:tblPrEx>
          <w:shd w:val="clear" w:color="auto" w:fill="auto"/>
        </w:tblPrEx>
        <w:trPr>
          <w:trHeight w:val="14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0413C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jc w:val="left"/>
              <w:rPr>
                <w:lang w:val="en-GB"/>
              </w:rPr>
            </w:pPr>
            <w:r w:rsidRPr="008573A1">
              <w:rPr>
                <w:lang w:val="en-GB"/>
              </w:rPr>
              <w:t xml:space="preserve">Common skin commensal* cultured from </w:t>
            </w:r>
            <w:r w:rsidRPr="008573A1">
              <w:rPr>
                <w:rFonts w:hAnsi="Times New Roman"/>
                <w:lang w:val="en-GB"/>
              </w:rPr>
              <w:t>≥</w:t>
            </w:r>
            <w:r w:rsidRPr="008573A1">
              <w:rPr>
                <w:lang w:val="en-GB"/>
              </w:rPr>
              <w:t xml:space="preserve">2 blood cultures drawn on separate occasions (within 3 days of each other) </w:t>
            </w:r>
            <w:r w:rsidRPr="008573A1">
              <w:rPr>
                <w:i/>
                <w:iCs/>
                <w:u w:val="single"/>
                <w:lang w:val="en-GB"/>
              </w:rPr>
              <w:t>and</w:t>
            </w:r>
            <w:r w:rsidRPr="008573A1">
              <w:rPr>
                <w:lang w:val="en-GB"/>
              </w:rPr>
              <w:t xml:space="preserve"> at least one of the following clinical symptoms within 24 hours of the positive culture:</w:t>
            </w:r>
          </w:p>
          <w:p w14:paraId="35734056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jc w:val="left"/>
              <w:rPr>
                <w:lang w:val="en-GB"/>
              </w:rPr>
            </w:pPr>
            <w:r w:rsidRPr="008573A1">
              <w:rPr>
                <w:lang w:val="en-GB"/>
              </w:rPr>
              <w:t>1.</w:t>
            </w:r>
            <w:r w:rsidRPr="008573A1">
              <w:rPr>
                <w:lang w:val="en-GB"/>
              </w:rPr>
              <w:tab/>
            </w:r>
            <w:r w:rsidRPr="008573A1">
              <w:rPr>
                <w:rFonts w:hAnsi="Times New Roman"/>
                <w:lang w:val="en-GB"/>
              </w:rPr>
              <w:t>≥</w:t>
            </w:r>
            <w:r w:rsidRPr="008573A1">
              <w:rPr>
                <w:lang w:val="en-GB"/>
              </w:rPr>
              <w:t>12 months: fever (&gt;38</w:t>
            </w:r>
            <w:r w:rsidRPr="008573A1">
              <w:rPr>
                <w:rFonts w:hAnsi="Times New Roman"/>
                <w:lang w:val="en-GB"/>
              </w:rPr>
              <w:t>°</w:t>
            </w:r>
            <w:r w:rsidRPr="008573A1">
              <w:rPr>
                <w:lang w:val="en-GB"/>
              </w:rPr>
              <w:t>C), chills, or hypotension</w:t>
            </w:r>
          </w:p>
          <w:p w14:paraId="2177FD29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jc w:val="left"/>
              <w:rPr>
                <w:lang w:val="en-GB"/>
              </w:rPr>
            </w:pPr>
            <w:r w:rsidRPr="008573A1">
              <w:rPr>
                <w:lang w:val="en-GB"/>
              </w:rPr>
              <w:t>2.</w:t>
            </w:r>
            <w:r w:rsidRPr="008573A1">
              <w:rPr>
                <w:lang w:val="en-GB"/>
              </w:rPr>
              <w:tab/>
              <w:t>&lt;12 months: fever (&gt;38</w:t>
            </w:r>
            <w:r w:rsidRPr="008573A1">
              <w:rPr>
                <w:rFonts w:hAnsi="Times New Roman"/>
                <w:lang w:val="en-GB"/>
              </w:rPr>
              <w:t>°</w:t>
            </w:r>
            <w:r w:rsidRPr="008573A1">
              <w:rPr>
                <w:lang w:val="en-GB"/>
              </w:rPr>
              <w:t>C), hypothermia (&lt;36.5</w:t>
            </w:r>
            <w:r w:rsidRPr="008573A1">
              <w:rPr>
                <w:rFonts w:hAnsi="Times New Roman"/>
                <w:lang w:val="en-GB"/>
              </w:rPr>
              <w:t>°</w:t>
            </w:r>
            <w:r w:rsidRPr="008573A1">
              <w:rPr>
                <w:lang w:val="en-GB"/>
              </w:rPr>
              <w:t xml:space="preserve">C), </w:t>
            </w:r>
            <w:proofErr w:type="spellStart"/>
            <w:r w:rsidRPr="008573A1">
              <w:rPr>
                <w:lang w:val="en-GB"/>
              </w:rPr>
              <w:t>apnea</w:t>
            </w:r>
            <w:proofErr w:type="spellEnd"/>
            <w:r w:rsidRPr="008573A1">
              <w:rPr>
                <w:lang w:val="en-GB"/>
              </w:rPr>
              <w:t xml:space="preserve"> (5 sec), bradycardia (&lt;80/min)</w:t>
            </w:r>
          </w:p>
        </w:tc>
      </w:tr>
      <w:tr w:rsidR="00FC313D" w:rsidRPr="008573A1" w14:paraId="18F8F05B" w14:textId="77777777" w:rsidTr="00CA1A2E">
        <w:tblPrEx>
          <w:shd w:val="clear" w:color="auto" w:fill="auto"/>
        </w:tblPrEx>
        <w:trPr>
          <w:trHeight w:val="2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42D40" w14:textId="77777777" w:rsidR="00FC313D" w:rsidRPr="002C4310" w:rsidRDefault="00FC313D" w:rsidP="00CA1A2E">
            <w:pPr>
              <w:pStyle w:val="Default"/>
              <w:spacing w:line="240" w:lineRule="auto"/>
              <w:ind w:right="336"/>
              <w:jc w:val="left"/>
              <w:rPr>
                <w:lang w:val="en-GB"/>
              </w:rPr>
            </w:pPr>
            <w:r w:rsidRPr="002C4310">
              <w:rPr>
                <w:lang w:val="en-GB"/>
              </w:rPr>
              <w:t>For neonates (</w:t>
            </w:r>
            <w:r w:rsidRPr="002C4310">
              <w:rPr>
                <w:rFonts w:hAnsi="Times New Roman"/>
                <w:lang w:val="en-GB"/>
              </w:rPr>
              <w:t>≤</w:t>
            </w:r>
            <w:r w:rsidRPr="002C4310">
              <w:rPr>
                <w:lang w:val="en-GB"/>
              </w:rPr>
              <w:t xml:space="preserve">28 days): </w:t>
            </w:r>
            <w:r w:rsidRPr="002C4310">
              <w:rPr>
                <w:rFonts w:hAnsi="Times New Roman"/>
                <w:lang w:val="en-GB"/>
              </w:rPr>
              <w:t>≥</w:t>
            </w:r>
            <w:r w:rsidRPr="002C4310">
              <w:rPr>
                <w:lang w:val="en-GB"/>
              </w:rPr>
              <w:t>1 positive blood culture for coagulase-negative staphylococcus (</w:t>
            </w:r>
            <w:r w:rsidRPr="002C4310">
              <w:rPr>
                <w:rFonts w:hAnsi="Times New Roman"/>
                <w:lang w:val="en-GB"/>
              </w:rPr>
              <w:t>≥</w:t>
            </w:r>
            <w:r w:rsidRPr="002C4310">
              <w:rPr>
                <w:lang w:val="en-GB"/>
              </w:rPr>
              <w:t xml:space="preserve">2 days after birth) </w:t>
            </w:r>
            <w:r w:rsidRPr="002C4310">
              <w:rPr>
                <w:i/>
                <w:iCs/>
                <w:u w:val="single"/>
                <w:lang w:val="en-GB"/>
              </w:rPr>
              <w:t>and</w:t>
            </w:r>
            <w:r w:rsidRPr="002C4310">
              <w:rPr>
                <w:lang w:val="en-GB"/>
              </w:rPr>
              <w:t xml:space="preserve"> </w:t>
            </w:r>
          </w:p>
          <w:p w14:paraId="52D8E536" w14:textId="77777777" w:rsidR="00FC313D" w:rsidRPr="002C4310" w:rsidRDefault="00FC313D" w:rsidP="00CA1A2E">
            <w:pPr>
              <w:pStyle w:val="Default"/>
              <w:spacing w:line="240" w:lineRule="auto"/>
              <w:ind w:left="720" w:right="336" w:hanging="360"/>
              <w:jc w:val="left"/>
              <w:rPr>
                <w:lang w:val="en-GB"/>
              </w:rPr>
            </w:pPr>
            <w:r w:rsidRPr="002C4310">
              <w:rPr>
                <w:lang w:val="en-GB"/>
              </w:rPr>
              <w:t>1.</w:t>
            </w:r>
            <w:r w:rsidRPr="002C4310">
              <w:rPr>
                <w:lang w:val="en-GB"/>
              </w:rPr>
              <w:tab/>
            </w:r>
            <w:r w:rsidRPr="002C4310">
              <w:rPr>
                <w:rFonts w:hAnsi="Times New Roman"/>
                <w:lang w:val="en-GB"/>
              </w:rPr>
              <w:t>≥</w:t>
            </w:r>
            <w:r w:rsidRPr="002C4310">
              <w:rPr>
                <w:lang w:val="en-GB"/>
              </w:rPr>
              <w:t>2 of the following: fever (&gt;38</w:t>
            </w:r>
            <w:r w:rsidRPr="002C4310">
              <w:rPr>
                <w:rFonts w:hAnsi="Times New Roman"/>
                <w:lang w:val="en-GB"/>
              </w:rPr>
              <w:t>°</w:t>
            </w:r>
            <w:r w:rsidRPr="002C4310">
              <w:rPr>
                <w:lang w:val="en-GB"/>
              </w:rPr>
              <w:t>C), unstable temperature, hypothermia (&lt;36.5</w:t>
            </w:r>
            <w:r w:rsidRPr="002C4310">
              <w:rPr>
                <w:rFonts w:hAnsi="Times New Roman"/>
                <w:lang w:val="en-GB"/>
              </w:rPr>
              <w:t>°</w:t>
            </w:r>
            <w:r w:rsidRPr="002C4310">
              <w:rPr>
                <w:lang w:val="en-GB"/>
              </w:rPr>
              <w:t xml:space="preserve">C), tachycardia (&gt;200/min), bradycardia, capillary refill &gt;2 sec, </w:t>
            </w:r>
            <w:proofErr w:type="spellStart"/>
            <w:r w:rsidRPr="002C4310">
              <w:rPr>
                <w:lang w:val="en-GB"/>
              </w:rPr>
              <w:t>apnea</w:t>
            </w:r>
            <w:proofErr w:type="spellEnd"/>
            <w:r w:rsidRPr="002C4310">
              <w:rPr>
                <w:lang w:val="en-GB"/>
              </w:rPr>
              <w:t xml:space="preserve">, unexplained metabolic acidosis (BE </w:t>
            </w:r>
            <w:r w:rsidRPr="002C4310">
              <w:rPr>
                <w:rFonts w:hAnsi="Times New Roman"/>
                <w:lang w:val="en-GB"/>
              </w:rPr>
              <w:t xml:space="preserve">≤ </w:t>
            </w:r>
            <w:r w:rsidRPr="002C4310">
              <w:rPr>
                <w:lang w:val="en-GB"/>
              </w:rPr>
              <w:t xml:space="preserve">10mEq/L), new-onset </w:t>
            </w:r>
            <w:proofErr w:type="spellStart"/>
            <w:r w:rsidRPr="002C4310">
              <w:rPr>
                <w:lang w:val="en-GB"/>
              </w:rPr>
              <w:t>hyperglycemia</w:t>
            </w:r>
            <w:proofErr w:type="spellEnd"/>
            <w:r w:rsidRPr="002C4310">
              <w:rPr>
                <w:lang w:val="en-GB"/>
              </w:rPr>
              <w:t xml:space="preserve"> (&gt;140mg/dL), or other signs (skin colour, increased respiratory support, apathy, hemodynamic instability) </w:t>
            </w:r>
            <w:r w:rsidRPr="002C4310">
              <w:rPr>
                <w:i/>
                <w:iCs/>
                <w:u w:val="single"/>
                <w:lang w:val="en-GB"/>
              </w:rPr>
              <w:t>and</w:t>
            </w:r>
          </w:p>
          <w:p w14:paraId="65DE3736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jc w:val="left"/>
              <w:rPr>
                <w:lang w:val="en-GB"/>
              </w:rPr>
            </w:pPr>
            <w:r w:rsidRPr="002C4310">
              <w:rPr>
                <w:lang w:val="en-GB"/>
              </w:rPr>
              <w:t>2.</w:t>
            </w:r>
            <w:r w:rsidRPr="002C4310">
              <w:rPr>
                <w:lang w:val="en-GB"/>
              </w:rPr>
              <w:tab/>
            </w:r>
            <w:r w:rsidRPr="002C4310">
              <w:rPr>
                <w:rFonts w:hAnsi="Times New Roman"/>
                <w:lang w:val="en-GB"/>
              </w:rPr>
              <w:t>≥</w:t>
            </w:r>
            <w:r w:rsidRPr="002C4310">
              <w:rPr>
                <w:lang w:val="en-GB"/>
              </w:rPr>
              <w:t>1 of the following: CRP &gt;2.0mg/dL, neutrophil ratio I/T &gt; 0.2, leukopenia &lt;5/</w:t>
            </w:r>
            <w:proofErr w:type="spellStart"/>
            <w:r w:rsidRPr="002C4310">
              <w:rPr>
                <w:lang w:val="en-GB"/>
              </w:rPr>
              <w:t>nL</w:t>
            </w:r>
            <w:proofErr w:type="spellEnd"/>
            <w:r w:rsidRPr="002C4310">
              <w:rPr>
                <w:lang w:val="en-GB"/>
              </w:rPr>
              <w:t>, or thrombopenia &lt;100/</w:t>
            </w:r>
            <w:proofErr w:type="spellStart"/>
            <w:r w:rsidRPr="002C4310">
              <w:rPr>
                <w:lang w:val="en-GB"/>
              </w:rPr>
              <w:t>nL</w:t>
            </w:r>
            <w:proofErr w:type="spellEnd"/>
          </w:p>
        </w:tc>
      </w:tr>
    </w:tbl>
    <w:p w14:paraId="21298F74" w14:textId="77777777" w:rsidR="00FC313D" w:rsidRPr="008573A1" w:rsidRDefault="00FC313D" w:rsidP="00FC313D">
      <w:pPr>
        <w:pStyle w:val="HABSIUndertable"/>
      </w:pPr>
      <w:r w:rsidRPr="008573A1">
        <w:t xml:space="preserve">* Organisms that constitute normal skin flora include </w:t>
      </w:r>
      <w:proofErr w:type="spellStart"/>
      <w:r>
        <w:t>d</w:t>
      </w:r>
      <w:r w:rsidRPr="008573A1">
        <w:t>iphteroids</w:t>
      </w:r>
      <w:proofErr w:type="spellEnd"/>
      <w:r w:rsidRPr="008573A1">
        <w:t>, Bacillus sp., Propionibacterium sp., coagulase-negative staphylococci [</w:t>
      </w:r>
      <w:proofErr w:type="spellStart"/>
      <w:r w:rsidRPr="008573A1">
        <w:t>CoNS</w:t>
      </w:r>
      <w:proofErr w:type="spellEnd"/>
      <w:r w:rsidRPr="008573A1">
        <w:t>], or micrococci.</w:t>
      </w:r>
    </w:p>
    <w:p w14:paraId="5271180D" w14:textId="77777777" w:rsidR="00FC313D" w:rsidRPr="008573A1" w:rsidRDefault="00FC313D" w:rsidP="00FC313D">
      <w:pPr>
        <w:pStyle w:val="Default"/>
        <w:rPr>
          <w:lang w:val="en-GB"/>
        </w:rPr>
      </w:pPr>
    </w:p>
    <w:p w14:paraId="57B48C6E" w14:textId="77777777" w:rsidR="00FC313D" w:rsidRDefault="00FC313D" w:rsidP="00FC313D">
      <w:pPr>
        <w:rPr>
          <w:rFonts w:eastAsia="Times New Roman"/>
          <w:b/>
          <w:bCs/>
          <w:color w:val="000000"/>
        </w:rPr>
      </w:pPr>
      <w:r>
        <w:br w:type="page"/>
      </w:r>
    </w:p>
    <w:p w14:paraId="447C2C68" w14:textId="77777777" w:rsidR="00FC313D" w:rsidRPr="008573A1" w:rsidRDefault="00FC313D" w:rsidP="00FC313D">
      <w:pPr>
        <w:pStyle w:val="HABSI4"/>
        <w:rPr>
          <w:lang w:val="en-GB"/>
        </w:rPr>
      </w:pPr>
      <w:r>
        <w:rPr>
          <w:lang w:val="en-GB"/>
        </w:rPr>
        <w:lastRenderedPageBreak/>
        <w:t>Appendix</w:t>
      </w:r>
      <w:r w:rsidRPr="008573A1">
        <w:rPr>
          <w:lang w:val="en-GB"/>
        </w:rPr>
        <w:t xml:space="preserve"> 2. </w:t>
      </w:r>
      <w:r>
        <w:rPr>
          <w:lang w:val="en-GB"/>
        </w:rPr>
        <w:t>Surveillance programme</w:t>
      </w:r>
      <w:r w:rsidRPr="008573A1">
        <w:rPr>
          <w:lang w:val="en-GB"/>
        </w:rPr>
        <w:t xml:space="preserve"> </w:t>
      </w:r>
      <w:r>
        <w:rPr>
          <w:lang w:val="en-GB"/>
        </w:rPr>
        <w:t>central line-associated bloodstream infection (CLABSI)</w:t>
      </w:r>
      <w:r w:rsidRPr="008573A1">
        <w:rPr>
          <w:lang w:val="en-GB"/>
        </w:rPr>
        <w:t xml:space="preserve"> definition criteria</w:t>
      </w:r>
    </w:p>
    <w:tbl>
      <w:tblPr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12"/>
      </w:tblGrid>
      <w:tr w:rsidR="00FC313D" w:rsidRPr="008573A1" w14:paraId="714137B3" w14:textId="77777777" w:rsidTr="00CA1A2E">
        <w:trPr>
          <w:trHeight w:val="310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396" w:type="dxa"/>
            </w:tcMar>
          </w:tcPr>
          <w:p w14:paraId="6AC06074" w14:textId="77777777" w:rsidR="00FC313D" w:rsidRPr="008573A1" w:rsidRDefault="00FC313D" w:rsidP="00CA1A2E">
            <w:pPr>
              <w:pStyle w:val="Default"/>
              <w:keepNext/>
              <w:spacing w:line="240" w:lineRule="auto"/>
              <w:ind w:right="336"/>
              <w:jc w:val="left"/>
              <w:rPr>
                <w:lang w:val="en-GB"/>
              </w:rPr>
            </w:pPr>
            <w:r w:rsidRPr="008573A1">
              <w:rPr>
                <w:b/>
                <w:bCs/>
                <w:lang w:val="en-GB"/>
              </w:rPr>
              <w:t xml:space="preserve">CLABSI Criteria </w:t>
            </w:r>
            <w:r>
              <w:rPr>
                <w:b/>
                <w:bCs/>
                <w:lang w:val="en-GB"/>
              </w:rPr>
              <w:t>in 2000</w:t>
            </w:r>
            <w:r>
              <w:rPr>
                <w:b/>
                <w:bCs/>
                <w:lang w:val="en-GB"/>
              </w:rPr>
              <w:t>–</w:t>
            </w:r>
            <w:r>
              <w:rPr>
                <w:b/>
                <w:bCs/>
                <w:lang w:val="en-GB"/>
              </w:rPr>
              <w:t>2012</w:t>
            </w:r>
          </w:p>
        </w:tc>
      </w:tr>
      <w:tr w:rsidR="00FC313D" w:rsidRPr="008573A1" w14:paraId="04E23E02" w14:textId="77777777" w:rsidTr="00CA1A2E">
        <w:tblPrEx>
          <w:shd w:val="clear" w:color="auto" w:fill="auto"/>
        </w:tblPrEx>
        <w:trPr>
          <w:trHeight w:val="3648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396" w:type="dxa"/>
            </w:tcMar>
          </w:tcPr>
          <w:p w14:paraId="6E02CE01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Confirmed</w:t>
            </w:r>
            <w:r w:rsidRPr="008573A1">
              <w:rPr>
                <w:lang w:val="en-GB"/>
              </w:rPr>
              <w:t xml:space="preserve">: </w:t>
            </w:r>
            <w:r>
              <w:rPr>
                <w:lang w:val="en-GB"/>
              </w:rPr>
              <w:t>B</w:t>
            </w:r>
            <w:r w:rsidRPr="008573A1">
              <w:rPr>
                <w:lang w:val="en-GB"/>
              </w:rPr>
              <w:t>loodstream infection with a</w:t>
            </w:r>
            <w:r>
              <w:rPr>
                <w:lang w:val="en-GB"/>
              </w:rPr>
              <w:t xml:space="preserve"> concomitant</w:t>
            </w:r>
            <w:r w:rsidRPr="008573A1">
              <w:rPr>
                <w:lang w:val="en-GB"/>
              </w:rPr>
              <w:t xml:space="preserve"> positive culture of the catheter tip, using one of the following semi-quantitative methods:</w:t>
            </w:r>
          </w:p>
          <w:p w14:paraId="7CA5DF7D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rPr>
                <w:lang w:val="en-GB"/>
              </w:rPr>
            </w:pPr>
            <w:r w:rsidRPr="008573A1">
              <w:rPr>
                <w:lang w:val="en-GB"/>
              </w:rPr>
              <w:t>1.</w:t>
            </w:r>
            <w:r w:rsidRPr="008573A1">
              <w:rPr>
                <w:lang w:val="en-GB"/>
              </w:rPr>
              <w:tab/>
            </w:r>
            <w:r w:rsidRPr="008573A1">
              <w:rPr>
                <w:rFonts w:hAnsi="Times New Roman"/>
                <w:lang w:val="en-GB"/>
              </w:rPr>
              <w:t>≥</w:t>
            </w:r>
            <w:r>
              <w:rPr>
                <w:lang w:val="en-GB"/>
              </w:rPr>
              <w:t>15 colony forming units</w:t>
            </w:r>
            <w:r w:rsidRPr="008573A1">
              <w:rPr>
                <w:lang w:val="en-GB"/>
              </w:rPr>
              <w:t xml:space="preserve"> (CFU) in a semi-quantitative culture (24h incubation) on a catheter segment (5</w:t>
            </w:r>
            <w:r w:rsidRPr="008573A1">
              <w:rPr>
                <w:rFonts w:hAnsi="Times New Roman"/>
                <w:lang w:val="en-GB"/>
              </w:rPr>
              <w:t>–</w:t>
            </w:r>
            <w:r w:rsidRPr="008573A1">
              <w:rPr>
                <w:lang w:val="en-GB"/>
              </w:rPr>
              <w:t>7cm) rolled over a blood agar (roll-plate Maki method)</w:t>
            </w:r>
          </w:p>
          <w:p w14:paraId="027BCA9B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rPr>
                <w:lang w:val="en-GB"/>
              </w:rPr>
            </w:pPr>
            <w:r w:rsidRPr="008573A1">
              <w:rPr>
                <w:lang w:val="en-GB"/>
              </w:rPr>
              <w:t>2.</w:t>
            </w:r>
            <w:r w:rsidRPr="008573A1">
              <w:rPr>
                <w:lang w:val="en-GB"/>
              </w:rPr>
              <w:tab/>
              <w:t>&gt;10</w:t>
            </w:r>
            <w:r w:rsidRPr="008573A1">
              <w:rPr>
                <w:vertAlign w:val="superscript"/>
                <w:lang w:val="en-GB"/>
              </w:rPr>
              <w:t>3</w:t>
            </w:r>
            <w:r w:rsidRPr="008573A1">
              <w:rPr>
                <w:lang w:val="en-GB"/>
              </w:rPr>
              <w:t xml:space="preserve"> colonies (CFU) per intradermal catheter segment (1cm), washed with a liquid blood agar by </w:t>
            </w:r>
            <w:r w:rsidRPr="008573A1">
              <w:rPr>
                <w:rFonts w:hAnsi="Times New Roman"/>
                <w:lang w:val="en-GB"/>
              </w:rPr>
              <w:t>‘</w:t>
            </w:r>
            <w:r w:rsidRPr="008573A1">
              <w:rPr>
                <w:lang w:val="en-GB"/>
              </w:rPr>
              <w:t>flushing</w:t>
            </w:r>
            <w:r w:rsidRPr="008573A1">
              <w:rPr>
                <w:rFonts w:hAnsi="Times New Roman"/>
                <w:lang w:val="en-GB"/>
              </w:rPr>
              <w:t xml:space="preserve">’ </w:t>
            </w:r>
            <w:r w:rsidRPr="008573A1">
              <w:rPr>
                <w:lang w:val="en-GB"/>
              </w:rPr>
              <w:t xml:space="preserve">or </w:t>
            </w:r>
            <w:r w:rsidRPr="008573A1">
              <w:rPr>
                <w:rFonts w:hAnsi="Times New Roman"/>
                <w:lang w:val="en-GB"/>
              </w:rPr>
              <w:t>‘</w:t>
            </w:r>
            <w:r w:rsidRPr="008573A1">
              <w:rPr>
                <w:lang w:val="en-GB"/>
              </w:rPr>
              <w:t>vortex</w:t>
            </w:r>
            <w:r w:rsidRPr="008573A1">
              <w:rPr>
                <w:rFonts w:hAnsi="Times New Roman"/>
                <w:lang w:val="en-GB"/>
              </w:rPr>
              <w:t xml:space="preserve">’ </w:t>
            </w:r>
            <w:r w:rsidRPr="008573A1">
              <w:rPr>
                <w:lang w:val="en-GB"/>
              </w:rPr>
              <w:t>after semi-quantitative culturing of the flushing medium</w:t>
            </w:r>
          </w:p>
          <w:p w14:paraId="62184A17" w14:textId="77777777" w:rsidR="00FC313D" w:rsidRPr="008573A1" w:rsidRDefault="00FC313D" w:rsidP="00CA1A2E">
            <w:pPr>
              <w:pStyle w:val="Default"/>
              <w:spacing w:line="240" w:lineRule="auto"/>
              <w:ind w:left="720" w:right="336" w:hanging="360"/>
              <w:rPr>
                <w:lang w:val="en-GB"/>
              </w:rPr>
            </w:pPr>
            <w:r w:rsidRPr="008573A1">
              <w:rPr>
                <w:lang w:val="en-GB"/>
              </w:rPr>
              <w:t>3.</w:t>
            </w:r>
            <w:r w:rsidRPr="008573A1">
              <w:rPr>
                <w:lang w:val="en-GB"/>
              </w:rPr>
              <w:tab/>
            </w:r>
            <w:r w:rsidRPr="008573A1">
              <w:rPr>
                <w:rFonts w:hAnsi="Times New Roman"/>
                <w:lang w:val="en-GB"/>
              </w:rPr>
              <w:t>‘</w:t>
            </w:r>
            <w:r w:rsidRPr="008573A1">
              <w:rPr>
                <w:lang w:val="en-GB"/>
              </w:rPr>
              <w:t>Paired samples</w:t>
            </w:r>
            <w:r w:rsidRPr="008573A1">
              <w:rPr>
                <w:rFonts w:hAnsi="Times New Roman"/>
                <w:lang w:val="en-GB"/>
              </w:rPr>
              <w:t>’</w:t>
            </w:r>
            <w:r>
              <w:rPr>
                <w:lang w:val="en-GB"/>
              </w:rPr>
              <w:t>: t</w:t>
            </w:r>
            <w:r w:rsidRPr="008573A1">
              <w:rPr>
                <w:lang w:val="en-GB"/>
              </w:rPr>
              <w:t>he same microorganisms (species and antibiogram) are cultured from a peripheral vein sample and catheter with, in a quantitative culture, the number of CFUs in catheter / number of CFUs peripheral blood &gt;5</w:t>
            </w:r>
          </w:p>
          <w:p w14:paraId="58DF2D85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rPr>
                <w:lang w:val="en-GB"/>
              </w:rPr>
            </w:pPr>
            <w:r w:rsidRPr="008573A1">
              <w:rPr>
                <w:b/>
                <w:bCs/>
                <w:lang w:val="en-GB"/>
              </w:rPr>
              <w:t>Probable</w:t>
            </w:r>
            <w:r w:rsidRPr="008573A1">
              <w:rPr>
                <w:lang w:val="en-GB"/>
              </w:rPr>
              <w:t>: However, if one of the three previous criteria are not satisfied but the bloodstream infection is still considered to be related to the central venous catheter, it can be noted as a probable central line-associated bloodstream infection.</w:t>
            </w:r>
          </w:p>
        </w:tc>
      </w:tr>
      <w:tr w:rsidR="00FC313D" w:rsidRPr="008573A1" w14:paraId="7A985D2F" w14:textId="77777777" w:rsidTr="00CA1A2E">
        <w:tblPrEx>
          <w:shd w:val="clear" w:color="auto" w:fill="auto"/>
        </w:tblPrEx>
        <w:trPr>
          <w:trHeight w:val="310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396" w:type="dxa"/>
            </w:tcMar>
          </w:tcPr>
          <w:p w14:paraId="76717B69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jc w:val="left"/>
              <w:rPr>
                <w:lang w:val="en-GB"/>
              </w:rPr>
            </w:pPr>
            <w:r w:rsidRPr="008573A1">
              <w:rPr>
                <w:b/>
                <w:bCs/>
                <w:lang w:val="en-GB"/>
              </w:rPr>
              <w:t>CLABSI Criteria in 2013</w:t>
            </w:r>
            <w:r w:rsidRPr="008573A1">
              <w:rPr>
                <w:rFonts w:hAnsi="Times New Roman"/>
                <w:b/>
                <w:bCs/>
                <w:lang w:val="en-GB"/>
              </w:rPr>
              <w:t>–</w:t>
            </w:r>
            <w:r w:rsidRPr="008573A1">
              <w:rPr>
                <w:b/>
                <w:bCs/>
                <w:lang w:val="en-GB"/>
              </w:rPr>
              <w:t>2014</w:t>
            </w:r>
          </w:p>
        </w:tc>
      </w:tr>
      <w:tr w:rsidR="00FC313D" w:rsidRPr="008573A1" w14:paraId="09321D3D" w14:textId="77777777" w:rsidTr="00CA1A2E">
        <w:tblPrEx>
          <w:shd w:val="clear" w:color="auto" w:fill="auto"/>
        </w:tblPrEx>
        <w:trPr>
          <w:trHeight w:val="610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3BBF99" w14:textId="77777777" w:rsidR="00FC313D" w:rsidRPr="008573A1" w:rsidRDefault="00FC313D" w:rsidP="00CA1A2E">
            <w:pPr>
              <w:pStyle w:val="Default"/>
              <w:spacing w:line="240" w:lineRule="auto"/>
              <w:ind w:right="336"/>
              <w:rPr>
                <w:lang w:val="en-GB"/>
              </w:rPr>
            </w:pPr>
            <w:r w:rsidRPr="008573A1">
              <w:rPr>
                <w:lang w:val="en-GB"/>
              </w:rPr>
              <w:t xml:space="preserve">A central line-associated bloodstream infection is a BSI where a central line was in place during the 2 calendar days before the onset of infection </w:t>
            </w:r>
            <w:r w:rsidRPr="008573A1">
              <w:rPr>
                <w:i/>
                <w:iCs/>
                <w:u w:val="single"/>
                <w:lang w:val="en-GB"/>
              </w:rPr>
              <w:t>and</w:t>
            </w:r>
            <w:r w:rsidRPr="008573A1">
              <w:rPr>
                <w:lang w:val="en-GB"/>
              </w:rPr>
              <w:t xml:space="preserve"> no other cause of infection can be identified</w:t>
            </w:r>
          </w:p>
        </w:tc>
      </w:tr>
    </w:tbl>
    <w:p w14:paraId="629859AA" w14:textId="77777777" w:rsidR="0001080F" w:rsidRDefault="0001080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09B4CAEB" w14:textId="77777777" w:rsidR="0001080F" w:rsidRDefault="0001080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br w:type="page"/>
      </w:r>
    </w:p>
    <w:p w14:paraId="77D94C05" w14:textId="77777777" w:rsidR="0001080F" w:rsidRPr="00500746" w:rsidRDefault="0001080F" w:rsidP="0001080F">
      <w:pPr>
        <w:spacing w:line="360" w:lineRule="auto"/>
        <w:rPr>
          <w:b/>
        </w:rPr>
      </w:pPr>
      <w:r>
        <w:rPr>
          <w:b/>
        </w:rPr>
        <w:lastRenderedPageBreak/>
        <w:t xml:space="preserve">Appendix 3. </w:t>
      </w:r>
      <w:r w:rsidRPr="00500746">
        <w:rPr>
          <w:b/>
        </w:rPr>
        <w:t>Statistical methodology</w:t>
      </w:r>
      <w:r>
        <w:rPr>
          <w:b/>
        </w:rPr>
        <w:t xml:space="preserve"> for mixed-effects negative binomial regression analysis</w:t>
      </w:r>
    </w:p>
    <w:p w14:paraId="664653ED" w14:textId="77777777" w:rsidR="0001080F" w:rsidRDefault="0001080F" w:rsidP="0001080F">
      <w:pPr>
        <w:pStyle w:val="Default"/>
        <w:rPr>
          <w:rFonts w:hAnsi="Times New Roman" w:cs="Times New Roman"/>
        </w:rPr>
      </w:pPr>
      <w:r w:rsidRPr="00BA31F7">
        <w:rPr>
          <w:rFonts w:hAnsi="Times New Roman" w:cs="Times New Roman"/>
          <w:lang w:val="en-GB"/>
        </w:rPr>
        <w:t xml:space="preserve">A </w:t>
      </w:r>
      <w:r>
        <w:rPr>
          <w:rFonts w:hAnsi="Times New Roman" w:cs="Times New Roman"/>
          <w:lang w:val="en-GB"/>
        </w:rPr>
        <w:t xml:space="preserve">Poisson-type distribution model was chosen above </w:t>
      </w:r>
      <w:r w:rsidRPr="00BA31F7">
        <w:rPr>
          <w:rFonts w:hAnsi="Times New Roman" w:cs="Times New Roman"/>
          <w:lang w:val="en-GB"/>
        </w:rPr>
        <w:t>linear regression b</w:t>
      </w:r>
      <w:r>
        <w:rPr>
          <w:rFonts w:hAnsi="Times New Roman" w:cs="Times New Roman"/>
          <w:lang w:val="en-GB"/>
        </w:rPr>
        <w:t>ecause the dependant variable, hospital-acquired bloodstream infections (HABSI)</w:t>
      </w:r>
      <w:r w:rsidRPr="00BA31F7">
        <w:rPr>
          <w:rFonts w:hAnsi="Times New Roman" w:cs="Times New Roman"/>
          <w:lang w:val="en-GB"/>
        </w:rPr>
        <w:t xml:space="preserve"> per patient days, was not normally distributed. </w:t>
      </w:r>
      <w:r w:rsidRPr="00BA31F7">
        <w:rPr>
          <w:rFonts w:hAnsi="Times New Roman" w:cs="Times New Roman"/>
        </w:rPr>
        <w:t xml:space="preserve">A negative binomial distribution was applied in place of a Poisson distribution because the number of quarterly infections was </w:t>
      </w:r>
      <w:proofErr w:type="spellStart"/>
      <w:r w:rsidRPr="00BA31F7">
        <w:rPr>
          <w:rFonts w:hAnsi="Times New Roman" w:cs="Times New Roman"/>
        </w:rPr>
        <w:t>overdispersed</w:t>
      </w:r>
      <w:proofErr w:type="spellEnd"/>
      <w:r>
        <w:rPr>
          <w:rFonts w:hAnsi="Times New Roman" w:cs="Times New Roman"/>
        </w:rPr>
        <w:t xml:space="preserve">: </w:t>
      </w:r>
      <w:r w:rsidRPr="00BA31F7">
        <w:rPr>
          <w:rFonts w:hAnsi="Times New Roman" w:cs="Times New Roman"/>
        </w:rPr>
        <w:t>the variance (</w:t>
      </w:r>
      <w:proofErr w:type="gramStart"/>
      <w:r w:rsidRPr="00BA31F7">
        <w:rPr>
          <w:rFonts w:hAnsi="Times New Roman" w:cs="Times New Roman"/>
        </w:rPr>
        <w:t>i.e.</w:t>
      </w:r>
      <w:proofErr w:type="gramEnd"/>
      <w:r w:rsidRPr="00BA31F7">
        <w:rPr>
          <w:rFonts w:hAnsi="Times New Roman" w:cs="Times New Roman"/>
        </w:rPr>
        <w:t xml:space="preserve"> the square of the standard deviation) of quarterly HABSI per hospital was greater than the mean. </w:t>
      </w:r>
    </w:p>
    <w:p w14:paraId="330E8B88" w14:textId="77777777" w:rsidR="00097AFB" w:rsidRDefault="0001080F" w:rsidP="0001080F">
      <w:pPr>
        <w:pStyle w:val="Default"/>
        <w:rPr>
          <w:rFonts w:hAnsi="Times New Roman" w:cs="Times New Roman"/>
          <w:lang w:val="en-GB"/>
        </w:rPr>
      </w:pPr>
      <w:r>
        <w:rPr>
          <w:rFonts w:hAnsi="Times New Roman" w:cs="Times New Roman"/>
        </w:rPr>
        <w:t>The m</w:t>
      </w:r>
      <w:r w:rsidRPr="00500746">
        <w:rPr>
          <w:rFonts w:hAnsi="Times New Roman" w:cs="Times New Roman"/>
        </w:rPr>
        <w:t xml:space="preserve">ixed-effects negative binomial distribution regression model estimated the adjusted incidence rate ratio (IRR) with 95% confidence intervals (CI) to identify a significant peak-to-low ratio in monthly </w:t>
      </w:r>
      <w:r w:rsidR="00493573">
        <w:rPr>
          <w:rFonts w:hAnsi="Times New Roman" w:cs="Times New Roman"/>
        </w:rPr>
        <w:t xml:space="preserve">and seasonal </w:t>
      </w:r>
      <w:r>
        <w:rPr>
          <w:rFonts w:hAnsi="Times New Roman" w:cs="Times New Roman"/>
        </w:rPr>
        <w:t>HABSI</w:t>
      </w:r>
      <w:r w:rsidRPr="00500746">
        <w:rPr>
          <w:rFonts w:hAnsi="Times New Roman" w:cs="Times New Roman"/>
        </w:rPr>
        <w:t xml:space="preserve"> rates.</w:t>
      </w:r>
      <w:r>
        <w:rPr>
          <w:rFonts w:hAnsi="Times New Roman" w:cs="Times New Roman"/>
        </w:rPr>
        <w:t xml:space="preserve"> The month</w:t>
      </w:r>
      <w:r w:rsidR="008B7D79">
        <w:rPr>
          <w:rFonts w:hAnsi="Times New Roman" w:cs="Times New Roman"/>
        </w:rPr>
        <w:t xml:space="preserve"> and year</w:t>
      </w:r>
      <w:r>
        <w:rPr>
          <w:rFonts w:hAnsi="Times New Roman" w:cs="Times New Roman"/>
        </w:rPr>
        <w:t xml:space="preserve"> variable</w:t>
      </w:r>
      <w:r w:rsidR="008B7D79">
        <w:rPr>
          <w:rFonts w:hAnsi="Times New Roman" w:cs="Times New Roman"/>
        </w:rPr>
        <w:t>s</w:t>
      </w:r>
      <w:r>
        <w:rPr>
          <w:rFonts w:hAnsi="Times New Roman" w:cs="Times New Roman"/>
        </w:rPr>
        <w:t xml:space="preserve"> </w:t>
      </w:r>
      <w:r w:rsidR="008B7D79">
        <w:rPr>
          <w:rFonts w:hAnsi="Times New Roman" w:cs="Times New Roman"/>
        </w:rPr>
        <w:t>were</w:t>
      </w:r>
      <w:r>
        <w:rPr>
          <w:rFonts w:hAnsi="Times New Roman" w:cs="Times New Roman"/>
        </w:rPr>
        <w:t xml:space="preserve"> applied as categorical variable</w:t>
      </w:r>
      <w:r w:rsidR="008B7D79">
        <w:rPr>
          <w:rFonts w:hAnsi="Times New Roman" w:cs="Times New Roman"/>
        </w:rPr>
        <w:t>s</w:t>
      </w:r>
      <w:r>
        <w:rPr>
          <w:rFonts w:hAnsi="Times New Roman" w:cs="Times New Roman"/>
        </w:rPr>
        <w:t>.</w:t>
      </w:r>
      <w:r w:rsidRPr="00500746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The</w:t>
      </w:r>
      <w:r w:rsidRPr="00500746">
        <w:rPr>
          <w:rFonts w:hAnsi="Times New Roman" w:cs="Times New Roman"/>
        </w:rPr>
        <w:t xml:space="preserve"> model adjusts for confounding factors such as </w:t>
      </w:r>
      <w:r>
        <w:rPr>
          <w:rFonts w:hAnsi="Times New Roman" w:cs="Times New Roman"/>
        </w:rPr>
        <w:t>year</w:t>
      </w:r>
      <w:r w:rsidR="008B7D79">
        <w:rPr>
          <w:rFonts w:hAnsi="Times New Roman" w:cs="Times New Roman"/>
        </w:rPr>
        <w:t>, acute versus chronic care hospital,</w:t>
      </w:r>
      <w:r>
        <w:rPr>
          <w:rFonts w:hAnsi="Times New Roman" w:cs="Times New Roman"/>
        </w:rPr>
        <w:t xml:space="preserve"> and university-affiliated hospital status</w:t>
      </w:r>
      <w:r w:rsidRPr="00500746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(fixed effects). Monthly number of patient days was included as an</w:t>
      </w:r>
      <w:r w:rsidRPr="00BA31F7">
        <w:rPr>
          <w:rFonts w:hAnsi="Times New Roman" w:cs="Times New Roman"/>
          <w:lang w:val="en-GB"/>
        </w:rPr>
        <w:t xml:space="preserve"> exposure variable to adjust for the fact that with increased exposure, there is an increased </w:t>
      </w:r>
      <w:r>
        <w:rPr>
          <w:rFonts w:hAnsi="Times New Roman" w:cs="Times New Roman"/>
          <w:lang w:val="en-GB"/>
        </w:rPr>
        <w:t xml:space="preserve">risk of </w:t>
      </w:r>
      <w:r w:rsidR="00D75AEA">
        <w:rPr>
          <w:rFonts w:hAnsi="Times New Roman" w:cs="Times New Roman"/>
          <w:lang w:val="en-GB"/>
        </w:rPr>
        <w:t>HABSI</w:t>
      </w:r>
      <w:r>
        <w:rPr>
          <w:rFonts w:hAnsi="Times New Roman" w:cs="Times New Roman"/>
          <w:lang w:val="en-GB"/>
        </w:rPr>
        <w:t xml:space="preserve"> development.</w:t>
      </w:r>
      <w:r w:rsidRPr="00BA31F7">
        <w:rPr>
          <w:rFonts w:hAnsi="Times New Roman" w:cs="Times New Roman"/>
          <w:lang w:val="en-GB"/>
        </w:rPr>
        <w:t xml:space="preserve"> </w:t>
      </w:r>
      <w:r>
        <w:rPr>
          <w:rFonts w:hAnsi="Times New Roman" w:cs="Times New Roman"/>
          <w:lang w:val="en-GB"/>
        </w:rPr>
        <w:t>Varying hospital participation and characteristics, such as differing baseline infection rates</w:t>
      </w:r>
      <w:r w:rsidR="00A66D76">
        <w:rPr>
          <w:rFonts w:hAnsi="Times New Roman" w:cs="Times New Roman"/>
          <w:lang w:val="en-GB"/>
        </w:rPr>
        <w:t xml:space="preserve"> and patient populations</w:t>
      </w:r>
      <w:r>
        <w:rPr>
          <w:rFonts w:hAnsi="Times New Roman" w:cs="Times New Roman"/>
          <w:lang w:val="en-GB"/>
        </w:rPr>
        <w:t xml:space="preserve">, which could not be further quantified were accounted for by applying the hospital units as random effects. Bed size was </w:t>
      </w:r>
      <w:r w:rsidR="00A66D76">
        <w:rPr>
          <w:rFonts w:hAnsi="Times New Roman" w:cs="Times New Roman"/>
          <w:lang w:val="en-GB"/>
        </w:rPr>
        <w:t xml:space="preserve">not included in </w:t>
      </w:r>
      <w:r>
        <w:rPr>
          <w:rFonts w:hAnsi="Times New Roman" w:cs="Times New Roman"/>
          <w:lang w:val="en-GB"/>
        </w:rPr>
        <w:t>the regression analysis model because of non-significance.</w:t>
      </w:r>
      <w:r w:rsidR="00845666" w:rsidRPr="00845666">
        <w:rPr>
          <w:rFonts w:hAnsi="Times New Roman" w:cs="Times New Roman"/>
        </w:rPr>
        <w:t xml:space="preserve"> </w:t>
      </w:r>
      <w:r w:rsidR="00097AFB">
        <w:rPr>
          <w:rFonts w:hAnsi="Times New Roman" w:cs="Times New Roman"/>
          <w:lang w:val="en-GB"/>
        </w:rPr>
        <w:t xml:space="preserve">The mixed-effects negative binomial distribution regression model was also applied to analyse associations between climate and HABSI incidence rates. </w:t>
      </w:r>
      <w:r w:rsidR="00F10829">
        <w:rPr>
          <w:rFonts w:hAnsi="Times New Roman" w:cs="Times New Roman"/>
          <w:lang w:val="en-GB"/>
        </w:rPr>
        <w:t xml:space="preserve">One model </w:t>
      </w:r>
      <w:r w:rsidR="008B7D79">
        <w:rPr>
          <w:rFonts w:hAnsi="Times New Roman" w:cs="Times New Roman"/>
          <w:lang w:val="en-GB"/>
        </w:rPr>
        <w:t xml:space="preserve">estimated the </w:t>
      </w:r>
      <w:r w:rsidR="00253DFC">
        <w:rPr>
          <w:rFonts w:hAnsi="Times New Roman" w:cs="Times New Roman"/>
          <w:lang w:val="en-GB"/>
        </w:rPr>
        <w:t xml:space="preserve">year-round </w:t>
      </w:r>
      <w:r w:rsidR="008B7D79">
        <w:rPr>
          <w:rFonts w:hAnsi="Times New Roman" w:cs="Times New Roman"/>
          <w:lang w:val="en-GB"/>
        </w:rPr>
        <w:t xml:space="preserve">adjusted IRR with correction for temperature, humidity, </w:t>
      </w:r>
      <w:r w:rsidR="00253DFC">
        <w:rPr>
          <w:rFonts w:hAnsi="Times New Roman" w:cs="Times New Roman"/>
          <w:lang w:val="en-GB"/>
        </w:rPr>
        <w:t xml:space="preserve">precipitation, </w:t>
      </w:r>
      <w:r w:rsidR="008B7D79">
        <w:rPr>
          <w:rFonts w:hAnsi="Times New Roman" w:cs="Times New Roman"/>
          <w:lang w:val="en-GB"/>
        </w:rPr>
        <w:t xml:space="preserve">season, </w:t>
      </w:r>
      <w:r w:rsidR="008030DC">
        <w:rPr>
          <w:rFonts w:hAnsi="Times New Roman" w:cs="Times New Roman"/>
          <w:lang w:val="en-GB"/>
        </w:rPr>
        <w:t>year, university-affiliated hospital status, infection risk exposure, and hospital units as random-effects.</w:t>
      </w:r>
      <w:r w:rsidR="00253DFC">
        <w:rPr>
          <w:rFonts w:hAnsi="Times New Roman" w:cs="Times New Roman"/>
          <w:lang w:val="en-GB"/>
        </w:rPr>
        <w:t xml:space="preserve"> </w:t>
      </w:r>
      <w:r w:rsidR="00C6002B">
        <w:rPr>
          <w:rFonts w:hAnsi="Times New Roman" w:cs="Times New Roman"/>
          <w:lang w:val="en-GB"/>
        </w:rPr>
        <w:t>If the year-round model identified significant associations with climate, a</w:t>
      </w:r>
      <w:r w:rsidR="00253DFC">
        <w:rPr>
          <w:rFonts w:hAnsi="Times New Roman" w:cs="Times New Roman"/>
          <w:lang w:val="en-GB"/>
        </w:rPr>
        <w:t xml:space="preserve"> second model </w:t>
      </w:r>
      <w:r w:rsidR="00C6002B">
        <w:rPr>
          <w:rFonts w:hAnsi="Times New Roman" w:cs="Times New Roman"/>
          <w:lang w:val="en-GB"/>
        </w:rPr>
        <w:t xml:space="preserve">was performed to </w:t>
      </w:r>
      <w:r w:rsidR="00253DFC">
        <w:rPr>
          <w:rFonts w:hAnsi="Times New Roman" w:cs="Times New Roman"/>
          <w:lang w:val="en-GB"/>
        </w:rPr>
        <w:t>analyse climate associations within seasons by applying weather-by-season interaction terms: temperature-by-season and humidity-by-season.</w:t>
      </w:r>
    </w:p>
    <w:p w14:paraId="500BB17A" w14:textId="77777777" w:rsidR="00C3689B" w:rsidRDefault="00A50FE6" w:rsidP="0001080F">
      <w:pPr>
        <w:pStyle w:val="Default"/>
        <w:rPr>
          <w:rFonts w:hAnsi="Times New Roman" w:cs="Times New Roman"/>
        </w:rPr>
      </w:pPr>
      <w:r>
        <w:rPr>
          <w:rFonts w:hAnsi="Times New Roman" w:cs="Times New Roman"/>
        </w:rPr>
        <w:t xml:space="preserve">The mixed-effects regression analyses were stratified per microorganism species and HABSI per infectious focus. </w:t>
      </w:r>
      <w:r w:rsidR="00583375">
        <w:rPr>
          <w:rFonts w:hAnsi="Times New Roman" w:cs="Times New Roman"/>
        </w:rPr>
        <w:t xml:space="preserve">Graphs were created to visually display the absolute rate changes based on the results of the relative IRRs of the regression analysis. </w:t>
      </w:r>
      <w:r w:rsidR="0001080F" w:rsidRPr="002344C0">
        <w:rPr>
          <w:rFonts w:hAnsi="Times New Roman" w:cs="Times New Roman"/>
          <w:lang w:val="en-GB"/>
        </w:rPr>
        <w:t xml:space="preserve">To create </w:t>
      </w:r>
      <w:r w:rsidR="00DC23D5">
        <w:rPr>
          <w:rFonts w:hAnsi="Times New Roman" w:cs="Times New Roman"/>
          <w:lang w:val="en-GB"/>
        </w:rPr>
        <w:t xml:space="preserve">the </w:t>
      </w:r>
      <w:r w:rsidR="0001080F" w:rsidRPr="002344C0">
        <w:rPr>
          <w:rFonts w:hAnsi="Times New Roman" w:cs="Times New Roman"/>
          <w:lang w:val="en-GB"/>
        </w:rPr>
        <w:t xml:space="preserve">figures based on the estimated adjusted IRR, the statistical post-estimation function </w:t>
      </w:r>
      <w:proofErr w:type="gramStart"/>
      <w:r w:rsidR="0001080F" w:rsidRPr="002344C0">
        <w:rPr>
          <w:rFonts w:hAnsi="Times New Roman" w:cs="Times New Roman"/>
          <w:i/>
          <w:iCs/>
          <w:lang w:val="en-GB"/>
        </w:rPr>
        <w:t>predict</w:t>
      </w:r>
      <w:proofErr w:type="gramEnd"/>
      <w:r w:rsidR="0001080F" w:rsidRPr="002344C0">
        <w:rPr>
          <w:rFonts w:hAnsi="Times New Roman" w:cs="Times New Roman"/>
          <w:i/>
          <w:iCs/>
          <w:lang w:val="en-GB"/>
        </w:rPr>
        <w:t xml:space="preserve"> </w:t>
      </w:r>
      <w:r w:rsidR="0001080F" w:rsidRPr="002344C0">
        <w:rPr>
          <w:rFonts w:hAnsi="Times New Roman" w:cs="Times New Roman"/>
          <w:lang w:val="en-GB"/>
        </w:rPr>
        <w:t xml:space="preserve">calculated the estimated average infections per hospital </w:t>
      </w:r>
      <w:r w:rsidR="0001080F">
        <w:rPr>
          <w:rFonts w:hAnsi="Times New Roman" w:cs="Times New Roman"/>
          <w:lang w:val="en-GB"/>
        </w:rPr>
        <w:t>month</w:t>
      </w:r>
      <w:r w:rsidR="0001080F" w:rsidRPr="002344C0">
        <w:rPr>
          <w:rFonts w:hAnsi="Times New Roman" w:cs="Times New Roman"/>
          <w:lang w:val="en-GB"/>
        </w:rPr>
        <w:t xml:space="preserve"> (</w:t>
      </w:r>
      <w:r w:rsidR="0001080F">
        <w:rPr>
          <w:rFonts w:hAnsi="Times New Roman" w:cs="Times New Roman"/>
          <w:lang w:val="en-GB"/>
        </w:rPr>
        <w:t>with respect to the results of the fixed and random effects</w:t>
      </w:r>
      <w:r w:rsidR="0001080F" w:rsidRPr="002344C0">
        <w:rPr>
          <w:rFonts w:hAnsi="Times New Roman" w:cs="Times New Roman"/>
          <w:lang w:val="en-GB"/>
        </w:rPr>
        <w:t xml:space="preserve">). </w:t>
      </w:r>
      <w:r w:rsidR="0001080F" w:rsidRPr="00500746">
        <w:rPr>
          <w:rFonts w:hAnsi="Times New Roman" w:cs="Times New Roman"/>
        </w:rPr>
        <w:t>Fixed and random effects were tested using the Wald and likelihood-ratio tes</w:t>
      </w:r>
      <w:r w:rsidR="0001080F">
        <w:rPr>
          <w:rFonts w:hAnsi="Times New Roman" w:cs="Times New Roman"/>
        </w:rPr>
        <w:t>t.</w:t>
      </w:r>
    </w:p>
    <w:p w14:paraId="6BA483B0" w14:textId="77777777" w:rsidR="00681864" w:rsidRDefault="00681864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/>
        </w:rPr>
      </w:pPr>
      <w:r>
        <w:br w:type="page"/>
      </w:r>
    </w:p>
    <w:p w14:paraId="215CE622" w14:textId="77777777" w:rsidR="0017376B" w:rsidRPr="00461149" w:rsidRDefault="0017376B" w:rsidP="0017376B">
      <w:pPr>
        <w:pStyle w:val="Default"/>
        <w:keepNext/>
        <w:rPr>
          <w:rFonts w:hAnsi="Times New Roman" w:cs="Times New Roman"/>
          <w:b/>
          <w:lang w:val="en-GB"/>
        </w:rPr>
      </w:pPr>
      <w:r>
        <w:rPr>
          <w:rFonts w:hAnsi="Times New Roman" w:cs="Times New Roman"/>
          <w:b/>
          <w:lang w:val="en-GB"/>
        </w:rPr>
        <w:lastRenderedPageBreak/>
        <w:t>Appendix</w:t>
      </w:r>
      <w:r w:rsidRPr="00461149">
        <w:rPr>
          <w:rFonts w:hAnsi="Times New Roman" w:cs="Times New Roman"/>
          <w:b/>
          <w:lang w:val="en-GB"/>
        </w:rPr>
        <w:t xml:space="preserve"> </w:t>
      </w:r>
      <w:r>
        <w:rPr>
          <w:rFonts w:hAnsi="Times New Roman" w:cs="Times New Roman"/>
          <w:b/>
          <w:lang w:val="en-GB"/>
        </w:rPr>
        <w:t>4</w:t>
      </w:r>
      <w:r w:rsidRPr="00461149">
        <w:rPr>
          <w:rFonts w:hAnsi="Times New Roman" w:cs="Times New Roman"/>
          <w:b/>
          <w:lang w:val="en-GB"/>
        </w:rPr>
        <w:t xml:space="preserve">. </w:t>
      </w:r>
      <w:r>
        <w:rPr>
          <w:rFonts w:hAnsi="Times New Roman" w:cs="Times New Roman"/>
          <w:b/>
          <w:lang w:val="en-GB"/>
        </w:rPr>
        <w:t>Number</w:t>
      </w:r>
      <w:r w:rsidRPr="00461149">
        <w:rPr>
          <w:rFonts w:hAnsi="Times New Roman" w:cs="Times New Roman"/>
          <w:b/>
          <w:lang w:val="en-GB"/>
        </w:rPr>
        <w:t xml:space="preserve"> of hospital-</w:t>
      </w:r>
      <w:r>
        <w:rPr>
          <w:rFonts w:hAnsi="Times New Roman" w:cs="Times New Roman"/>
          <w:b/>
          <w:lang w:val="en-GB"/>
        </w:rPr>
        <w:t>acquired</w:t>
      </w:r>
      <w:r w:rsidRPr="00461149">
        <w:rPr>
          <w:rFonts w:hAnsi="Times New Roman" w:cs="Times New Roman"/>
          <w:b/>
          <w:lang w:val="en-GB"/>
        </w:rPr>
        <w:t xml:space="preserve"> bloodstream infection</w:t>
      </w:r>
      <w:r>
        <w:rPr>
          <w:rFonts w:hAnsi="Times New Roman" w:cs="Times New Roman"/>
          <w:b/>
          <w:lang w:val="en-GB"/>
        </w:rPr>
        <w:t>s, per microorganism and infectious origin</w:t>
      </w:r>
    </w:p>
    <w:tbl>
      <w:tblPr>
        <w:tblStyle w:val="StripedTable"/>
        <w:tblW w:w="2427" w:type="pct"/>
        <w:tblLayout w:type="fixed"/>
        <w:tblLook w:val="04A0" w:firstRow="1" w:lastRow="0" w:firstColumn="1" w:lastColumn="0" w:noHBand="0" w:noVBand="1"/>
      </w:tblPr>
      <w:tblGrid>
        <w:gridCol w:w="2833"/>
        <w:gridCol w:w="1133"/>
        <w:gridCol w:w="709"/>
      </w:tblGrid>
      <w:tr w:rsidR="0017376B" w:rsidRPr="00461149" w14:paraId="3A8A9667" w14:textId="77777777" w:rsidTr="00FA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tcW w:w="2835" w:type="dxa"/>
            <w:tcBorders>
              <w:bottom w:val="single" w:sz="4" w:space="0" w:color="auto"/>
            </w:tcBorders>
            <w:noWrap/>
          </w:tcPr>
          <w:p w14:paraId="03F56F1C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HABSI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446F5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Number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131147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%</w:t>
            </w:r>
          </w:p>
        </w:tc>
      </w:tr>
      <w:tr w:rsidR="0017376B" w:rsidRPr="00461149" w14:paraId="0DD08533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8BD70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Per microorganism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487197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3A8A18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</w:p>
        </w:tc>
      </w:tr>
      <w:tr w:rsidR="0017376B" w:rsidRPr="00461149" w14:paraId="45F6A9E0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tcBorders>
              <w:top w:val="single" w:sz="4" w:space="0" w:color="auto"/>
            </w:tcBorders>
            <w:noWrap/>
          </w:tcPr>
          <w:p w14:paraId="1392BE23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Gram-positive bacteria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94F890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23 870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10A0D4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48.7</w:t>
            </w:r>
          </w:p>
        </w:tc>
      </w:tr>
      <w:tr w:rsidR="0017376B" w:rsidRPr="00461149" w14:paraId="1684AD2D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22DFCD72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CNS</w:t>
            </w:r>
          </w:p>
        </w:tc>
        <w:tc>
          <w:tcPr>
            <w:tcW w:w="1134" w:type="dxa"/>
          </w:tcPr>
          <w:p w14:paraId="7ED9446F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8731</w:t>
            </w:r>
          </w:p>
        </w:tc>
        <w:tc>
          <w:tcPr>
            <w:tcW w:w="709" w:type="dxa"/>
          </w:tcPr>
          <w:p w14:paraId="7023551A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17.8</w:t>
            </w:r>
          </w:p>
        </w:tc>
      </w:tr>
      <w:tr w:rsidR="0017376B" w:rsidRPr="00461149" w14:paraId="5C1B4CB5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2835" w:type="dxa"/>
            <w:noWrap/>
          </w:tcPr>
          <w:p w14:paraId="7AF44C05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134" w:type="dxa"/>
          </w:tcPr>
          <w:p w14:paraId="09155042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5675</w:t>
            </w:r>
          </w:p>
        </w:tc>
        <w:tc>
          <w:tcPr>
            <w:tcW w:w="709" w:type="dxa"/>
          </w:tcPr>
          <w:p w14:paraId="11B4B1F2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11.6</w:t>
            </w:r>
          </w:p>
        </w:tc>
      </w:tr>
      <w:tr w:rsidR="0017376B" w:rsidRPr="00461149" w14:paraId="4958C24C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1E5A93A6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faecalis</w:t>
            </w:r>
          </w:p>
        </w:tc>
        <w:tc>
          <w:tcPr>
            <w:tcW w:w="1134" w:type="dxa"/>
          </w:tcPr>
          <w:p w14:paraId="13DEFD42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2426</w:t>
            </w:r>
          </w:p>
        </w:tc>
        <w:tc>
          <w:tcPr>
            <w:tcW w:w="709" w:type="dxa"/>
          </w:tcPr>
          <w:p w14:paraId="6CA6780F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4.9</w:t>
            </w:r>
          </w:p>
        </w:tc>
      </w:tr>
      <w:tr w:rsidR="0017376B" w:rsidRPr="00461149" w14:paraId="568F2B05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6D22B858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faecium</w:t>
            </w:r>
          </w:p>
        </w:tc>
        <w:tc>
          <w:tcPr>
            <w:tcW w:w="1134" w:type="dxa"/>
          </w:tcPr>
          <w:p w14:paraId="680706E5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1096</w:t>
            </w:r>
          </w:p>
        </w:tc>
        <w:tc>
          <w:tcPr>
            <w:tcW w:w="709" w:type="dxa"/>
          </w:tcPr>
          <w:p w14:paraId="70A07401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2.2</w:t>
            </w:r>
          </w:p>
        </w:tc>
      </w:tr>
      <w:tr w:rsidR="0017376B" w:rsidRPr="00461149" w14:paraId="4506F823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4D7244F1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S. pneumoniae</w:t>
            </w:r>
          </w:p>
        </w:tc>
        <w:tc>
          <w:tcPr>
            <w:tcW w:w="1134" w:type="dxa"/>
          </w:tcPr>
          <w:p w14:paraId="33CBC17F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725</w:t>
            </w:r>
          </w:p>
        </w:tc>
        <w:tc>
          <w:tcPr>
            <w:tcW w:w="709" w:type="dxa"/>
          </w:tcPr>
          <w:p w14:paraId="2ACAE6DA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1.5</w:t>
            </w:r>
          </w:p>
        </w:tc>
      </w:tr>
      <w:tr w:rsidR="0017376B" w:rsidRPr="00461149" w14:paraId="45D572A7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376A205F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proofErr w:type="spellStart"/>
            <w:r w:rsidRPr="00461149">
              <w:rPr>
                <w:color w:val="000000"/>
                <w:lang w:val="en-GB"/>
              </w:rPr>
              <w:t>Viridans</w:t>
            </w:r>
            <w:proofErr w:type="spellEnd"/>
            <w:r w:rsidRPr="00461149">
              <w:rPr>
                <w:i/>
                <w:color w:val="000000"/>
                <w:lang w:val="en-GB"/>
              </w:rPr>
              <w:t xml:space="preserve"> </w:t>
            </w:r>
            <w:r w:rsidRPr="007E4D0B">
              <w:rPr>
                <w:iCs/>
                <w:color w:val="000000"/>
                <w:lang w:val="en-GB"/>
              </w:rPr>
              <w:t>streptococci</w:t>
            </w:r>
          </w:p>
        </w:tc>
        <w:tc>
          <w:tcPr>
            <w:tcW w:w="1134" w:type="dxa"/>
          </w:tcPr>
          <w:p w14:paraId="7D68A530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792</w:t>
            </w:r>
          </w:p>
        </w:tc>
        <w:tc>
          <w:tcPr>
            <w:tcW w:w="709" w:type="dxa"/>
          </w:tcPr>
          <w:p w14:paraId="329629FC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1.6</w:t>
            </w:r>
          </w:p>
        </w:tc>
      </w:tr>
      <w:tr w:rsidR="0017376B" w:rsidRPr="00461149" w14:paraId="6108EB08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289C3CCC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Gram-negative bacteria</w:t>
            </w:r>
          </w:p>
        </w:tc>
        <w:tc>
          <w:tcPr>
            <w:tcW w:w="1134" w:type="dxa"/>
          </w:tcPr>
          <w:p w14:paraId="0CD52692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21 472</w:t>
            </w:r>
          </w:p>
        </w:tc>
        <w:tc>
          <w:tcPr>
            <w:tcW w:w="709" w:type="dxa"/>
          </w:tcPr>
          <w:p w14:paraId="683554F3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43.8</w:t>
            </w:r>
          </w:p>
        </w:tc>
      </w:tr>
      <w:tr w:rsidR="0017376B" w:rsidRPr="00461149" w14:paraId="548BCB24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2E2D7C4E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coli</w:t>
            </w:r>
          </w:p>
        </w:tc>
        <w:tc>
          <w:tcPr>
            <w:tcW w:w="1134" w:type="dxa"/>
          </w:tcPr>
          <w:p w14:paraId="2206937B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9010</w:t>
            </w:r>
          </w:p>
        </w:tc>
        <w:tc>
          <w:tcPr>
            <w:tcW w:w="709" w:type="dxa"/>
          </w:tcPr>
          <w:p w14:paraId="715492AC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18.4</w:t>
            </w:r>
          </w:p>
        </w:tc>
      </w:tr>
      <w:tr w:rsidR="0017376B" w:rsidRPr="00461149" w14:paraId="6E3E8D48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11FD0B42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P. aeruginosa</w:t>
            </w:r>
          </w:p>
        </w:tc>
        <w:tc>
          <w:tcPr>
            <w:tcW w:w="1134" w:type="dxa"/>
          </w:tcPr>
          <w:p w14:paraId="33A59B06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2578</w:t>
            </w:r>
          </w:p>
        </w:tc>
        <w:tc>
          <w:tcPr>
            <w:tcW w:w="709" w:type="dxa"/>
          </w:tcPr>
          <w:p w14:paraId="733909EC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5.3</w:t>
            </w:r>
          </w:p>
        </w:tc>
      </w:tr>
      <w:tr w:rsidR="0017376B" w:rsidRPr="00461149" w14:paraId="2454AD2A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70BEE862" w14:textId="77777777" w:rsidR="0017376B" w:rsidRPr="00D73E61" w:rsidRDefault="0017376B" w:rsidP="00FA2F7A">
            <w:pPr>
              <w:ind w:left="283"/>
              <w:jc w:val="right"/>
              <w:rPr>
                <w:i/>
                <w:iCs/>
                <w:color w:val="000000"/>
                <w:lang w:val="en-GB"/>
              </w:rPr>
            </w:pPr>
            <w:r w:rsidRPr="00D73E61">
              <w:rPr>
                <w:i/>
                <w:iCs/>
                <w:color w:val="000000"/>
                <w:lang w:val="en-GB"/>
              </w:rPr>
              <w:t>K.</w:t>
            </w:r>
            <w:r>
              <w:rPr>
                <w:i/>
                <w:iCs/>
                <w:color w:val="000000"/>
                <w:lang w:val="en-GB"/>
              </w:rPr>
              <w:t xml:space="preserve"> </w:t>
            </w:r>
            <w:r w:rsidRPr="00D73E61">
              <w:rPr>
                <w:i/>
                <w:iCs/>
                <w:color w:val="000000"/>
                <w:lang w:val="en-GB"/>
              </w:rPr>
              <w:t>pneumoniae</w:t>
            </w:r>
          </w:p>
        </w:tc>
        <w:tc>
          <w:tcPr>
            <w:tcW w:w="1134" w:type="dxa"/>
          </w:tcPr>
          <w:p w14:paraId="66E5E0B9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2405</w:t>
            </w:r>
          </w:p>
        </w:tc>
        <w:tc>
          <w:tcPr>
            <w:tcW w:w="709" w:type="dxa"/>
          </w:tcPr>
          <w:p w14:paraId="1BEB136B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4.9</w:t>
            </w:r>
          </w:p>
        </w:tc>
      </w:tr>
      <w:tr w:rsidR="0017376B" w:rsidRPr="00461149" w14:paraId="2B14AEB3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5F83EE10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cloacae</w:t>
            </w:r>
          </w:p>
        </w:tc>
        <w:tc>
          <w:tcPr>
            <w:tcW w:w="1134" w:type="dxa"/>
          </w:tcPr>
          <w:p w14:paraId="6350B26E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1653</w:t>
            </w:r>
          </w:p>
        </w:tc>
        <w:tc>
          <w:tcPr>
            <w:tcW w:w="709" w:type="dxa"/>
          </w:tcPr>
          <w:p w14:paraId="29D9FEE7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3.4</w:t>
            </w:r>
          </w:p>
        </w:tc>
      </w:tr>
      <w:tr w:rsidR="0017376B" w:rsidRPr="00461149" w14:paraId="39932EEA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537EC724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K</w:t>
            </w:r>
            <w:r w:rsidRPr="00461149">
              <w:rPr>
                <w:i/>
                <w:color w:val="000000"/>
                <w:lang w:val="en-GB"/>
              </w:rPr>
              <w:t>. aerogenes</w:t>
            </w:r>
          </w:p>
        </w:tc>
        <w:tc>
          <w:tcPr>
            <w:tcW w:w="1134" w:type="dxa"/>
          </w:tcPr>
          <w:p w14:paraId="41AAA02C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1205</w:t>
            </w:r>
          </w:p>
        </w:tc>
        <w:tc>
          <w:tcPr>
            <w:tcW w:w="709" w:type="dxa"/>
          </w:tcPr>
          <w:p w14:paraId="49CF87A2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2.5</w:t>
            </w:r>
          </w:p>
        </w:tc>
      </w:tr>
      <w:tr w:rsidR="0017376B" w:rsidRPr="00461149" w14:paraId="5BB35E11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5E7B9169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Proteus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45865125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1130</w:t>
            </w:r>
          </w:p>
        </w:tc>
        <w:tc>
          <w:tcPr>
            <w:tcW w:w="709" w:type="dxa"/>
          </w:tcPr>
          <w:p w14:paraId="4CE3D6C7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2.3</w:t>
            </w:r>
          </w:p>
        </w:tc>
      </w:tr>
      <w:tr w:rsidR="0017376B" w:rsidRPr="00461149" w14:paraId="079A300D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0B2CA0D9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K. </w:t>
            </w:r>
            <w:proofErr w:type="spellStart"/>
            <w:r w:rsidRPr="00461149">
              <w:rPr>
                <w:i/>
                <w:color w:val="000000"/>
                <w:lang w:val="en-GB"/>
              </w:rPr>
              <w:t>oxytoca</w:t>
            </w:r>
            <w:proofErr w:type="spellEnd"/>
          </w:p>
        </w:tc>
        <w:tc>
          <w:tcPr>
            <w:tcW w:w="1134" w:type="dxa"/>
          </w:tcPr>
          <w:p w14:paraId="4A23632C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1115</w:t>
            </w:r>
          </w:p>
        </w:tc>
        <w:tc>
          <w:tcPr>
            <w:tcW w:w="709" w:type="dxa"/>
          </w:tcPr>
          <w:p w14:paraId="4AA06D9E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2.3</w:t>
            </w:r>
          </w:p>
        </w:tc>
      </w:tr>
      <w:tr w:rsidR="0017376B" w:rsidRPr="00461149" w14:paraId="2CD2AE5C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41321A8B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Acinetobacter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3A312CB3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968</w:t>
            </w:r>
          </w:p>
        </w:tc>
        <w:tc>
          <w:tcPr>
            <w:tcW w:w="709" w:type="dxa"/>
          </w:tcPr>
          <w:p w14:paraId="0B8C9F94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2.0</w:t>
            </w:r>
          </w:p>
        </w:tc>
      </w:tr>
      <w:tr w:rsidR="0017376B" w:rsidRPr="00461149" w14:paraId="6DF2EA34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2977BEBD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Serratia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71DD1ECA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860</w:t>
            </w:r>
          </w:p>
        </w:tc>
        <w:tc>
          <w:tcPr>
            <w:tcW w:w="709" w:type="dxa"/>
          </w:tcPr>
          <w:p w14:paraId="4AF32C2F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1.8</w:t>
            </w:r>
          </w:p>
        </w:tc>
      </w:tr>
      <w:tr w:rsidR="0017376B" w:rsidRPr="00461149" w14:paraId="30D13946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1B0FB2A5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Bacteroides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44453131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844</w:t>
            </w:r>
          </w:p>
        </w:tc>
        <w:tc>
          <w:tcPr>
            <w:tcW w:w="709" w:type="dxa"/>
          </w:tcPr>
          <w:p w14:paraId="2D7D090E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1.7</w:t>
            </w:r>
          </w:p>
        </w:tc>
      </w:tr>
      <w:tr w:rsidR="0017376B" w:rsidRPr="00461149" w14:paraId="4C1276D4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658F0E71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proofErr w:type="spellStart"/>
            <w:r w:rsidRPr="00461149">
              <w:rPr>
                <w:i/>
                <w:color w:val="000000"/>
                <w:lang w:val="en-GB"/>
              </w:rPr>
              <w:t>Morganella</w:t>
            </w:r>
            <w:proofErr w:type="spellEnd"/>
            <w:r w:rsidRPr="00461149">
              <w:rPr>
                <w:i/>
                <w:color w:val="000000"/>
                <w:lang w:val="en-GB"/>
              </w:rPr>
              <w:t xml:space="preserve"> </w:t>
            </w:r>
            <w:r>
              <w:rPr>
                <w:iCs/>
                <w:color w:val="000000"/>
                <w:lang w:val="en-GB"/>
              </w:rPr>
              <w:t>s</w:t>
            </w:r>
            <w:r w:rsidRPr="00461149">
              <w:rPr>
                <w:color w:val="000000"/>
                <w:lang w:val="en-GB"/>
              </w:rPr>
              <w:t>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3C29E0FD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469</w:t>
            </w:r>
          </w:p>
        </w:tc>
        <w:tc>
          <w:tcPr>
            <w:tcW w:w="709" w:type="dxa"/>
          </w:tcPr>
          <w:p w14:paraId="2DA91EE1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1.0</w:t>
            </w:r>
          </w:p>
        </w:tc>
      </w:tr>
      <w:tr w:rsidR="0017376B" w:rsidRPr="00461149" w14:paraId="03BEF0C9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7B657BBA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Citrobacter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7F48912B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374</w:t>
            </w:r>
          </w:p>
        </w:tc>
        <w:tc>
          <w:tcPr>
            <w:tcW w:w="709" w:type="dxa"/>
          </w:tcPr>
          <w:p w14:paraId="1DF60F8A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0.8</w:t>
            </w:r>
          </w:p>
        </w:tc>
      </w:tr>
      <w:tr w:rsidR="0017376B" w:rsidRPr="00461149" w14:paraId="3466F8CD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4F2805B7" w14:textId="77777777" w:rsidR="0017376B" w:rsidRPr="00461149" w:rsidRDefault="0017376B" w:rsidP="00FA2F7A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 xml:space="preserve">Stenotrophomonas </w:t>
            </w:r>
            <w:r w:rsidRPr="00461149">
              <w:rPr>
                <w:color w:val="000000"/>
                <w:lang w:val="en-GB"/>
              </w:rPr>
              <w:t>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4D702E3F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262</w:t>
            </w:r>
          </w:p>
        </w:tc>
        <w:tc>
          <w:tcPr>
            <w:tcW w:w="709" w:type="dxa"/>
          </w:tcPr>
          <w:p w14:paraId="63AB0EE3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0.5</w:t>
            </w:r>
          </w:p>
        </w:tc>
      </w:tr>
      <w:tr w:rsidR="0017376B" w:rsidRPr="00461149" w14:paraId="63227E63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6D639E3F" w14:textId="77777777" w:rsidR="0017376B" w:rsidRPr="00461149" w:rsidRDefault="0017376B" w:rsidP="00FA2F7A">
            <w:pPr>
              <w:jc w:val="both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Candida</w:t>
            </w:r>
            <w:r w:rsidRPr="00461149">
              <w:rPr>
                <w:color w:val="000000"/>
                <w:lang w:val="en-GB"/>
              </w:rPr>
              <w:t xml:space="preserve"> spp</w:t>
            </w:r>
            <w:r>
              <w:rPr>
                <w:color w:val="000000"/>
                <w:lang w:val="en-GB"/>
              </w:rPr>
              <w:t>.</w:t>
            </w:r>
          </w:p>
        </w:tc>
        <w:tc>
          <w:tcPr>
            <w:tcW w:w="1134" w:type="dxa"/>
          </w:tcPr>
          <w:p w14:paraId="21BAC58F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2826</w:t>
            </w:r>
          </w:p>
        </w:tc>
        <w:tc>
          <w:tcPr>
            <w:tcW w:w="709" w:type="dxa"/>
          </w:tcPr>
          <w:p w14:paraId="1539BD5E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5.8</w:t>
            </w:r>
          </w:p>
        </w:tc>
      </w:tr>
      <w:tr w:rsidR="0017376B" w:rsidRPr="00461149" w14:paraId="20365842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3D57817E" w14:textId="77777777" w:rsidR="0017376B" w:rsidRPr="004611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C. albicans</w:t>
            </w:r>
          </w:p>
        </w:tc>
        <w:tc>
          <w:tcPr>
            <w:tcW w:w="1134" w:type="dxa"/>
          </w:tcPr>
          <w:p w14:paraId="610F9D55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1587</w:t>
            </w:r>
          </w:p>
        </w:tc>
        <w:tc>
          <w:tcPr>
            <w:tcW w:w="709" w:type="dxa"/>
          </w:tcPr>
          <w:p w14:paraId="2F13A890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3.2</w:t>
            </w:r>
          </w:p>
        </w:tc>
      </w:tr>
      <w:tr w:rsidR="0017376B" w:rsidRPr="00461149" w14:paraId="0204C950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tcBorders>
              <w:bottom w:val="single" w:sz="4" w:space="0" w:color="auto"/>
            </w:tcBorders>
            <w:noWrap/>
          </w:tcPr>
          <w:p w14:paraId="5FE49B70" w14:textId="77777777" w:rsidR="0017376B" w:rsidRPr="00103849" w:rsidRDefault="0017376B" w:rsidP="00FA2F7A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Candida</w:t>
            </w:r>
            <w:r>
              <w:rPr>
                <w:iCs/>
                <w:color w:val="000000"/>
                <w:lang w:val="en-GB"/>
              </w:rPr>
              <w:t xml:space="preserve"> </w:t>
            </w:r>
            <w:r w:rsidRPr="00103849">
              <w:rPr>
                <w:i/>
                <w:color w:val="000000"/>
                <w:lang w:val="en-GB"/>
              </w:rPr>
              <w:t>non-albicans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2C121E" w14:textId="77777777" w:rsidR="0017376B" w:rsidRPr="00461149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00176" w14:textId="77777777" w:rsidR="0017376B" w:rsidRPr="00461149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</w:t>
            </w:r>
          </w:p>
        </w:tc>
      </w:tr>
      <w:tr w:rsidR="0017376B" w:rsidRPr="00461149" w14:paraId="7B32EDF0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ABB372" w14:textId="77777777" w:rsidR="0017376B" w:rsidRPr="00A9234F" w:rsidRDefault="0017376B" w:rsidP="00FA2F7A">
            <w:pPr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Per infectious origin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0FC46E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EF7A48" w14:textId="77777777" w:rsidR="0017376B" w:rsidRDefault="0017376B" w:rsidP="00FA2F7A">
            <w:pPr>
              <w:rPr>
                <w:color w:val="000000"/>
                <w:lang w:val="en-GB"/>
              </w:rPr>
            </w:pPr>
          </w:p>
        </w:tc>
      </w:tr>
      <w:tr w:rsidR="0017376B" w:rsidRPr="00461149" w14:paraId="3A2ACB6C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tcBorders>
              <w:top w:val="single" w:sz="4" w:space="0" w:color="auto"/>
            </w:tcBorders>
            <w:noWrap/>
          </w:tcPr>
          <w:p w14:paraId="6BDF0735" w14:textId="77777777" w:rsidR="0017376B" w:rsidRPr="00A9234F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Central line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247DF4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8618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00E3AB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17.6</w:t>
            </w:r>
          </w:p>
        </w:tc>
      </w:tr>
      <w:tr w:rsidR="0017376B" w:rsidRPr="00461149" w14:paraId="155085BF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16CABFD6" w14:textId="77777777" w:rsidR="0017376B" w:rsidRPr="00A9234F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Urinary tract</w:t>
            </w:r>
          </w:p>
        </w:tc>
        <w:tc>
          <w:tcPr>
            <w:tcW w:w="1134" w:type="dxa"/>
          </w:tcPr>
          <w:p w14:paraId="7B2E20CC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7266</w:t>
            </w:r>
          </w:p>
        </w:tc>
        <w:tc>
          <w:tcPr>
            <w:tcW w:w="709" w:type="dxa"/>
          </w:tcPr>
          <w:p w14:paraId="33AD2AD2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14.8</w:t>
            </w:r>
          </w:p>
        </w:tc>
      </w:tr>
      <w:tr w:rsidR="0017376B" w:rsidRPr="00461149" w14:paraId="26B4FDCB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4D27A07D" w14:textId="77777777" w:rsidR="0017376B" w:rsidRPr="00A9234F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Pulmonary</w:t>
            </w:r>
          </w:p>
        </w:tc>
        <w:tc>
          <w:tcPr>
            <w:tcW w:w="1134" w:type="dxa"/>
          </w:tcPr>
          <w:p w14:paraId="0444CCC8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4711</w:t>
            </w:r>
          </w:p>
        </w:tc>
        <w:tc>
          <w:tcPr>
            <w:tcW w:w="709" w:type="dxa"/>
          </w:tcPr>
          <w:p w14:paraId="5E70C150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9.6</w:t>
            </w:r>
          </w:p>
        </w:tc>
      </w:tr>
      <w:tr w:rsidR="0017376B" w:rsidRPr="00461149" w14:paraId="0B806C00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08792586" w14:textId="77777777" w:rsidR="0017376B" w:rsidRPr="00A9234F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Intra-abdominal</w:t>
            </w:r>
          </w:p>
        </w:tc>
        <w:tc>
          <w:tcPr>
            <w:tcW w:w="1134" w:type="dxa"/>
          </w:tcPr>
          <w:p w14:paraId="2AA131D0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4124</w:t>
            </w:r>
          </w:p>
        </w:tc>
        <w:tc>
          <w:tcPr>
            <w:tcW w:w="709" w:type="dxa"/>
          </w:tcPr>
          <w:p w14:paraId="0500D1E2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8.4</w:t>
            </w:r>
          </w:p>
        </w:tc>
      </w:tr>
      <w:tr w:rsidR="0017376B" w:rsidRPr="00461149" w14:paraId="47D88E04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58BBE582" w14:textId="77777777" w:rsidR="0017376B" w:rsidRPr="00A9234F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Deep surgical site</w:t>
            </w:r>
          </w:p>
        </w:tc>
        <w:tc>
          <w:tcPr>
            <w:tcW w:w="1134" w:type="dxa"/>
          </w:tcPr>
          <w:p w14:paraId="3B609E31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1452</w:t>
            </w:r>
          </w:p>
        </w:tc>
        <w:tc>
          <w:tcPr>
            <w:tcW w:w="709" w:type="dxa"/>
          </w:tcPr>
          <w:p w14:paraId="04A1A235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</w:t>
            </w:r>
          </w:p>
        </w:tc>
      </w:tr>
      <w:tr w:rsidR="0017376B" w:rsidRPr="00461149" w14:paraId="681CA1A4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59CD0339" w14:textId="77777777" w:rsidR="0017376B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Skin and soft tissue</w:t>
            </w:r>
          </w:p>
        </w:tc>
        <w:tc>
          <w:tcPr>
            <w:tcW w:w="1134" w:type="dxa"/>
          </w:tcPr>
          <w:p w14:paraId="29017E65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1387</w:t>
            </w:r>
          </w:p>
        </w:tc>
        <w:tc>
          <w:tcPr>
            <w:tcW w:w="709" w:type="dxa"/>
          </w:tcPr>
          <w:p w14:paraId="395AB69E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</w:t>
            </w:r>
          </w:p>
        </w:tc>
      </w:tr>
      <w:tr w:rsidR="0017376B" w:rsidRPr="00461149" w14:paraId="662A5EC9" w14:textId="77777777" w:rsidTr="00FA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2835" w:type="dxa"/>
            <w:noWrap/>
          </w:tcPr>
          <w:p w14:paraId="2D71ED0B" w14:textId="77777777" w:rsidR="0017376B" w:rsidRDefault="0017376B" w:rsidP="00FA2F7A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Unknown</w:t>
            </w:r>
          </w:p>
        </w:tc>
        <w:tc>
          <w:tcPr>
            <w:tcW w:w="1134" w:type="dxa"/>
          </w:tcPr>
          <w:p w14:paraId="069F7805" w14:textId="77777777" w:rsidR="0017376B" w:rsidRDefault="0017376B" w:rsidP="00FA2F7A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16 713</w:t>
            </w:r>
          </w:p>
        </w:tc>
        <w:tc>
          <w:tcPr>
            <w:tcW w:w="709" w:type="dxa"/>
          </w:tcPr>
          <w:p w14:paraId="2ECC140F" w14:textId="77777777" w:rsidR="0017376B" w:rsidRDefault="0017376B" w:rsidP="00FA2F7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34.1</w:t>
            </w:r>
          </w:p>
        </w:tc>
      </w:tr>
      <w:tr w:rsidR="0017376B" w:rsidRPr="00461149" w14:paraId="7DADB3C9" w14:textId="77777777" w:rsidTr="00FA2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4678" w:type="dxa"/>
            <w:gridSpan w:val="3"/>
            <w:tcBorders>
              <w:top w:val="single" w:sz="4" w:space="0" w:color="auto"/>
            </w:tcBorders>
            <w:noWrap/>
          </w:tcPr>
          <w:p w14:paraId="02832EF9" w14:textId="77777777" w:rsidR="0017376B" w:rsidRPr="00461149" w:rsidRDefault="0017376B" w:rsidP="00FA2F7A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HABSI: Hospital-wide includes hospital-acquired bloodstream infections. </w:t>
            </w:r>
            <w:r w:rsidRPr="00461149">
              <w:rPr>
                <w:color w:val="000000"/>
                <w:lang w:val="en-GB"/>
              </w:rPr>
              <w:t xml:space="preserve">CNS: coagulase-negative </w:t>
            </w:r>
            <w:r>
              <w:rPr>
                <w:iCs/>
                <w:color w:val="000000"/>
                <w:lang w:val="en-GB"/>
              </w:rPr>
              <w:t>s</w:t>
            </w:r>
            <w:r w:rsidRPr="00AA076F">
              <w:rPr>
                <w:iCs/>
                <w:color w:val="000000"/>
                <w:lang w:val="en-GB"/>
              </w:rPr>
              <w:t>taphylococc</w:t>
            </w:r>
            <w:r>
              <w:rPr>
                <w:iCs/>
                <w:color w:val="000000"/>
                <w:lang w:val="en-GB"/>
              </w:rPr>
              <w:t>i</w:t>
            </w:r>
            <w:r w:rsidRPr="00461149"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en-GB"/>
              </w:rPr>
              <w:t xml:space="preserve"> </w:t>
            </w:r>
          </w:p>
        </w:tc>
      </w:tr>
    </w:tbl>
    <w:p w14:paraId="0BD7221B" w14:textId="77777777" w:rsidR="0017376B" w:rsidRDefault="0017376B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  <w:r>
        <w:rPr>
          <w:b/>
        </w:rPr>
        <w:br w:type="page"/>
      </w:r>
    </w:p>
    <w:p w14:paraId="57442892" w14:textId="77777777" w:rsidR="00681864" w:rsidRPr="0001080F" w:rsidRDefault="00681864" w:rsidP="00681864">
      <w:pPr>
        <w:spacing w:line="360" w:lineRule="auto"/>
        <w:rPr>
          <w:b/>
        </w:rPr>
      </w:pPr>
      <w:r>
        <w:rPr>
          <w:b/>
        </w:rPr>
        <w:lastRenderedPageBreak/>
        <w:t xml:space="preserve">Appendix </w:t>
      </w:r>
      <w:r w:rsidR="0017376B">
        <w:rPr>
          <w:b/>
        </w:rPr>
        <w:t>5</w:t>
      </w:r>
      <w:r>
        <w:rPr>
          <w:b/>
        </w:rPr>
        <w:t>. Hospital-acquired bloodstream infections</w:t>
      </w:r>
      <w:r w:rsidR="003857C0">
        <w:rPr>
          <w:b/>
        </w:rPr>
        <w:t xml:space="preserve">, </w:t>
      </w:r>
      <w:r w:rsidR="007D2EB7">
        <w:rPr>
          <w:b/>
        </w:rPr>
        <w:t xml:space="preserve">number of </w:t>
      </w:r>
      <w:r w:rsidR="003857C0">
        <w:rPr>
          <w:b/>
        </w:rPr>
        <w:t>microorganisms</w:t>
      </w:r>
      <w:r>
        <w:rPr>
          <w:b/>
        </w:rPr>
        <w:t xml:space="preserve"> per infectious origin</w:t>
      </w:r>
    </w:p>
    <w:tbl>
      <w:tblPr>
        <w:tblStyle w:val="StripedTable"/>
        <w:tblW w:w="2427" w:type="pct"/>
        <w:tblLayout w:type="fixed"/>
        <w:tblLook w:val="04A0" w:firstRow="1" w:lastRow="0" w:firstColumn="1" w:lastColumn="0" w:noHBand="0" w:noVBand="1"/>
      </w:tblPr>
      <w:tblGrid>
        <w:gridCol w:w="2816"/>
        <w:gridCol w:w="1139"/>
        <w:gridCol w:w="720"/>
      </w:tblGrid>
      <w:tr w:rsidR="00681864" w:rsidRPr="00461149" w14:paraId="32E7D171" w14:textId="77777777" w:rsidTr="003F6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tcW w:w="3077" w:type="dxa"/>
            <w:tcBorders>
              <w:bottom w:val="single" w:sz="4" w:space="0" w:color="auto"/>
            </w:tcBorders>
            <w:noWrap/>
          </w:tcPr>
          <w:p w14:paraId="6CD53CCE" w14:textId="77777777" w:rsidR="00681864" w:rsidRPr="00461149" w:rsidRDefault="00681864" w:rsidP="00B203D0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HABSI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4B8AADE3" w14:textId="77777777" w:rsidR="00681864" w:rsidRPr="00461149" w:rsidRDefault="00681864" w:rsidP="00B203D0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Number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223DAB78" w14:textId="77777777" w:rsidR="00681864" w:rsidRPr="00461149" w:rsidRDefault="00681864" w:rsidP="00B203D0">
            <w:pPr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%</w:t>
            </w:r>
          </w:p>
        </w:tc>
      </w:tr>
      <w:tr w:rsidR="00681864" w:rsidRPr="00461149" w14:paraId="1902BC01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tcBorders>
              <w:top w:val="single" w:sz="4" w:space="0" w:color="auto"/>
            </w:tcBorders>
            <w:noWrap/>
          </w:tcPr>
          <w:p w14:paraId="025AB465" w14:textId="77777777" w:rsidR="00681864" w:rsidRPr="00461149" w:rsidRDefault="003F6F97" w:rsidP="00B203D0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Central line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6CC74016" w14:textId="77777777" w:rsidR="00681864" w:rsidRPr="00461149" w:rsidRDefault="00681864" w:rsidP="00B203D0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32F26B14" w14:textId="77777777" w:rsidR="00681864" w:rsidRPr="00461149" w:rsidRDefault="00681864" w:rsidP="00B203D0">
            <w:pPr>
              <w:rPr>
                <w:color w:val="000000"/>
                <w:lang w:val="en-GB"/>
              </w:rPr>
            </w:pPr>
          </w:p>
        </w:tc>
      </w:tr>
      <w:tr w:rsidR="00681864" w:rsidRPr="00461149" w14:paraId="152B38EE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8F32EC2" w14:textId="77777777" w:rsidR="00681864" w:rsidRPr="00461149" w:rsidRDefault="00681864" w:rsidP="00B203D0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color w:val="000000"/>
                <w:lang w:val="en-GB"/>
              </w:rPr>
              <w:t>CNS</w:t>
            </w:r>
          </w:p>
        </w:tc>
        <w:tc>
          <w:tcPr>
            <w:tcW w:w="1231" w:type="dxa"/>
          </w:tcPr>
          <w:p w14:paraId="44558B63" w14:textId="77777777" w:rsidR="00681864" w:rsidRPr="00461149" w:rsidRDefault="004B61A7" w:rsidP="00B203D0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3986</w:t>
            </w:r>
          </w:p>
        </w:tc>
        <w:tc>
          <w:tcPr>
            <w:tcW w:w="769" w:type="dxa"/>
          </w:tcPr>
          <w:p w14:paraId="20D136AC" w14:textId="77777777" w:rsidR="00681864" w:rsidRPr="00461149" w:rsidRDefault="004B61A7" w:rsidP="00B203D0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47.2</w:t>
            </w:r>
          </w:p>
        </w:tc>
      </w:tr>
      <w:tr w:rsidR="004B61A7" w:rsidRPr="00461149" w14:paraId="2D5902E5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3077" w:type="dxa"/>
            <w:noWrap/>
          </w:tcPr>
          <w:p w14:paraId="3633D123" w14:textId="77777777" w:rsidR="004B61A7" w:rsidRPr="004B61A7" w:rsidRDefault="004B61A7" w:rsidP="004B61A7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Gram-negative</w:t>
            </w:r>
            <w:r w:rsidR="001622E5">
              <w:rPr>
                <w:iCs/>
                <w:color w:val="000000"/>
                <w:lang w:val="en-GB"/>
              </w:rPr>
              <w:t xml:space="preserve"> bacteria</w:t>
            </w:r>
          </w:p>
        </w:tc>
        <w:tc>
          <w:tcPr>
            <w:tcW w:w="1231" w:type="dxa"/>
          </w:tcPr>
          <w:p w14:paraId="7CEAFAE9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1745</w:t>
            </w:r>
          </w:p>
        </w:tc>
        <w:tc>
          <w:tcPr>
            <w:tcW w:w="769" w:type="dxa"/>
          </w:tcPr>
          <w:p w14:paraId="5DA8BC9F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20.2</w:t>
            </w:r>
          </w:p>
        </w:tc>
      </w:tr>
      <w:tr w:rsidR="004B61A7" w:rsidRPr="00461149" w14:paraId="188D5D2F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4AD0CA95" w14:textId="77777777" w:rsidR="004B61A7" w:rsidRPr="00461149" w:rsidRDefault="004B61A7" w:rsidP="004B61A7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231" w:type="dxa"/>
          </w:tcPr>
          <w:p w14:paraId="46F8833B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1242</w:t>
            </w:r>
          </w:p>
        </w:tc>
        <w:tc>
          <w:tcPr>
            <w:tcW w:w="769" w:type="dxa"/>
          </w:tcPr>
          <w:p w14:paraId="46CF44C0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14.7</w:t>
            </w:r>
          </w:p>
        </w:tc>
      </w:tr>
      <w:tr w:rsidR="004B61A7" w:rsidRPr="00461149" w14:paraId="3F231436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23C88FA" w14:textId="77777777" w:rsidR="004B61A7" w:rsidRPr="004B61A7" w:rsidRDefault="004B61A7" w:rsidP="004B61A7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 xml:space="preserve">Candida </w:t>
            </w:r>
            <w:r>
              <w:rPr>
                <w:iCs/>
                <w:color w:val="000000"/>
                <w:lang w:val="en-GB"/>
              </w:rPr>
              <w:t>spp.</w:t>
            </w:r>
          </w:p>
        </w:tc>
        <w:tc>
          <w:tcPr>
            <w:tcW w:w="1231" w:type="dxa"/>
          </w:tcPr>
          <w:p w14:paraId="675F9B6F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918</w:t>
            </w:r>
          </w:p>
        </w:tc>
        <w:tc>
          <w:tcPr>
            <w:tcW w:w="769" w:type="dxa"/>
          </w:tcPr>
          <w:p w14:paraId="59DAEF81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10.8</w:t>
            </w:r>
          </w:p>
        </w:tc>
      </w:tr>
      <w:tr w:rsidR="004B61A7" w:rsidRPr="00461149" w14:paraId="1747EADF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3FCB281F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Urinary tract</w:t>
            </w:r>
          </w:p>
        </w:tc>
        <w:tc>
          <w:tcPr>
            <w:tcW w:w="1231" w:type="dxa"/>
          </w:tcPr>
          <w:p w14:paraId="6FCEF231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</w:tcPr>
          <w:p w14:paraId="712E4632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</w:p>
        </w:tc>
      </w:tr>
      <w:tr w:rsidR="004B61A7" w:rsidRPr="00461149" w14:paraId="1BA19644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3D0A267B" w14:textId="77777777" w:rsidR="004B61A7" w:rsidRPr="00461149" w:rsidRDefault="004B61A7" w:rsidP="004B61A7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coli</w:t>
            </w:r>
          </w:p>
        </w:tc>
        <w:tc>
          <w:tcPr>
            <w:tcW w:w="1231" w:type="dxa"/>
          </w:tcPr>
          <w:p w14:paraId="497322BC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3465</w:t>
            </w:r>
          </w:p>
        </w:tc>
        <w:tc>
          <w:tcPr>
            <w:tcW w:w="769" w:type="dxa"/>
          </w:tcPr>
          <w:p w14:paraId="61086F45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48.3</w:t>
            </w:r>
          </w:p>
        </w:tc>
      </w:tr>
      <w:tr w:rsidR="004B61A7" w:rsidRPr="00461149" w14:paraId="34317482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210E6D45" w14:textId="77777777" w:rsidR="004B61A7" w:rsidRPr="004B61A7" w:rsidRDefault="004B61A7" w:rsidP="004B61A7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Klebsiella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4182BD3E" w14:textId="77777777" w:rsidR="004B61A7" w:rsidRPr="00461149" w:rsidRDefault="00AE2758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891</w:t>
            </w:r>
          </w:p>
        </w:tc>
        <w:tc>
          <w:tcPr>
            <w:tcW w:w="769" w:type="dxa"/>
          </w:tcPr>
          <w:p w14:paraId="4FA2D0CF" w14:textId="77777777" w:rsidR="004B61A7" w:rsidRPr="00461149" w:rsidRDefault="00AE2758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12.4</w:t>
            </w:r>
          </w:p>
        </w:tc>
      </w:tr>
      <w:tr w:rsidR="004B61A7" w:rsidRPr="00461149" w14:paraId="5A7A65CC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84F7ADD" w14:textId="77777777" w:rsidR="004B61A7" w:rsidRPr="004B61A7" w:rsidRDefault="004B61A7" w:rsidP="004B61A7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 xml:space="preserve">Other </w:t>
            </w:r>
            <w:proofErr w:type="spellStart"/>
            <w:r>
              <w:rPr>
                <w:iCs/>
                <w:color w:val="000000"/>
                <w:lang w:val="en-GB"/>
              </w:rPr>
              <w:t>Enterobacterales</w:t>
            </w:r>
            <w:proofErr w:type="spellEnd"/>
          </w:p>
        </w:tc>
        <w:tc>
          <w:tcPr>
            <w:tcW w:w="1231" w:type="dxa"/>
          </w:tcPr>
          <w:p w14:paraId="4C294FBE" w14:textId="77777777" w:rsidR="004B61A7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715</w:t>
            </w:r>
          </w:p>
        </w:tc>
        <w:tc>
          <w:tcPr>
            <w:tcW w:w="769" w:type="dxa"/>
          </w:tcPr>
          <w:p w14:paraId="67E51598" w14:textId="77777777" w:rsidR="004B61A7" w:rsidRDefault="009A6B91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8.1</w:t>
            </w:r>
          </w:p>
        </w:tc>
      </w:tr>
      <w:tr w:rsidR="004B61A7" w:rsidRPr="00461149" w14:paraId="39C990F5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24A02D6F" w14:textId="77777777" w:rsidR="004B61A7" w:rsidRPr="00461149" w:rsidRDefault="004B61A7" w:rsidP="004B61A7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P. aeruginosa</w:t>
            </w:r>
          </w:p>
        </w:tc>
        <w:tc>
          <w:tcPr>
            <w:tcW w:w="1231" w:type="dxa"/>
          </w:tcPr>
          <w:p w14:paraId="2FFBCB80" w14:textId="77777777" w:rsidR="004B61A7" w:rsidRDefault="004B61A7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465</w:t>
            </w:r>
          </w:p>
        </w:tc>
        <w:tc>
          <w:tcPr>
            <w:tcW w:w="769" w:type="dxa"/>
          </w:tcPr>
          <w:p w14:paraId="69BAAE9C" w14:textId="77777777" w:rsidR="004B61A7" w:rsidRDefault="004B61A7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6.5</w:t>
            </w:r>
          </w:p>
        </w:tc>
      </w:tr>
      <w:tr w:rsidR="00B01070" w:rsidRPr="00461149" w14:paraId="29FA2580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4CACB44" w14:textId="77777777" w:rsidR="00B01070" w:rsidRPr="00461149" w:rsidRDefault="00B01070" w:rsidP="004B61A7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231" w:type="dxa"/>
          </w:tcPr>
          <w:p w14:paraId="72E4B562" w14:textId="77777777" w:rsidR="00B01070" w:rsidRDefault="00DF4326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</w:t>
            </w:r>
            <w:r w:rsidR="00B01070">
              <w:rPr>
                <w:color w:val="000000"/>
                <w:lang w:val="en-GB"/>
              </w:rPr>
              <w:t>01</w:t>
            </w:r>
          </w:p>
        </w:tc>
        <w:tc>
          <w:tcPr>
            <w:tcW w:w="769" w:type="dxa"/>
          </w:tcPr>
          <w:p w14:paraId="4B0F6DF5" w14:textId="77777777" w:rsidR="00B01070" w:rsidRDefault="00B01070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</w:t>
            </w:r>
          </w:p>
        </w:tc>
      </w:tr>
      <w:tr w:rsidR="004B61A7" w:rsidRPr="00461149" w14:paraId="72F87495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7C7D5CA3" w14:textId="77777777" w:rsidR="004B61A7" w:rsidRPr="00461149" w:rsidRDefault="004B61A7" w:rsidP="004B61A7">
            <w:pPr>
              <w:ind w:left="283"/>
              <w:jc w:val="right"/>
              <w:rPr>
                <w:color w:val="000000"/>
                <w:lang w:val="en-GB"/>
              </w:rPr>
            </w:pPr>
            <w:r w:rsidRPr="00461149">
              <w:rPr>
                <w:i/>
                <w:color w:val="000000"/>
                <w:lang w:val="en-GB"/>
              </w:rPr>
              <w:t>E. cloacae</w:t>
            </w:r>
          </w:p>
        </w:tc>
        <w:tc>
          <w:tcPr>
            <w:tcW w:w="1231" w:type="dxa"/>
          </w:tcPr>
          <w:p w14:paraId="7057E1CE" w14:textId="77777777" w:rsidR="004B61A7" w:rsidRPr="00461149" w:rsidRDefault="00AE2758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211</w:t>
            </w:r>
          </w:p>
        </w:tc>
        <w:tc>
          <w:tcPr>
            <w:tcW w:w="769" w:type="dxa"/>
          </w:tcPr>
          <w:p w14:paraId="767EA121" w14:textId="77777777" w:rsidR="004B61A7" w:rsidRPr="00461149" w:rsidRDefault="00AE2758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</w:t>
            </w:r>
          </w:p>
        </w:tc>
      </w:tr>
      <w:tr w:rsidR="004B61A7" w:rsidRPr="00461149" w14:paraId="57531983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409D733D" w14:textId="77777777" w:rsidR="004B61A7" w:rsidRPr="003F6F97" w:rsidRDefault="004B61A7" w:rsidP="004B61A7">
            <w:pPr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Pulmonary</w:t>
            </w:r>
          </w:p>
        </w:tc>
        <w:tc>
          <w:tcPr>
            <w:tcW w:w="1231" w:type="dxa"/>
          </w:tcPr>
          <w:p w14:paraId="735AAF6B" w14:textId="77777777" w:rsidR="004B61A7" w:rsidRPr="00461149" w:rsidRDefault="004B61A7" w:rsidP="004B61A7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</w:tcPr>
          <w:p w14:paraId="790887EA" w14:textId="77777777" w:rsidR="004B61A7" w:rsidRPr="00461149" w:rsidRDefault="004B61A7" w:rsidP="004B61A7">
            <w:pPr>
              <w:rPr>
                <w:color w:val="000000"/>
                <w:lang w:val="en-GB"/>
              </w:rPr>
            </w:pPr>
          </w:p>
        </w:tc>
      </w:tr>
      <w:tr w:rsidR="004B61A7" w:rsidRPr="00461149" w14:paraId="21F617B4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2A069A05" w14:textId="77777777" w:rsidR="004B61A7" w:rsidRPr="00461149" w:rsidRDefault="009A6B91" w:rsidP="004B61A7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231" w:type="dxa"/>
          </w:tcPr>
          <w:p w14:paraId="5A4F8D14" w14:textId="77777777" w:rsidR="004B61A7" w:rsidRPr="00461149" w:rsidRDefault="009A6B91" w:rsidP="004B61A7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683</w:t>
            </w:r>
          </w:p>
        </w:tc>
        <w:tc>
          <w:tcPr>
            <w:tcW w:w="769" w:type="dxa"/>
          </w:tcPr>
          <w:p w14:paraId="38E41B3F" w14:textId="77777777" w:rsidR="004B61A7" w:rsidRPr="00461149" w:rsidRDefault="007A513D" w:rsidP="004B61A7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15.1</w:t>
            </w:r>
          </w:p>
        </w:tc>
      </w:tr>
      <w:tr w:rsidR="009A6B91" w:rsidRPr="00461149" w14:paraId="2FE82E54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78F829BB" w14:textId="77777777" w:rsidR="009A6B91" w:rsidRPr="00461149" w:rsidRDefault="009A6B91" w:rsidP="009A6B91">
            <w:pPr>
              <w:ind w:left="283"/>
              <w:jc w:val="right"/>
              <w:rPr>
                <w:color w:val="000000"/>
                <w:lang w:val="en-GB"/>
              </w:rPr>
            </w:pPr>
            <w:r w:rsidRPr="009A6B91">
              <w:rPr>
                <w:i/>
                <w:iCs/>
                <w:color w:val="000000"/>
                <w:lang w:val="en-GB"/>
              </w:rPr>
              <w:t>Klebsiella</w:t>
            </w:r>
            <w:r>
              <w:rPr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6365E6DD" w14:textId="77777777" w:rsidR="009A6B91" w:rsidRPr="00461149" w:rsidRDefault="009A6B91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676</w:t>
            </w:r>
          </w:p>
        </w:tc>
        <w:tc>
          <w:tcPr>
            <w:tcW w:w="769" w:type="dxa"/>
          </w:tcPr>
          <w:p w14:paraId="575696E8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14.9</w:t>
            </w:r>
          </w:p>
        </w:tc>
      </w:tr>
      <w:tr w:rsidR="009A6B91" w:rsidRPr="00461149" w14:paraId="66302BAC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79462381" w14:textId="77777777" w:rsidR="009A6B91" w:rsidRPr="009A6B91" w:rsidRDefault="009A6B91" w:rsidP="009A6B91">
            <w:pPr>
              <w:ind w:left="283"/>
              <w:jc w:val="right"/>
              <w:rPr>
                <w:i/>
                <w:iCs/>
                <w:color w:val="000000"/>
                <w:lang w:val="en-GB"/>
              </w:rPr>
            </w:pPr>
            <w:r w:rsidRPr="009A6B91">
              <w:rPr>
                <w:i/>
                <w:iCs/>
                <w:color w:val="000000"/>
                <w:lang w:val="en-GB"/>
              </w:rPr>
              <w:t>P. aeruginosa</w:t>
            </w:r>
          </w:p>
        </w:tc>
        <w:tc>
          <w:tcPr>
            <w:tcW w:w="1231" w:type="dxa"/>
          </w:tcPr>
          <w:p w14:paraId="12CD07A6" w14:textId="77777777" w:rsidR="009A6B91" w:rsidRPr="00461149" w:rsidRDefault="009A6B91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597</w:t>
            </w:r>
          </w:p>
        </w:tc>
        <w:tc>
          <w:tcPr>
            <w:tcW w:w="769" w:type="dxa"/>
          </w:tcPr>
          <w:p w14:paraId="5EAB217A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13.2</w:t>
            </w:r>
          </w:p>
        </w:tc>
      </w:tr>
      <w:tr w:rsidR="009A6B91" w:rsidRPr="00461149" w14:paraId="0EB3BCCC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10843F8" w14:textId="77777777" w:rsidR="009A6B91" w:rsidRPr="009A6B91" w:rsidRDefault="009A6B91" w:rsidP="009A6B91">
            <w:pPr>
              <w:ind w:left="283"/>
              <w:jc w:val="right"/>
              <w:rPr>
                <w:i/>
                <w:iCs/>
                <w:color w:val="000000"/>
                <w:lang w:val="en-GB"/>
              </w:rPr>
            </w:pPr>
            <w:r w:rsidRPr="009A6B91">
              <w:rPr>
                <w:i/>
                <w:iCs/>
                <w:color w:val="000000"/>
                <w:lang w:val="en-GB"/>
              </w:rPr>
              <w:t>E. coli</w:t>
            </w:r>
          </w:p>
        </w:tc>
        <w:tc>
          <w:tcPr>
            <w:tcW w:w="1231" w:type="dxa"/>
          </w:tcPr>
          <w:p w14:paraId="15245CCF" w14:textId="77777777" w:rsidR="009A6B91" w:rsidRPr="00461149" w:rsidRDefault="009A6B91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537</w:t>
            </w:r>
          </w:p>
        </w:tc>
        <w:tc>
          <w:tcPr>
            <w:tcW w:w="769" w:type="dxa"/>
          </w:tcPr>
          <w:p w14:paraId="2F093144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11.8</w:t>
            </w:r>
          </w:p>
        </w:tc>
      </w:tr>
      <w:tr w:rsidR="009A6B91" w:rsidRPr="00461149" w14:paraId="7D73DD72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205E8F57" w14:textId="77777777" w:rsidR="009A6B91" w:rsidRPr="00B76415" w:rsidRDefault="00B76415" w:rsidP="009A6B91">
            <w:pPr>
              <w:ind w:left="283"/>
              <w:jc w:val="right"/>
              <w:rPr>
                <w:i/>
                <w:iCs/>
                <w:color w:val="000000"/>
                <w:lang w:val="en-GB"/>
              </w:rPr>
            </w:pPr>
            <w:r w:rsidRPr="00B76415">
              <w:rPr>
                <w:i/>
                <w:iCs/>
                <w:color w:val="000000"/>
                <w:lang w:val="en-GB"/>
              </w:rPr>
              <w:t>S. pneumoniae</w:t>
            </w:r>
          </w:p>
        </w:tc>
        <w:tc>
          <w:tcPr>
            <w:tcW w:w="1231" w:type="dxa"/>
          </w:tcPr>
          <w:p w14:paraId="66ADBD0B" w14:textId="77777777" w:rsidR="009A6B91" w:rsidRPr="00461149" w:rsidRDefault="00B7641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378</w:t>
            </w:r>
          </w:p>
        </w:tc>
        <w:tc>
          <w:tcPr>
            <w:tcW w:w="769" w:type="dxa"/>
          </w:tcPr>
          <w:p w14:paraId="323A30EE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8.3</w:t>
            </w:r>
          </w:p>
        </w:tc>
      </w:tr>
      <w:tr w:rsidR="009A6B91" w:rsidRPr="00461149" w14:paraId="240F8EE9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1034716" w14:textId="77777777" w:rsidR="009A6B91" w:rsidRPr="00461149" w:rsidRDefault="009A6B91" w:rsidP="009A6B91">
            <w:pPr>
              <w:ind w:left="283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Other </w:t>
            </w:r>
            <w:proofErr w:type="spellStart"/>
            <w:r>
              <w:rPr>
                <w:color w:val="000000"/>
                <w:lang w:val="en-GB"/>
              </w:rPr>
              <w:t>Enterobacterales</w:t>
            </w:r>
            <w:proofErr w:type="spellEnd"/>
          </w:p>
        </w:tc>
        <w:tc>
          <w:tcPr>
            <w:tcW w:w="1231" w:type="dxa"/>
          </w:tcPr>
          <w:p w14:paraId="55CB0DC1" w14:textId="77777777" w:rsidR="009A6B91" w:rsidRPr="00461149" w:rsidRDefault="009A6B91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349</w:t>
            </w:r>
          </w:p>
        </w:tc>
        <w:tc>
          <w:tcPr>
            <w:tcW w:w="769" w:type="dxa"/>
          </w:tcPr>
          <w:p w14:paraId="69DB7B21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7.7</w:t>
            </w:r>
          </w:p>
        </w:tc>
      </w:tr>
      <w:tr w:rsidR="009A6B91" w:rsidRPr="00461149" w14:paraId="604458AA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3EA4608" w14:textId="77777777" w:rsidR="009A6B91" w:rsidRPr="003F6F97" w:rsidRDefault="009A6B91" w:rsidP="009A6B91">
            <w:pPr>
              <w:jc w:val="both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Intra-abdominal</w:t>
            </w:r>
          </w:p>
        </w:tc>
        <w:tc>
          <w:tcPr>
            <w:tcW w:w="1231" w:type="dxa"/>
          </w:tcPr>
          <w:p w14:paraId="4D8D5C06" w14:textId="77777777" w:rsidR="009A6B91" w:rsidRPr="00461149" w:rsidRDefault="009A6B91" w:rsidP="009A6B91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</w:tcPr>
          <w:p w14:paraId="43103815" w14:textId="77777777" w:rsidR="009A6B91" w:rsidRPr="00461149" w:rsidRDefault="009A6B91" w:rsidP="009A6B91">
            <w:pPr>
              <w:rPr>
                <w:color w:val="000000"/>
                <w:lang w:val="en-GB"/>
              </w:rPr>
            </w:pPr>
          </w:p>
        </w:tc>
      </w:tr>
      <w:tr w:rsidR="009A6B91" w:rsidRPr="00461149" w14:paraId="0C5E7593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390A6632" w14:textId="77777777" w:rsidR="009A6B91" w:rsidRPr="003F6F97" w:rsidRDefault="007A513D" w:rsidP="009A6B91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E. coli</w:t>
            </w:r>
          </w:p>
        </w:tc>
        <w:tc>
          <w:tcPr>
            <w:tcW w:w="1231" w:type="dxa"/>
          </w:tcPr>
          <w:p w14:paraId="5EFF7057" w14:textId="77777777" w:rsidR="009A6B91" w:rsidRPr="00461149" w:rsidRDefault="007A513D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1200</w:t>
            </w:r>
          </w:p>
        </w:tc>
        <w:tc>
          <w:tcPr>
            <w:tcW w:w="769" w:type="dxa"/>
          </w:tcPr>
          <w:p w14:paraId="0885B431" w14:textId="77777777" w:rsidR="009A6B91" w:rsidRPr="00461149" w:rsidRDefault="007A513D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31.2</w:t>
            </w:r>
          </w:p>
        </w:tc>
      </w:tr>
      <w:tr w:rsidR="009A6B91" w:rsidRPr="00461149" w14:paraId="195963A9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ED13D9B" w14:textId="77777777" w:rsidR="009A6B91" w:rsidRPr="00BD46DB" w:rsidRDefault="00BD46DB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 w:rsidRPr="00BD46DB">
              <w:rPr>
                <w:i/>
                <w:color w:val="000000"/>
                <w:lang w:val="en-GB"/>
              </w:rPr>
              <w:t>Enterococcus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5C35156F" w14:textId="77777777" w:rsidR="009A6B91" w:rsidRPr="00461149" w:rsidRDefault="00BD46DB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608</w:t>
            </w:r>
          </w:p>
        </w:tc>
        <w:tc>
          <w:tcPr>
            <w:tcW w:w="769" w:type="dxa"/>
          </w:tcPr>
          <w:p w14:paraId="7B843104" w14:textId="77777777" w:rsidR="009A6B91" w:rsidRPr="00461149" w:rsidRDefault="00BD46DB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15.8</w:t>
            </w:r>
          </w:p>
        </w:tc>
      </w:tr>
      <w:tr w:rsidR="00B01070" w:rsidRPr="00461149" w14:paraId="2DC95F4C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55111F4" w14:textId="77777777" w:rsidR="009A6B91" w:rsidRPr="00BD46DB" w:rsidRDefault="00BD46DB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 xml:space="preserve">Klebsiella </w:t>
            </w:r>
            <w:r>
              <w:rPr>
                <w:iCs/>
                <w:color w:val="000000"/>
                <w:lang w:val="en-GB"/>
              </w:rPr>
              <w:t>spp.</w:t>
            </w:r>
          </w:p>
        </w:tc>
        <w:tc>
          <w:tcPr>
            <w:tcW w:w="1231" w:type="dxa"/>
          </w:tcPr>
          <w:p w14:paraId="622A8306" w14:textId="77777777" w:rsidR="009A6B91" w:rsidRDefault="00BD46DB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481</w:t>
            </w:r>
          </w:p>
        </w:tc>
        <w:tc>
          <w:tcPr>
            <w:tcW w:w="769" w:type="dxa"/>
          </w:tcPr>
          <w:p w14:paraId="13F15EAA" w14:textId="77777777" w:rsidR="009A6B91" w:rsidRDefault="00BD46DB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12.5</w:t>
            </w:r>
          </w:p>
        </w:tc>
      </w:tr>
      <w:tr w:rsidR="00242986" w:rsidRPr="00461149" w14:paraId="52D5D917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2159C1A6" w14:textId="77777777" w:rsidR="00242986" w:rsidRDefault="00242986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 w:rsidRPr="00242986">
              <w:rPr>
                <w:i/>
                <w:color w:val="000000"/>
                <w:lang w:val="en-GB"/>
              </w:rPr>
              <w:t>Bacteroides</w:t>
            </w:r>
            <w:r>
              <w:rPr>
                <w:iCs/>
                <w:color w:val="000000"/>
                <w:lang w:val="en-GB"/>
              </w:rPr>
              <w:t xml:space="preserve"> spp. </w:t>
            </w:r>
          </w:p>
        </w:tc>
        <w:tc>
          <w:tcPr>
            <w:tcW w:w="1231" w:type="dxa"/>
          </w:tcPr>
          <w:p w14:paraId="0B66CB62" w14:textId="77777777" w:rsidR="00242986" w:rsidRDefault="00242986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284</w:t>
            </w:r>
          </w:p>
        </w:tc>
        <w:tc>
          <w:tcPr>
            <w:tcW w:w="769" w:type="dxa"/>
          </w:tcPr>
          <w:p w14:paraId="01952C6C" w14:textId="77777777" w:rsidR="00242986" w:rsidRDefault="00242986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7.4</w:t>
            </w:r>
          </w:p>
        </w:tc>
      </w:tr>
      <w:tr w:rsidR="00242986" w:rsidRPr="00461149" w14:paraId="06436BC1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70F6277D" w14:textId="77777777" w:rsidR="009A6B91" w:rsidRPr="00D55B68" w:rsidRDefault="00D55B68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 xml:space="preserve">Other </w:t>
            </w:r>
            <w:proofErr w:type="spellStart"/>
            <w:r>
              <w:rPr>
                <w:iCs/>
                <w:color w:val="000000"/>
                <w:lang w:val="en-GB"/>
              </w:rPr>
              <w:t>Enterobacterales</w:t>
            </w:r>
            <w:proofErr w:type="spellEnd"/>
          </w:p>
        </w:tc>
        <w:tc>
          <w:tcPr>
            <w:tcW w:w="1231" w:type="dxa"/>
          </w:tcPr>
          <w:p w14:paraId="2E55CD70" w14:textId="77777777" w:rsidR="009A6B91" w:rsidRDefault="00D55B68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201</w:t>
            </w:r>
          </w:p>
        </w:tc>
        <w:tc>
          <w:tcPr>
            <w:tcW w:w="769" w:type="dxa"/>
          </w:tcPr>
          <w:p w14:paraId="2CB7123D" w14:textId="77777777" w:rsidR="009A6B91" w:rsidRDefault="00D55B68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5.2</w:t>
            </w:r>
          </w:p>
        </w:tc>
      </w:tr>
      <w:tr w:rsidR="00242986" w:rsidRPr="00461149" w14:paraId="26512C97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3898A6D" w14:textId="77777777" w:rsidR="009A6B91" w:rsidRPr="00BD46DB" w:rsidRDefault="00BD46DB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Candida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2E906418" w14:textId="77777777" w:rsidR="009A6B91" w:rsidRDefault="00BD46DB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194</w:t>
            </w:r>
          </w:p>
        </w:tc>
        <w:tc>
          <w:tcPr>
            <w:tcW w:w="769" w:type="dxa"/>
          </w:tcPr>
          <w:p w14:paraId="745CC728" w14:textId="77777777" w:rsidR="009A6B91" w:rsidRDefault="00D55B68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5.0</w:t>
            </w:r>
          </w:p>
        </w:tc>
      </w:tr>
      <w:tr w:rsidR="00242986" w:rsidRPr="00461149" w14:paraId="470D830C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328556E" w14:textId="77777777" w:rsidR="009A6B91" w:rsidRPr="003F6F97" w:rsidRDefault="00BD46DB" w:rsidP="009A6B91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P. aeruginosa</w:t>
            </w:r>
          </w:p>
        </w:tc>
        <w:tc>
          <w:tcPr>
            <w:tcW w:w="1231" w:type="dxa"/>
          </w:tcPr>
          <w:p w14:paraId="0D6215C3" w14:textId="77777777" w:rsidR="009A6B91" w:rsidRDefault="00BD46DB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176</w:t>
            </w:r>
          </w:p>
        </w:tc>
        <w:tc>
          <w:tcPr>
            <w:tcW w:w="769" w:type="dxa"/>
          </w:tcPr>
          <w:p w14:paraId="06E9812E" w14:textId="77777777" w:rsidR="009A6B91" w:rsidRDefault="00D55B68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4.6</w:t>
            </w:r>
          </w:p>
        </w:tc>
      </w:tr>
      <w:tr w:rsidR="00242986" w:rsidRPr="00461149" w14:paraId="14B8ADE5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C694C2F" w14:textId="77777777" w:rsidR="009A6B91" w:rsidRPr="00A9234F" w:rsidRDefault="009A6B91" w:rsidP="009A6B91">
            <w:pPr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Deep surgical site</w:t>
            </w:r>
          </w:p>
        </w:tc>
        <w:tc>
          <w:tcPr>
            <w:tcW w:w="1231" w:type="dxa"/>
          </w:tcPr>
          <w:p w14:paraId="1E9C8556" w14:textId="77777777" w:rsidR="009A6B91" w:rsidRDefault="009A6B91" w:rsidP="009A6B91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</w:tcPr>
          <w:p w14:paraId="75B3FB32" w14:textId="77777777" w:rsidR="009A6B91" w:rsidRDefault="009A6B91" w:rsidP="009A6B91">
            <w:pPr>
              <w:rPr>
                <w:color w:val="000000"/>
                <w:lang w:val="en-GB"/>
              </w:rPr>
            </w:pPr>
          </w:p>
        </w:tc>
      </w:tr>
      <w:tr w:rsidR="00242986" w:rsidRPr="00461149" w14:paraId="38992E6E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BF3E011" w14:textId="77777777" w:rsidR="009A6B91" w:rsidRPr="001622E5" w:rsidRDefault="001622E5" w:rsidP="009A6B91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231" w:type="dxa"/>
          </w:tcPr>
          <w:p w14:paraId="25E7B6A8" w14:textId="77777777" w:rsidR="009A6B91" w:rsidRDefault="001622E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286</w:t>
            </w:r>
          </w:p>
        </w:tc>
        <w:tc>
          <w:tcPr>
            <w:tcW w:w="769" w:type="dxa"/>
          </w:tcPr>
          <w:p w14:paraId="455713A3" w14:textId="77777777" w:rsidR="009A6B91" w:rsidRDefault="001622E5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20.5</w:t>
            </w:r>
          </w:p>
        </w:tc>
      </w:tr>
      <w:tr w:rsidR="009A6B91" w:rsidRPr="00461149" w14:paraId="30CEBEF9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6797001C" w14:textId="77777777" w:rsidR="009A6B91" w:rsidRPr="001622E5" w:rsidRDefault="001622E5" w:rsidP="009A6B91">
            <w:pPr>
              <w:ind w:left="283"/>
              <w:jc w:val="right"/>
              <w:rPr>
                <w:i/>
                <w:color w:val="000000"/>
                <w:lang w:val="en-GB"/>
              </w:rPr>
            </w:pPr>
            <w:r w:rsidRPr="001622E5">
              <w:rPr>
                <w:i/>
                <w:color w:val="000000"/>
                <w:lang w:val="en-GB"/>
              </w:rPr>
              <w:t>E. coli</w:t>
            </w:r>
          </w:p>
        </w:tc>
        <w:tc>
          <w:tcPr>
            <w:tcW w:w="1231" w:type="dxa"/>
          </w:tcPr>
          <w:p w14:paraId="26EC1D52" w14:textId="77777777" w:rsidR="009A6B91" w:rsidRDefault="001622E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236</w:t>
            </w:r>
          </w:p>
        </w:tc>
        <w:tc>
          <w:tcPr>
            <w:tcW w:w="769" w:type="dxa"/>
          </w:tcPr>
          <w:p w14:paraId="4B2DA2E3" w14:textId="77777777" w:rsidR="009A6B91" w:rsidRDefault="001622E5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16.9</w:t>
            </w:r>
          </w:p>
        </w:tc>
      </w:tr>
      <w:tr w:rsidR="009A6B91" w:rsidRPr="00461149" w14:paraId="73EB0837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6812E80" w14:textId="77777777" w:rsidR="009A6B91" w:rsidRDefault="001622E5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CNS</w:t>
            </w:r>
          </w:p>
        </w:tc>
        <w:tc>
          <w:tcPr>
            <w:tcW w:w="1231" w:type="dxa"/>
          </w:tcPr>
          <w:p w14:paraId="24E1A863" w14:textId="77777777" w:rsidR="009A6B91" w:rsidRDefault="001622E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154</w:t>
            </w:r>
          </w:p>
        </w:tc>
        <w:tc>
          <w:tcPr>
            <w:tcW w:w="769" w:type="dxa"/>
          </w:tcPr>
          <w:p w14:paraId="0005A72D" w14:textId="77777777" w:rsidR="009A6B91" w:rsidRDefault="001622E5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11.0</w:t>
            </w:r>
          </w:p>
        </w:tc>
      </w:tr>
      <w:tr w:rsidR="009A6B91" w:rsidRPr="00461149" w14:paraId="39DAE742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AA71FE5" w14:textId="77777777" w:rsidR="009A6B91" w:rsidRDefault="001622E5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 w:rsidRPr="001622E5">
              <w:rPr>
                <w:i/>
                <w:color w:val="000000"/>
                <w:lang w:val="en-GB"/>
              </w:rPr>
              <w:t>Enterococcus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187F4379" w14:textId="77777777" w:rsidR="009A6B91" w:rsidRDefault="001622E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146</w:t>
            </w:r>
          </w:p>
        </w:tc>
        <w:tc>
          <w:tcPr>
            <w:tcW w:w="769" w:type="dxa"/>
          </w:tcPr>
          <w:p w14:paraId="654C4409" w14:textId="77777777" w:rsidR="009A6B91" w:rsidRDefault="001622E5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10.4</w:t>
            </w:r>
          </w:p>
        </w:tc>
      </w:tr>
      <w:tr w:rsidR="009A6B91" w:rsidRPr="00461149" w14:paraId="0DC8EF4C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DE6AE96" w14:textId="77777777" w:rsidR="009A6B91" w:rsidRDefault="001622E5" w:rsidP="009A6B91">
            <w:pPr>
              <w:ind w:left="283"/>
              <w:jc w:val="right"/>
              <w:rPr>
                <w:iCs/>
                <w:color w:val="000000"/>
                <w:lang w:val="en-GB"/>
              </w:rPr>
            </w:pPr>
            <w:r w:rsidRPr="001622E5">
              <w:rPr>
                <w:i/>
                <w:color w:val="000000"/>
                <w:lang w:val="en-GB"/>
              </w:rPr>
              <w:t>Klebsiella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35C481A4" w14:textId="77777777" w:rsidR="009A6B91" w:rsidRDefault="001622E5" w:rsidP="009A6B91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769" w:type="dxa"/>
          </w:tcPr>
          <w:p w14:paraId="4EAE3F8D" w14:textId="77777777" w:rsidR="009A6B91" w:rsidRDefault="001622E5" w:rsidP="009A6B91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8.9</w:t>
            </w:r>
          </w:p>
        </w:tc>
      </w:tr>
      <w:tr w:rsidR="009A6B91" w:rsidRPr="00461149" w14:paraId="712E687F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7090FFBD" w14:textId="77777777" w:rsidR="009A6B91" w:rsidRDefault="009A6B91" w:rsidP="009A6B91">
            <w:pPr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Skin and soft tissue</w:t>
            </w:r>
          </w:p>
        </w:tc>
        <w:tc>
          <w:tcPr>
            <w:tcW w:w="1231" w:type="dxa"/>
          </w:tcPr>
          <w:p w14:paraId="05AFDA4B" w14:textId="77777777" w:rsidR="009A6B91" w:rsidRDefault="009A6B91" w:rsidP="009A6B91">
            <w:pPr>
              <w:jc w:val="right"/>
              <w:rPr>
                <w:color w:val="000000"/>
                <w:lang w:val="en-GB"/>
              </w:rPr>
            </w:pPr>
          </w:p>
        </w:tc>
        <w:tc>
          <w:tcPr>
            <w:tcW w:w="769" w:type="dxa"/>
          </w:tcPr>
          <w:p w14:paraId="465620A0" w14:textId="77777777" w:rsidR="009A6B91" w:rsidRDefault="009A6B91" w:rsidP="009A6B91">
            <w:pPr>
              <w:rPr>
                <w:color w:val="000000"/>
                <w:lang w:val="en-GB"/>
              </w:rPr>
            </w:pPr>
          </w:p>
        </w:tc>
      </w:tr>
      <w:tr w:rsidR="001A362F" w:rsidRPr="00461149" w14:paraId="526F0EC9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1C6BD031" w14:textId="77777777" w:rsidR="001A362F" w:rsidRPr="001A362F" w:rsidRDefault="001A362F" w:rsidP="001A362F">
            <w:pPr>
              <w:jc w:val="right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Gram-negative bacteria</w:t>
            </w:r>
          </w:p>
        </w:tc>
        <w:tc>
          <w:tcPr>
            <w:tcW w:w="1231" w:type="dxa"/>
          </w:tcPr>
          <w:p w14:paraId="6F1EAB9C" w14:textId="77777777" w:rsidR="001A362F" w:rsidRDefault="001A362F" w:rsidP="001A362F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514</w:t>
            </w:r>
          </w:p>
        </w:tc>
        <w:tc>
          <w:tcPr>
            <w:tcW w:w="769" w:type="dxa"/>
          </w:tcPr>
          <w:p w14:paraId="06AA6847" w14:textId="77777777" w:rsidR="001A362F" w:rsidRDefault="001A362F" w:rsidP="001A362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37.0</w:t>
            </w:r>
          </w:p>
        </w:tc>
      </w:tr>
      <w:tr w:rsidR="001A362F" w:rsidRPr="00461149" w14:paraId="738883DA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09970832" w14:textId="77777777" w:rsidR="001A362F" w:rsidRPr="001622E5" w:rsidRDefault="001A362F" w:rsidP="001A362F">
            <w:pPr>
              <w:jc w:val="right"/>
              <w:rPr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S. aureus</w:t>
            </w:r>
          </w:p>
        </w:tc>
        <w:tc>
          <w:tcPr>
            <w:tcW w:w="1231" w:type="dxa"/>
          </w:tcPr>
          <w:p w14:paraId="02220B1C" w14:textId="77777777" w:rsidR="001A362F" w:rsidRPr="001622E5" w:rsidRDefault="001A362F" w:rsidP="001A362F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439</w:t>
            </w:r>
          </w:p>
        </w:tc>
        <w:tc>
          <w:tcPr>
            <w:tcW w:w="769" w:type="dxa"/>
          </w:tcPr>
          <w:p w14:paraId="6F10D356" w14:textId="77777777" w:rsidR="001A362F" w:rsidRDefault="001A362F" w:rsidP="001A362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32.8</w:t>
            </w:r>
          </w:p>
        </w:tc>
      </w:tr>
      <w:tr w:rsidR="001A362F" w:rsidRPr="00461149" w14:paraId="3541C370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57372B78" w14:textId="77777777" w:rsidR="001A362F" w:rsidRDefault="001A362F" w:rsidP="001A362F">
            <w:pPr>
              <w:jc w:val="right"/>
              <w:rPr>
                <w:iCs/>
                <w:color w:val="000000"/>
                <w:lang w:val="en-GB"/>
              </w:rPr>
            </w:pPr>
            <w:r w:rsidRPr="001622E5">
              <w:rPr>
                <w:i/>
                <w:color w:val="000000"/>
                <w:lang w:val="en-GB"/>
              </w:rPr>
              <w:t>Enterococcus</w:t>
            </w:r>
            <w:r>
              <w:rPr>
                <w:iCs/>
                <w:color w:val="000000"/>
                <w:lang w:val="en-GB"/>
              </w:rPr>
              <w:t xml:space="preserve"> spp.</w:t>
            </w:r>
          </w:p>
        </w:tc>
        <w:tc>
          <w:tcPr>
            <w:tcW w:w="1231" w:type="dxa"/>
          </w:tcPr>
          <w:p w14:paraId="7A8B7C5F" w14:textId="77777777" w:rsidR="001A362F" w:rsidRDefault="001A362F" w:rsidP="001A362F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112</w:t>
            </w:r>
          </w:p>
        </w:tc>
        <w:tc>
          <w:tcPr>
            <w:tcW w:w="769" w:type="dxa"/>
          </w:tcPr>
          <w:p w14:paraId="542F4A49" w14:textId="77777777" w:rsidR="001A362F" w:rsidRDefault="001A362F" w:rsidP="001A362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8.3</w:t>
            </w:r>
          </w:p>
        </w:tc>
      </w:tr>
      <w:tr w:rsidR="001A362F" w:rsidRPr="00461149" w14:paraId="5A4E2775" w14:textId="77777777" w:rsidTr="003F6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tcW w:w="3077" w:type="dxa"/>
            <w:noWrap/>
          </w:tcPr>
          <w:p w14:paraId="36F36F43" w14:textId="77777777" w:rsidR="001A362F" w:rsidRPr="001A362F" w:rsidRDefault="001A362F" w:rsidP="001A362F">
            <w:pPr>
              <w:jc w:val="right"/>
              <w:rPr>
                <w:i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 xml:space="preserve">Streptococcus </w:t>
            </w:r>
            <w:r>
              <w:rPr>
                <w:iCs/>
                <w:color w:val="000000"/>
                <w:lang w:val="en-GB"/>
              </w:rPr>
              <w:t>spp.</w:t>
            </w:r>
          </w:p>
        </w:tc>
        <w:tc>
          <w:tcPr>
            <w:tcW w:w="1231" w:type="dxa"/>
          </w:tcPr>
          <w:p w14:paraId="3400336F" w14:textId="77777777" w:rsidR="001A362F" w:rsidRPr="001622E5" w:rsidRDefault="001A362F" w:rsidP="001A362F">
            <w:pPr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94</w:t>
            </w:r>
          </w:p>
        </w:tc>
        <w:tc>
          <w:tcPr>
            <w:tcW w:w="769" w:type="dxa"/>
          </w:tcPr>
          <w:p w14:paraId="06C1F7DA" w14:textId="77777777" w:rsidR="001A362F" w:rsidRDefault="001A362F" w:rsidP="001A362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7.0</w:t>
            </w:r>
          </w:p>
        </w:tc>
      </w:tr>
      <w:tr w:rsidR="001A362F" w:rsidRPr="00461149" w14:paraId="2C0ACCCE" w14:textId="77777777" w:rsidTr="003F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5077" w:type="dxa"/>
            <w:gridSpan w:val="3"/>
            <w:tcBorders>
              <w:top w:val="single" w:sz="4" w:space="0" w:color="auto"/>
            </w:tcBorders>
            <w:noWrap/>
          </w:tcPr>
          <w:p w14:paraId="034C955D" w14:textId="77777777" w:rsidR="001A362F" w:rsidRPr="00461149" w:rsidRDefault="001A362F" w:rsidP="001A362F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HABSI: Hospital-wide includes hospital-acquired bloodstream infections. </w:t>
            </w:r>
            <w:r w:rsidRPr="00461149">
              <w:rPr>
                <w:color w:val="000000"/>
                <w:lang w:val="en-GB"/>
              </w:rPr>
              <w:t xml:space="preserve">CNS: coagulase-negative </w:t>
            </w:r>
            <w:r>
              <w:rPr>
                <w:iCs/>
                <w:color w:val="000000"/>
                <w:lang w:val="en-GB"/>
              </w:rPr>
              <w:t>s</w:t>
            </w:r>
            <w:r w:rsidRPr="00AA076F">
              <w:rPr>
                <w:iCs/>
                <w:color w:val="000000"/>
                <w:lang w:val="en-GB"/>
              </w:rPr>
              <w:t>taphylococc</w:t>
            </w:r>
            <w:r>
              <w:rPr>
                <w:iCs/>
                <w:color w:val="000000"/>
                <w:lang w:val="en-GB"/>
              </w:rPr>
              <w:t>i</w:t>
            </w:r>
            <w:r w:rsidRPr="00461149"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en-GB"/>
              </w:rPr>
              <w:t xml:space="preserve"> </w:t>
            </w:r>
          </w:p>
        </w:tc>
      </w:tr>
    </w:tbl>
    <w:p w14:paraId="355FC146" w14:textId="35F8C75E" w:rsidR="004C299A" w:rsidRDefault="004C299A" w:rsidP="0001080F">
      <w:pPr>
        <w:pStyle w:val="Default"/>
      </w:pPr>
    </w:p>
    <w:p w14:paraId="240520D7" w14:textId="77777777" w:rsidR="004C299A" w:rsidRDefault="004C299A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Arial Unicode MS" w:cs="Arial Unicode MS"/>
          <w:color w:val="000000"/>
        </w:rPr>
      </w:pPr>
      <w:r>
        <w:br w:type="page"/>
      </w:r>
    </w:p>
    <w:p w14:paraId="73C9A62E" w14:textId="07AECBB9" w:rsidR="004C299A" w:rsidRDefault="004C299A" w:rsidP="004C299A">
      <w:pPr>
        <w:spacing w:line="360" w:lineRule="auto"/>
        <w:rPr>
          <w:b/>
        </w:rPr>
      </w:pPr>
      <w:r>
        <w:rPr>
          <w:b/>
        </w:rPr>
        <w:lastRenderedPageBreak/>
        <w:t xml:space="preserve">Appendix </w:t>
      </w:r>
      <w:r>
        <w:rPr>
          <w:b/>
        </w:rPr>
        <w:t>6</w:t>
      </w:r>
      <w:r>
        <w:rPr>
          <w:b/>
        </w:rPr>
        <w:t xml:space="preserve">. </w:t>
      </w:r>
      <w:r>
        <w:rPr>
          <w:b/>
        </w:rPr>
        <w:t>Seasonal variation of pulmonary HABSI, by microorganism</w:t>
      </w:r>
    </w:p>
    <w:p w14:paraId="57CA25FD" w14:textId="61957CFD" w:rsidR="004C299A" w:rsidRPr="0001080F" w:rsidRDefault="004C299A" w:rsidP="004C299A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EE8D957" wp14:editId="60C79F47">
            <wp:extent cx="5613400" cy="354178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761" cy="354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FD29" w14:textId="21AE5DA7" w:rsidR="00681864" w:rsidRDefault="004C299A" w:rsidP="004C299A">
      <w:pPr>
        <w:jc w:val="center"/>
        <w:rPr>
          <w:i/>
          <w:iCs/>
        </w:rPr>
      </w:pPr>
      <w:r>
        <w:rPr>
          <w:i/>
          <w:iCs/>
        </w:rPr>
        <w:t xml:space="preserve">Monthly changes in incidence rate of </w:t>
      </w:r>
      <w:r>
        <w:rPr>
          <w:i/>
          <w:iCs/>
        </w:rPr>
        <w:t>pulmonary</w:t>
      </w:r>
      <w:r>
        <w:rPr>
          <w:i/>
          <w:iCs/>
        </w:rPr>
        <w:t xml:space="preserve"> HABSI</w:t>
      </w:r>
      <w:r>
        <w:rPr>
          <w:i/>
          <w:iCs/>
        </w:rPr>
        <w:t xml:space="preserve"> (2000–2014)</w:t>
      </w:r>
      <w:r>
        <w:rPr>
          <w:i/>
          <w:iCs/>
        </w:rPr>
        <w:t>, stratified by infections associated with urinary catheterization (previous 7 days). Mixed-effects negative binomial regression analysis Random-effects: Hospital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F</w:t>
      </w:r>
      <w:r>
        <w:rPr>
          <w:i/>
          <w:iCs/>
        </w:rPr>
        <w:t>ixed-effects: year, month, university-affiliated hospital</w:t>
      </w:r>
      <w:r>
        <w:rPr>
          <w:i/>
          <w:iCs/>
        </w:rPr>
        <w:t>.</w:t>
      </w:r>
    </w:p>
    <w:p w14:paraId="394B87F1" w14:textId="7B91C474" w:rsidR="00FE0397" w:rsidRPr="00A71F0C" w:rsidRDefault="002067F1" w:rsidP="00FE0397">
      <w:r>
        <w:t>Mixed-effects regression model of g</w:t>
      </w:r>
      <w:r w:rsidR="00FE0397" w:rsidRPr="00A71F0C">
        <w:t>ram-negative pulmonary HABSI</w:t>
      </w:r>
      <w:r>
        <w:t>:</w:t>
      </w:r>
    </w:p>
    <w:p w14:paraId="2547212B" w14:textId="7D055CA7" w:rsidR="00FE0397" w:rsidRPr="00A71F0C" w:rsidRDefault="00FE0397" w:rsidP="00A71F0C">
      <w:pPr>
        <w:pStyle w:val="ListParagraph"/>
        <w:numPr>
          <w:ilvl w:val="0"/>
          <w:numId w:val="1"/>
        </w:numPr>
      </w:pPr>
      <w:r w:rsidRPr="00A71F0C">
        <w:t xml:space="preserve">Monthly peak-to-low </w:t>
      </w:r>
      <w:r w:rsidRPr="00A71F0C">
        <w:t xml:space="preserve">(July-to-March) </w:t>
      </w:r>
      <w:r w:rsidRPr="00A71F0C">
        <w:t>incidence rate ratio 1.70 (1.38–2.10, p&lt;0.001)</w:t>
      </w:r>
    </w:p>
    <w:p w14:paraId="6B78ACA9" w14:textId="421324CC" w:rsidR="00FE0397" w:rsidRPr="00A71F0C" w:rsidRDefault="00FE0397" w:rsidP="00A71F0C">
      <w:pPr>
        <w:pStyle w:val="ListParagraph"/>
        <w:numPr>
          <w:ilvl w:val="0"/>
          <w:numId w:val="1"/>
        </w:numPr>
      </w:pPr>
      <w:r w:rsidRPr="00A71F0C">
        <w:t>Seasonal peak-to-low (Spring-to-Summer) incidence rate ratio 1.25 (1.11–1.41, p&lt;0.001)</w:t>
      </w:r>
    </w:p>
    <w:sectPr w:rsidR="00FE0397" w:rsidRPr="00A71F0C" w:rsidSect="0017376B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C21E5"/>
    <w:multiLevelType w:val="hybridMultilevel"/>
    <w:tmpl w:val="F226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F"/>
    <w:rsid w:val="0001080F"/>
    <w:rsid w:val="000341B9"/>
    <w:rsid w:val="00047AAE"/>
    <w:rsid w:val="00051803"/>
    <w:rsid w:val="00097AFB"/>
    <w:rsid w:val="000A3139"/>
    <w:rsid w:val="001033CC"/>
    <w:rsid w:val="001357A3"/>
    <w:rsid w:val="00151F65"/>
    <w:rsid w:val="001622E5"/>
    <w:rsid w:val="0017376B"/>
    <w:rsid w:val="001813B8"/>
    <w:rsid w:val="001A362F"/>
    <w:rsid w:val="002045C5"/>
    <w:rsid w:val="002067F1"/>
    <w:rsid w:val="00223D5D"/>
    <w:rsid w:val="00242986"/>
    <w:rsid w:val="00253DFC"/>
    <w:rsid w:val="002D61F7"/>
    <w:rsid w:val="003857C0"/>
    <w:rsid w:val="00387092"/>
    <w:rsid w:val="003F6F97"/>
    <w:rsid w:val="00412667"/>
    <w:rsid w:val="00447DEF"/>
    <w:rsid w:val="004748E5"/>
    <w:rsid w:val="00483906"/>
    <w:rsid w:val="00493573"/>
    <w:rsid w:val="004B61A7"/>
    <w:rsid w:val="004C299A"/>
    <w:rsid w:val="00561CF1"/>
    <w:rsid w:val="00583375"/>
    <w:rsid w:val="005A362A"/>
    <w:rsid w:val="006731B8"/>
    <w:rsid w:val="00681864"/>
    <w:rsid w:val="006E2B2C"/>
    <w:rsid w:val="00795434"/>
    <w:rsid w:val="007A513D"/>
    <w:rsid w:val="007D2EB7"/>
    <w:rsid w:val="007F16F7"/>
    <w:rsid w:val="008030DC"/>
    <w:rsid w:val="00845666"/>
    <w:rsid w:val="008B7D79"/>
    <w:rsid w:val="009A6B91"/>
    <w:rsid w:val="00A43C0F"/>
    <w:rsid w:val="00A50FE6"/>
    <w:rsid w:val="00A66D76"/>
    <w:rsid w:val="00A71F0C"/>
    <w:rsid w:val="00A8357F"/>
    <w:rsid w:val="00AB3CBF"/>
    <w:rsid w:val="00AE2758"/>
    <w:rsid w:val="00B01070"/>
    <w:rsid w:val="00B02B1A"/>
    <w:rsid w:val="00B743D8"/>
    <w:rsid w:val="00B7492B"/>
    <w:rsid w:val="00B76415"/>
    <w:rsid w:val="00BD46DB"/>
    <w:rsid w:val="00C30077"/>
    <w:rsid w:val="00C3689B"/>
    <w:rsid w:val="00C6002B"/>
    <w:rsid w:val="00CB0A7A"/>
    <w:rsid w:val="00CB2362"/>
    <w:rsid w:val="00D55B68"/>
    <w:rsid w:val="00D75AEA"/>
    <w:rsid w:val="00DC23D5"/>
    <w:rsid w:val="00DC327A"/>
    <w:rsid w:val="00DF4326"/>
    <w:rsid w:val="00EB41AC"/>
    <w:rsid w:val="00F10829"/>
    <w:rsid w:val="00F5471B"/>
    <w:rsid w:val="00F80162"/>
    <w:rsid w:val="00FC313D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E9851"/>
  <w15:chartTrackingRefBased/>
  <w15:docId w15:val="{445F1417-4F3F-BF40-9C74-29A5854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45C5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SIabstract">
    <w:name w:val="HABSI abstract"/>
    <w:rsid w:val="00AB3CB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b/>
      <w:bCs/>
      <w:color w:val="000000"/>
      <w:sz w:val="28"/>
      <w:szCs w:val="28"/>
      <w:bdr w:val="nil"/>
      <w:lang w:val="de-DE"/>
    </w:rPr>
  </w:style>
  <w:style w:type="table" w:customStyle="1" w:styleId="StripedTable">
    <w:name w:val="Striped Table"/>
    <w:basedOn w:val="TableNormal"/>
    <w:uiPriority w:val="99"/>
    <w:rsid w:val="002045C5"/>
    <w:rPr>
      <w:rFonts w:ascii="Times New Roman" w:eastAsia="Arial Unicode MS" w:hAnsi="Times New Roman" w:cs="Times New Roman"/>
      <w:szCs w:val="20"/>
      <w:bdr w:val="ni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auto" w:fill="auto"/>
      </w:tcPr>
    </w:tblStylePr>
  </w:style>
  <w:style w:type="paragraph" w:customStyle="1" w:styleId="Default">
    <w:name w:val="Default"/>
    <w:rsid w:val="00F5471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Arial Unicode MS" w:cs="Arial Unicode MS"/>
      <w:color w:val="000000"/>
      <w:bdr w:val="nil"/>
    </w:rPr>
  </w:style>
  <w:style w:type="paragraph" w:customStyle="1" w:styleId="HABSI4">
    <w:name w:val="HABSI 4"/>
    <w:autoRedefine/>
    <w:rsid w:val="00FC313D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335"/>
      <w:outlineLvl w:val="2"/>
    </w:pPr>
    <w:rPr>
      <w:rFonts w:ascii="Times New Roman" w:eastAsia="Times New Roman" w:hAnsi="Times New Roman" w:cs="Times New Roman"/>
      <w:b/>
      <w:bCs/>
      <w:color w:val="000000"/>
      <w:bdr w:val="nil"/>
    </w:rPr>
  </w:style>
  <w:style w:type="paragraph" w:customStyle="1" w:styleId="HABSIUndertable">
    <w:name w:val="HABSI Under table"/>
    <w:basedOn w:val="Default"/>
    <w:rsid w:val="00FC313D"/>
    <w:pPr>
      <w:keepLines/>
      <w:spacing w:line="240" w:lineRule="auto"/>
    </w:pPr>
    <w:rPr>
      <w:i/>
      <w:i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4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A7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Blot</dc:creator>
  <cp:keywords/>
  <dc:description/>
  <cp:lastModifiedBy>Koen Blot</cp:lastModifiedBy>
  <cp:revision>70</cp:revision>
  <dcterms:created xsi:type="dcterms:W3CDTF">2019-09-25T22:46:00Z</dcterms:created>
  <dcterms:modified xsi:type="dcterms:W3CDTF">2021-02-13T14:29:00Z</dcterms:modified>
</cp:coreProperties>
</file>