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AA7DC" w14:textId="75585369" w:rsidR="00795E33" w:rsidRPr="00407DC7" w:rsidRDefault="00147938"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b/>
          <w:sz w:val="24"/>
          <w:szCs w:val="24"/>
        </w:rPr>
        <w:t>APPENDIX (</w:t>
      </w:r>
      <w:r w:rsidR="00795E33" w:rsidRPr="00407DC7">
        <w:rPr>
          <w:rFonts w:ascii="Times New Roman" w:eastAsia="Times New Roman" w:hAnsi="Times New Roman" w:cs="Times New Roman"/>
          <w:b/>
          <w:sz w:val="24"/>
          <w:szCs w:val="24"/>
        </w:rPr>
        <w:t>SUPPLEMENTAL INFORMATION</w:t>
      </w:r>
      <w:r w:rsidRPr="00407DC7">
        <w:rPr>
          <w:rFonts w:ascii="Times New Roman" w:eastAsia="Times New Roman" w:hAnsi="Times New Roman" w:cs="Times New Roman"/>
          <w:b/>
          <w:sz w:val="24"/>
          <w:szCs w:val="24"/>
        </w:rPr>
        <w:t>)</w:t>
      </w:r>
    </w:p>
    <w:p w14:paraId="72D32BBE" w14:textId="77777777" w:rsidR="00795E33" w:rsidRPr="00407DC7" w:rsidRDefault="00795E33" w:rsidP="00AD02B9">
      <w:pPr>
        <w:spacing w:line="240" w:lineRule="auto"/>
        <w:rPr>
          <w:rFonts w:ascii="Times New Roman" w:eastAsia="Times New Roman" w:hAnsi="Times New Roman" w:cs="Times New Roman"/>
          <w:b/>
          <w:sz w:val="24"/>
          <w:szCs w:val="24"/>
        </w:rPr>
      </w:pPr>
    </w:p>
    <w:p w14:paraId="30C67D49" w14:textId="5CCFF502"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b/>
          <w:sz w:val="24"/>
          <w:szCs w:val="24"/>
        </w:rPr>
        <w:t xml:space="preserve">ANTIBIOTIC </w:t>
      </w:r>
      <w:r w:rsidR="00B55B58">
        <w:rPr>
          <w:rFonts w:ascii="Times New Roman" w:eastAsia="Times New Roman" w:hAnsi="Times New Roman" w:cs="Times New Roman"/>
          <w:b/>
          <w:sz w:val="24"/>
          <w:szCs w:val="24"/>
        </w:rPr>
        <w:t>OVER</w:t>
      </w:r>
      <w:r w:rsidRPr="00407DC7">
        <w:rPr>
          <w:rFonts w:ascii="Times New Roman" w:eastAsia="Times New Roman" w:hAnsi="Times New Roman" w:cs="Times New Roman"/>
          <w:b/>
          <w:sz w:val="24"/>
          <w:szCs w:val="24"/>
        </w:rPr>
        <w:t>USE AFTER DISCHARGE FROM MEDICAL SHORT STAY UNITS</w:t>
      </w:r>
    </w:p>
    <w:p w14:paraId="49C1359B" w14:textId="77777777" w:rsidR="00795E33" w:rsidRPr="00407DC7" w:rsidRDefault="00795E33" w:rsidP="00AD02B9">
      <w:pPr>
        <w:spacing w:line="240" w:lineRule="auto"/>
        <w:rPr>
          <w:rFonts w:ascii="Times New Roman" w:eastAsia="Times New Roman" w:hAnsi="Times New Roman" w:cs="Times New Roman"/>
          <w:sz w:val="24"/>
          <w:szCs w:val="24"/>
        </w:rPr>
      </w:pPr>
    </w:p>
    <w:p w14:paraId="14325E38" w14:textId="46D77F9C"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 xml:space="preserve">Running Title: Antibiotic </w:t>
      </w:r>
      <w:r w:rsidR="00B55B58">
        <w:rPr>
          <w:rFonts w:ascii="Times New Roman" w:eastAsia="Times New Roman" w:hAnsi="Times New Roman" w:cs="Times New Roman"/>
          <w:sz w:val="24"/>
          <w:szCs w:val="24"/>
        </w:rPr>
        <w:t>overuse</w:t>
      </w:r>
      <w:r w:rsidRPr="00407DC7">
        <w:rPr>
          <w:rFonts w:ascii="Times New Roman" w:eastAsia="Times New Roman" w:hAnsi="Times New Roman" w:cs="Times New Roman"/>
          <w:sz w:val="24"/>
          <w:szCs w:val="24"/>
        </w:rPr>
        <w:t xml:space="preserve"> in medical short stay units</w:t>
      </w:r>
    </w:p>
    <w:p w14:paraId="6B5534D3" w14:textId="77777777" w:rsidR="00795E33" w:rsidRPr="00407DC7" w:rsidRDefault="00795E33" w:rsidP="00AD02B9">
      <w:pPr>
        <w:spacing w:line="240" w:lineRule="auto"/>
        <w:rPr>
          <w:rFonts w:ascii="Times New Roman" w:eastAsia="Times New Roman" w:hAnsi="Times New Roman" w:cs="Times New Roman"/>
          <w:sz w:val="24"/>
          <w:szCs w:val="24"/>
        </w:rPr>
      </w:pPr>
    </w:p>
    <w:p w14:paraId="327C64F9" w14:textId="6BA1FB7E"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Nathaniel Soper, MD</w:t>
      </w:r>
      <w:proofErr w:type="gramStart"/>
      <w:r w:rsidRPr="00407DC7">
        <w:rPr>
          <w:rFonts w:ascii="Times New Roman" w:eastAsia="Times New Roman" w:hAnsi="Times New Roman" w:cs="Times New Roman"/>
          <w:sz w:val="24"/>
          <w:szCs w:val="24"/>
          <w:vertAlign w:val="superscript"/>
        </w:rPr>
        <w:t>1,*</w:t>
      </w:r>
      <w:proofErr w:type="gramEnd"/>
      <w:r w:rsidRPr="00407DC7">
        <w:rPr>
          <w:rFonts w:ascii="Times New Roman" w:eastAsia="Times New Roman" w:hAnsi="Times New Roman" w:cs="Times New Roman"/>
          <w:sz w:val="24"/>
          <w:szCs w:val="24"/>
        </w:rPr>
        <w:t>, Abhinav J. Appukutty</w:t>
      </w:r>
      <w:r w:rsidRPr="00407DC7">
        <w:rPr>
          <w:rFonts w:ascii="Times New Roman" w:eastAsia="Times New Roman" w:hAnsi="Times New Roman" w:cs="Times New Roman"/>
          <w:sz w:val="24"/>
          <w:szCs w:val="24"/>
          <w:vertAlign w:val="superscript"/>
        </w:rPr>
        <w:t>2</w:t>
      </w:r>
      <w:r w:rsidRPr="00407DC7">
        <w:rPr>
          <w:rFonts w:ascii="Times New Roman" w:eastAsia="Times New Roman" w:hAnsi="Times New Roman" w:cs="Times New Roman"/>
          <w:sz w:val="24"/>
          <w:szCs w:val="24"/>
        </w:rPr>
        <w:t>, David Paje, MD, MPH</w:t>
      </w:r>
      <w:r w:rsidRPr="00407DC7">
        <w:rPr>
          <w:rFonts w:ascii="Times New Roman" w:eastAsia="Times New Roman" w:hAnsi="Times New Roman" w:cs="Times New Roman"/>
          <w:sz w:val="24"/>
          <w:szCs w:val="24"/>
          <w:vertAlign w:val="superscript"/>
        </w:rPr>
        <w:t>1</w:t>
      </w:r>
      <w:r w:rsidRPr="00407DC7">
        <w:rPr>
          <w:rFonts w:ascii="Times New Roman" w:eastAsia="Times New Roman" w:hAnsi="Times New Roman" w:cs="Times New Roman"/>
          <w:sz w:val="24"/>
          <w:szCs w:val="24"/>
        </w:rPr>
        <w:t>, Lindsay Petty, MD</w:t>
      </w:r>
      <w:r w:rsidRPr="00407DC7">
        <w:rPr>
          <w:rFonts w:ascii="Times New Roman" w:eastAsia="Times New Roman" w:hAnsi="Times New Roman" w:cs="Times New Roman"/>
          <w:sz w:val="24"/>
          <w:szCs w:val="24"/>
          <w:vertAlign w:val="superscript"/>
        </w:rPr>
        <w:t>3</w:t>
      </w:r>
      <w:r w:rsidRPr="00407DC7">
        <w:rPr>
          <w:rFonts w:ascii="Times New Roman" w:eastAsia="Times New Roman" w:hAnsi="Times New Roman" w:cs="Times New Roman"/>
          <w:sz w:val="24"/>
          <w:szCs w:val="24"/>
        </w:rPr>
        <w:t>, Scott A Flanders, MD</w:t>
      </w:r>
      <w:r w:rsidRPr="00407DC7">
        <w:rPr>
          <w:rFonts w:ascii="Times New Roman" w:eastAsia="Times New Roman" w:hAnsi="Times New Roman" w:cs="Times New Roman"/>
          <w:sz w:val="24"/>
          <w:szCs w:val="24"/>
          <w:vertAlign w:val="superscript"/>
        </w:rPr>
        <w:t>1</w:t>
      </w:r>
      <w:r w:rsidRPr="00407DC7">
        <w:rPr>
          <w:rFonts w:ascii="Times New Roman" w:eastAsia="Times New Roman" w:hAnsi="Times New Roman" w:cs="Times New Roman"/>
          <w:sz w:val="24"/>
          <w:szCs w:val="24"/>
        </w:rPr>
        <w:t xml:space="preserve">, </w:t>
      </w:r>
      <w:proofErr w:type="spellStart"/>
      <w:r w:rsidRPr="00407DC7">
        <w:rPr>
          <w:rFonts w:ascii="Times New Roman" w:eastAsia="Times New Roman" w:hAnsi="Times New Roman" w:cs="Times New Roman"/>
          <w:sz w:val="24"/>
          <w:szCs w:val="24"/>
        </w:rPr>
        <w:t>Qisu</w:t>
      </w:r>
      <w:proofErr w:type="spellEnd"/>
      <w:r w:rsidRPr="00407DC7">
        <w:rPr>
          <w:rFonts w:ascii="Times New Roman" w:eastAsia="Times New Roman" w:hAnsi="Times New Roman" w:cs="Times New Roman"/>
          <w:sz w:val="24"/>
          <w:szCs w:val="24"/>
        </w:rPr>
        <w:t xml:space="preserve"> Zhang M</w:t>
      </w:r>
      <w:r w:rsidR="004B73BE">
        <w:rPr>
          <w:rFonts w:ascii="Times New Roman" w:eastAsia="Times New Roman" w:hAnsi="Times New Roman" w:cs="Times New Roman"/>
          <w:sz w:val="24"/>
          <w:szCs w:val="24"/>
        </w:rPr>
        <w:t>PH</w:t>
      </w:r>
      <w:r w:rsidRPr="00407DC7">
        <w:rPr>
          <w:rFonts w:ascii="Times New Roman" w:eastAsia="Times New Roman" w:hAnsi="Times New Roman" w:cs="Times New Roman"/>
          <w:sz w:val="24"/>
          <w:szCs w:val="24"/>
          <w:vertAlign w:val="superscript"/>
        </w:rPr>
        <w:t>1</w:t>
      </w:r>
      <w:r w:rsidR="00DD4F72" w:rsidRPr="00407DC7">
        <w:rPr>
          <w:rFonts w:ascii="Times New Roman" w:eastAsia="Times New Roman" w:hAnsi="Times New Roman" w:cs="Times New Roman"/>
          <w:sz w:val="24"/>
          <w:szCs w:val="24"/>
        </w:rPr>
        <w:t>, Jennifer Horowitz MA</w:t>
      </w:r>
      <w:r w:rsidR="00DD4F72" w:rsidRPr="00407DC7">
        <w:rPr>
          <w:rFonts w:ascii="Times New Roman" w:eastAsia="Times New Roman" w:hAnsi="Times New Roman" w:cs="Times New Roman"/>
          <w:sz w:val="24"/>
          <w:szCs w:val="24"/>
          <w:vertAlign w:val="superscript"/>
        </w:rPr>
        <w:t>1</w:t>
      </w:r>
      <w:r w:rsidR="00DD4F72" w:rsidRPr="00407DC7">
        <w:rPr>
          <w:rFonts w:ascii="Times New Roman" w:eastAsia="Times New Roman" w:hAnsi="Times New Roman" w:cs="Times New Roman"/>
          <w:sz w:val="24"/>
          <w:szCs w:val="24"/>
        </w:rPr>
        <w:t>,</w:t>
      </w:r>
      <w:r w:rsidRPr="00407DC7">
        <w:rPr>
          <w:rFonts w:ascii="Times New Roman" w:eastAsia="Times New Roman" w:hAnsi="Times New Roman" w:cs="Times New Roman"/>
          <w:sz w:val="24"/>
          <w:szCs w:val="24"/>
        </w:rPr>
        <w:t xml:space="preserve"> Valerie M. Vaughn, MD, MSc</w:t>
      </w:r>
      <w:r w:rsidRPr="00407DC7">
        <w:rPr>
          <w:rFonts w:ascii="Times New Roman" w:eastAsia="Times New Roman" w:hAnsi="Times New Roman" w:cs="Times New Roman"/>
          <w:sz w:val="24"/>
          <w:szCs w:val="24"/>
          <w:vertAlign w:val="superscript"/>
        </w:rPr>
        <w:t>4</w:t>
      </w:r>
    </w:p>
    <w:p w14:paraId="693A6053" w14:textId="77777777" w:rsidR="00795E33" w:rsidRPr="00407DC7" w:rsidRDefault="00795E33" w:rsidP="00AD02B9">
      <w:pPr>
        <w:spacing w:line="240" w:lineRule="auto"/>
        <w:rPr>
          <w:rFonts w:ascii="Times New Roman" w:eastAsia="Times New Roman" w:hAnsi="Times New Roman" w:cs="Times New Roman"/>
          <w:sz w:val="24"/>
          <w:szCs w:val="24"/>
          <w:vertAlign w:val="superscript"/>
        </w:rPr>
      </w:pPr>
    </w:p>
    <w:p w14:paraId="7F8E2F02"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vertAlign w:val="superscript"/>
        </w:rPr>
        <w:t>1</w:t>
      </w:r>
      <w:r w:rsidRPr="00407DC7">
        <w:rPr>
          <w:rFonts w:ascii="Times New Roman" w:eastAsia="Times New Roman" w:hAnsi="Times New Roman" w:cs="Times New Roman"/>
          <w:sz w:val="24"/>
          <w:szCs w:val="24"/>
        </w:rPr>
        <w:t xml:space="preserve"> Division of Hospital Medicine, Department of Internal Medicine, Michigan Medicine, Ann Arbor, Michigan, USA</w:t>
      </w:r>
    </w:p>
    <w:p w14:paraId="0CAE5E49"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vertAlign w:val="superscript"/>
        </w:rPr>
        <w:t>2</w:t>
      </w:r>
      <w:r w:rsidRPr="00407DC7">
        <w:rPr>
          <w:rFonts w:ascii="Times New Roman" w:eastAsia="Times New Roman" w:hAnsi="Times New Roman" w:cs="Times New Roman"/>
          <w:sz w:val="24"/>
          <w:szCs w:val="24"/>
        </w:rPr>
        <w:t xml:space="preserve"> University of Michigan Medical School, Ann Arbor, Michigan, USA</w:t>
      </w:r>
    </w:p>
    <w:p w14:paraId="1863C20E"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vertAlign w:val="superscript"/>
        </w:rPr>
        <w:t>3</w:t>
      </w:r>
      <w:r w:rsidRPr="00407DC7">
        <w:rPr>
          <w:rFonts w:ascii="Times New Roman" w:eastAsia="Times New Roman" w:hAnsi="Times New Roman" w:cs="Times New Roman"/>
          <w:sz w:val="24"/>
          <w:szCs w:val="24"/>
        </w:rPr>
        <w:t xml:space="preserve"> Division of Infectious Diseases, Department of Internal Medicine, Michigan Medicine, Ann Arbor, Michigan, USA </w:t>
      </w:r>
    </w:p>
    <w:p w14:paraId="46185B04"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vertAlign w:val="superscript"/>
        </w:rPr>
        <w:t>4</w:t>
      </w:r>
      <w:r w:rsidRPr="00407DC7">
        <w:rPr>
          <w:rFonts w:ascii="Times New Roman" w:eastAsia="Times New Roman" w:hAnsi="Times New Roman" w:cs="Times New Roman"/>
          <w:sz w:val="24"/>
          <w:szCs w:val="24"/>
        </w:rPr>
        <w:t xml:space="preserve"> Division of General Internal Medicine, Department of Internal Medicine, University of Utah Medical School, Salt Lake City, Utah, USA</w:t>
      </w:r>
    </w:p>
    <w:p w14:paraId="2F6890AE" w14:textId="77777777" w:rsidR="00795E33" w:rsidRPr="00407DC7" w:rsidRDefault="00795E33" w:rsidP="00AD02B9">
      <w:pPr>
        <w:spacing w:line="240" w:lineRule="auto"/>
        <w:rPr>
          <w:rFonts w:ascii="Times New Roman" w:eastAsia="Times New Roman" w:hAnsi="Times New Roman" w:cs="Times New Roman"/>
          <w:sz w:val="24"/>
          <w:szCs w:val="24"/>
        </w:rPr>
      </w:pPr>
    </w:p>
    <w:p w14:paraId="59833016"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Disclosures: All authors do not have disclosures or conflicts of interest.</w:t>
      </w:r>
    </w:p>
    <w:p w14:paraId="18D8A3C5" w14:textId="77777777" w:rsidR="00795E33" w:rsidRPr="00407DC7" w:rsidRDefault="00795E33" w:rsidP="00AD02B9">
      <w:pPr>
        <w:spacing w:line="240" w:lineRule="auto"/>
        <w:rPr>
          <w:rFonts w:ascii="Times New Roman" w:eastAsia="Times New Roman" w:hAnsi="Times New Roman" w:cs="Times New Roman"/>
          <w:sz w:val="24"/>
          <w:szCs w:val="24"/>
        </w:rPr>
      </w:pPr>
    </w:p>
    <w:p w14:paraId="4A0F85FF"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Funding: Dr. Vaughn is supported by a career development award from the Agency for Healthcare Research and Quality (1-K08-HS26530-01). The content is solely the responsibility of the authors and does not necessarily represent the official views of the Agency for Healthcare Research and Quality.</w:t>
      </w:r>
    </w:p>
    <w:p w14:paraId="509461C6" w14:textId="77777777" w:rsidR="00795E33" w:rsidRPr="00407DC7" w:rsidRDefault="00795E33" w:rsidP="00AD02B9">
      <w:pPr>
        <w:spacing w:line="240" w:lineRule="auto"/>
        <w:rPr>
          <w:rFonts w:ascii="Times New Roman" w:eastAsia="Times New Roman" w:hAnsi="Times New Roman" w:cs="Times New Roman"/>
          <w:sz w:val="24"/>
          <w:szCs w:val="24"/>
        </w:rPr>
      </w:pPr>
    </w:p>
    <w:p w14:paraId="6777D679"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*Corresponding author:</w:t>
      </w:r>
    </w:p>
    <w:p w14:paraId="7B6BCF39"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Nathaniel S. Soper, MD</w:t>
      </w:r>
    </w:p>
    <w:p w14:paraId="71F9B3CB"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Clinical Instructor of Internal Medicine</w:t>
      </w:r>
    </w:p>
    <w:p w14:paraId="137356C7"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Division of Hospital Medicine, Michigan Medicine</w:t>
      </w:r>
    </w:p>
    <w:p w14:paraId="4AD4D6A6"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University Hospital</w:t>
      </w:r>
    </w:p>
    <w:p w14:paraId="623B8DA5"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1500 E Medical Center Drive</w:t>
      </w:r>
    </w:p>
    <w:p w14:paraId="21B5F000"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Ann Arbor, MI 48109-5000</w:t>
      </w:r>
    </w:p>
    <w:p w14:paraId="5BC4E98B"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Email: nssoper@med.umich.edu</w:t>
      </w:r>
    </w:p>
    <w:p w14:paraId="2C406685"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Phone: (269)-330-5703</w:t>
      </w:r>
    </w:p>
    <w:p w14:paraId="6A65B394" w14:textId="77777777" w:rsidR="00795E33" w:rsidRPr="00407DC7" w:rsidRDefault="00795E33" w:rsidP="00AD02B9">
      <w:pPr>
        <w:spacing w:line="240" w:lineRule="auto"/>
        <w:rPr>
          <w:rFonts w:ascii="Times New Roman" w:eastAsia="Times New Roman" w:hAnsi="Times New Roman" w:cs="Times New Roman"/>
          <w:sz w:val="24"/>
          <w:szCs w:val="24"/>
        </w:rPr>
      </w:pPr>
    </w:p>
    <w:p w14:paraId="5AA72994" w14:textId="77777777" w:rsidR="00795E33" w:rsidRPr="00407DC7"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This PDF includes:</w:t>
      </w:r>
    </w:p>
    <w:p w14:paraId="59F2F36C" w14:textId="5C25E995" w:rsidR="00795E33" w:rsidRPr="00407DC7" w:rsidRDefault="00147938" w:rsidP="00AD02B9">
      <w:pPr>
        <w:numPr>
          <w:ilvl w:val="0"/>
          <w:numId w:val="2"/>
        </w:num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Appendix</w:t>
      </w:r>
      <w:r w:rsidR="00795E33" w:rsidRPr="00407DC7">
        <w:rPr>
          <w:rFonts w:ascii="Times New Roman" w:eastAsia="Times New Roman" w:hAnsi="Times New Roman" w:cs="Times New Roman"/>
          <w:sz w:val="24"/>
          <w:szCs w:val="24"/>
        </w:rPr>
        <w:t xml:space="preserve"> Methods</w:t>
      </w:r>
    </w:p>
    <w:p w14:paraId="19C08CF3" w14:textId="6863A534" w:rsidR="00811EA7" w:rsidRPr="00407DC7" w:rsidRDefault="00147938" w:rsidP="00AD02B9">
      <w:pPr>
        <w:numPr>
          <w:ilvl w:val="0"/>
          <w:numId w:val="2"/>
        </w:num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Appendix</w:t>
      </w:r>
      <w:r w:rsidR="00811EA7" w:rsidRPr="00407DC7">
        <w:rPr>
          <w:rFonts w:ascii="Times New Roman" w:eastAsia="Times New Roman" w:hAnsi="Times New Roman" w:cs="Times New Roman"/>
          <w:sz w:val="24"/>
          <w:szCs w:val="24"/>
        </w:rPr>
        <w:t xml:space="preserve"> Figures</w:t>
      </w:r>
    </w:p>
    <w:p w14:paraId="43E1E3D1" w14:textId="355B9E20" w:rsidR="00795E33" w:rsidRPr="00407DC7" w:rsidRDefault="00147938" w:rsidP="00AD02B9">
      <w:pPr>
        <w:numPr>
          <w:ilvl w:val="0"/>
          <w:numId w:val="2"/>
        </w:num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Appendix</w:t>
      </w:r>
      <w:r w:rsidR="00795E33" w:rsidRPr="00407DC7">
        <w:rPr>
          <w:rFonts w:ascii="Times New Roman" w:eastAsia="Times New Roman" w:hAnsi="Times New Roman" w:cs="Times New Roman"/>
          <w:sz w:val="24"/>
          <w:szCs w:val="24"/>
        </w:rPr>
        <w:t xml:space="preserve"> Tables</w:t>
      </w:r>
    </w:p>
    <w:p w14:paraId="58715C36" w14:textId="55BCC5BC" w:rsidR="00795E33" w:rsidRPr="00407DC7" w:rsidRDefault="00147938" w:rsidP="00AD02B9">
      <w:pPr>
        <w:numPr>
          <w:ilvl w:val="0"/>
          <w:numId w:val="2"/>
        </w:num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Appendix</w:t>
      </w:r>
      <w:r w:rsidR="00795E33" w:rsidRPr="00407DC7">
        <w:rPr>
          <w:rFonts w:ascii="Times New Roman" w:eastAsia="Times New Roman" w:hAnsi="Times New Roman" w:cs="Times New Roman"/>
          <w:sz w:val="24"/>
          <w:szCs w:val="24"/>
        </w:rPr>
        <w:t xml:space="preserve"> References</w:t>
      </w:r>
    </w:p>
    <w:p w14:paraId="0FEB65A0" w14:textId="37C42A71" w:rsidR="00795E33" w:rsidRPr="00407DC7" w:rsidRDefault="00795E33" w:rsidP="00AD02B9">
      <w:pPr>
        <w:spacing w:line="240" w:lineRule="auto"/>
        <w:rPr>
          <w:rFonts w:ascii="Times New Roman" w:eastAsia="Times New Roman" w:hAnsi="Times New Roman" w:cs="Times New Roman"/>
          <w:sz w:val="24"/>
          <w:szCs w:val="24"/>
        </w:rPr>
      </w:pPr>
    </w:p>
    <w:p w14:paraId="7B9D0292" w14:textId="51788CDB" w:rsidR="00795E33" w:rsidRPr="00407DC7" w:rsidRDefault="00795E33" w:rsidP="00AD02B9">
      <w:pPr>
        <w:spacing w:line="240" w:lineRule="auto"/>
        <w:rPr>
          <w:rFonts w:ascii="Times New Roman" w:eastAsia="Times New Roman" w:hAnsi="Times New Roman" w:cs="Times New Roman"/>
          <w:sz w:val="24"/>
          <w:szCs w:val="24"/>
        </w:rPr>
      </w:pPr>
    </w:p>
    <w:p w14:paraId="18C0841A" w14:textId="62300754" w:rsidR="00795E33" w:rsidRPr="00407DC7" w:rsidRDefault="00795E33" w:rsidP="00AD02B9">
      <w:pPr>
        <w:spacing w:line="240" w:lineRule="auto"/>
        <w:rPr>
          <w:rFonts w:ascii="Times New Roman" w:eastAsia="Times New Roman" w:hAnsi="Times New Roman" w:cs="Times New Roman"/>
          <w:sz w:val="24"/>
          <w:szCs w:val="24"/>
        </w:rPr>
      </w:pPr>
    </w:p>
    <w:p w14:paraId="67961461" w14:textId="0398B88A" w:rsidR="00AD02B9" w:rsidRPr="00407DC7" w:rsidRDefault="00AD02B9" w:rsidP="00AD02B9">
      <w:pPr>
        <w:spacing w:line="240" w:lineRule="auto"/>
        <w:rPr>
          <w:rFonts w:ascii="Times New Roman" w:eastAsia="Times New Roman" w:hAnsi="Times New Roman" w:cs="Times New Roman"/>
          <w:sz w:val="24"/>
          <w:szCs w:val="24"/>
        </w:rPr>
      </w:pPr>
    </w:p>
    <w:p w14:paraId="14EC3DCF" w14:textId="460BE01A" w:rsidR="00AD02B9" w:rsidRPr="00407DC7" w:rsidRDefault="00AD02B9" w:rsidP="00AD02B9">
      <w:pPr>
        <w:spacing w:line="240" w:lineRule="auto"/>
        <w:rPr>
          <w:rFonts w:ascii="Times New Roman" w:eastAsia="Times New Roman" w:hAnsi="Times New Roman" w:cs="Times New Roman"/>
          <w:sz w:val="24"/>
          <w:szCs w:val="24"/>
        </w:rPr>
      </w:pPr>
    </w:p>
    <w:p w14:paraId="6BD3CA54" w14:textId="77777777" w:rsidR="001807C5" w:rsidRPr="00407DC7" w:rsidRDefault="001807C5" w:rsidP="00AD02B9">
      <w:pPr>
        <w:spacing w:line="240" w:lineRule="auto"/>
        <w:rPr>
          <w:rFonts w:ascii="Times New Roman" w:eastAsia="Times New Roman" w:hAnsi="Times New Roman" w:cs="Times New Roman"/>
          <w:sz w:val="24"/>
          <w:szCs w:val="24"/>
        </w:rPr>
      </w:pPr>
    </w:p>
    <w:p w14:paraId="54A67514" w14:textId="54966E3C" w:rsidR="00795E33" w:rsidRPr="00407DC7" w:rsidRDefault="00147938" w:rsidP="00AD02B9">
      <w:pPr>
        <w:numPr>
          <w:ilvl w:val="0"/>
          <w:numId w:val="3"/>
        </w:numPr>
        <w:spacing w:line="240" w:lineRule="auto"/>
        <w:rPr>
          <w:rFonts w:ascii="Times New Roman" w:eastAsia="Times New Roman" w:hAnsi="Times New Roman" w:cs="Times New Roman"/>
          <w:b/>
          <w:bCs/>
          <w:sz w:val="24"/>
          <w:szCs w:val="24"/>
        </w:rPr>
      </w:pPr>
      <w:r w:rsidRPr="00407DC7">
        <w:rPr>
          <w:rFonts w:ascii="Times New Roman" w:eastAsia="Times New Roman" w:hAnsi="Times New Roman" w:cs="Times New Roman"/>
          <w:b/>
          <w:bCs/>
          <w:sz w:val="24"/>
          <w:szCs w:val="24"/>
        </w:rPr>
        <w:t>Appendix</w:t>
      </w:r>
      <w:r w:rsidR="00795E33" w:rsidRPr="00407DC7">
        <w:rPr>
          <w:rFonts w:ascii="Times New Roman" w:eastAsia="Times New Roman" w:hAnsi="Times New Roman" w:cs="Times New Roman"/>
          <w:b/>
          <w:bCs/>
          <w:sz w:val="24"/>
          <w:szCs w:val="24"/>
        </w:rPr>
        <w:t xml:space="preserve"> Methods</w:t>
      </w:r>
    </w:p>
    <w:p w14:paraId="6FA6C21C" w14:textId="77777777" w:rsidR="00DD4F72" w:rsidRPr="00407DC7" w:rsidRDefault="00DD4F72" w:rsidP="00DD4F72">
      <w:pPr>
        <w:spacing w:line="240" w:lineRule="auto"/>
        <w:rPr>
          <w:rFonts w:ascii="Times New Roman" w:eastAsia="Times New Roman" w:hAnsi="Times New Roman" w:cs="Times New Roman"/>
          <w:sz w:val="24"/>
          <w:szCs w:val="24"/>
        </w:rPr>
      </w:pPr>
    </w:p>
    <w:p w14:paraId="786CE1DB" w14:textId="0E0C7E1D" w:rsidR="55C8311A" w:rsidRDefault="55C8311A" w:rsidP="55C8311A">
      <w:pPr>
        <w:spacing w:line="240" w:lineRule="auto"/>
        <w:rPr>
          <w:rFonts w:ascii="Times New Roman" w:eastAsia="Times New Roman" w:hAnsi="Times New Roman" w:cs="Times New Roman"/>
          <w:sz w:val="24"/>
          <w:szCs w:val="24"/>
        </w:rPr>
      </w:pPr>
      <w:r w:rsidRPr="55C8311A">
        <w:rPr>
          <w:rFonts w:ascii="Times New Roman" w:eastAsia="Times New Roman" w:hAnsi="Times New Roman" w:cs="Times New Roman"/>
          <w:i/>
          <w:iCs/>
          <w:sz w:val="24"/>
          <w:szCs w:val="24"/>
          <w:highlight w:val="white"/>
        </w:rPr>
        <w:t xml:space="preserve">Study Setting – </w:t>
      </w:r>
      <w:r w:rsidRPr="55C8311A">
        <w:rPr>
          <w:rFonts w:ascii="Times New Roman" w:eastAsia="Times New Roman" w:hAnsi="Times New Roman" w:cs="Times New Roman"/>
          <w:sz w:val="24"/>
          <w:szCs w:val="24"/>
        </w:rPr>
        <w:t>This retrospective cross-sectional study included patients hospitalized in either of two medical SSUs at a single academic medical center. The units care for patients requiring hospitalization with an anticipated stay of less than three days. In 2019, average length of stay was 50 hours. Neither SSU has dedicated antibiotic stewardship presence. However, many SSU physicians also round on the inpatient hospitalist service which has strong stewardship involvement, including rounding with clinical pharmacists to reinforce institutional antibiotic guidelines. Recent inpatient stewardship has targeted antibiotic overuse at discharge and excess antibiotic duration for community-acquired pneumonia (CAP) (1). Notably, the inpatient hospital medicine services performed in the top 25% of regional hospitals in both initiatives (2,3). All institutional guidelines related to antibiotic prescribing are accessible to SSU providers.</w:t>
      </w:r>
    </w:p>
    <w:p w14:paraId="727F113A" w14:textId="3FFEBD45" w:rsidR="55C8311A" w:rsidRDefault="55C8311A" w:rsidP="55C8311A">
      <w:pPr>
        <w:spacing w:line="240" w:lineRule="auto"/>
        <w:rPr>
          <w:i/>
          <w:iCs/>
          <w:highlight w:val="white"/>
        </w:rPr>
      </w:pPr>
    </w:p>
    <w:p w14:paraId="1C4776C4" w14:textId="782913BF" w:rsidR="004438D0" w:rsidRDefault="00795E33" w:rsidP="00AD02B9">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i/>
          <w:sz w:val="24"/>
          <w:szCs w:val="24"/>
          <w:highlight w:val="white"/>
        </w:rPr>
        <w:t xml:space="preserve">Study Participants </w:t>
      </w:r>
      <w:r w:rsidR="004438D0" w:rsidRPr="00407DC7">
        <w:rPr>
          <w:rFonts w:ascii="Times New Roman" w:eastAsia="Times New Roman" w:hAnsi="Times New Roman" w:cs="Times New Roman"/>
          <w:sz w:val="24"/>
          <w:szCs w:val="24"/>
          <w:highlight w:val="white"/>
        </w:rPr>
        <w:t>–</w:t>
      </w:r>
      <w:r w:rsidRPr="00407DC7">
        <w:rPr>
          <w:rFonts w:ascii="Times New Roman" w:eastAsia="Times New Roman" w:hAnsi="Times New Roman" w:cs="Times New Roman"/>
          <w:sz w:val="24"/>
          <w:szCs w:val="24"/>
          <w:highlight w:val="white"/>
        </w:rPr>
        <w:t xml:space="preserve"> </w:t>
      </w:r>
      <w:r w:rsidR="004438D0" w:rsidRPr="00407DC7">
        <w:rPr>
          <w:rFonts w:ascii="Times New Roman" w:eastAsia="Times New Roman" w:hAnsi="Times New Roman" w:cs="Times New Roman"/>
          <w:sz w:val="24"/>
          <w:szCs w:val="24"/>
        </w:rPr>
        <w:t>We included adult patients discharged from SSUs between May 2018 and September 2019 with one of four primary diagnoses: pneumonia, UTI, SSTI, or “other”. Patients with a diagnosis of pneumonia were identified using discharge diagnostic coding and included all patients treated for CAP, CAP with risk factors for drug resistance (healthcare-associated pneumonia [HCAP] under previously used guidelines), and those treated for pneumonia who did not meet guideline-based diagnostic criteria for pneumonia (</w:t>
      </w:r>
      <w:r w:rsidR="00407DC7">
        <w:rPr>
          <w:rFonts w:ascii="Times New Roman" w:eastAsia="Times New Roman" w:hAnsi="Times New Roman" w:cs="Times New Roman"/>
          <w:sz w:val="24"/>
          <w:szCs w:val="24"/>
        </w:rPr>
        <w:t>4</w:t>
      </w:r>
      <w:r w:rsidR="004438D0" w:rsidRPr="00407DC7">
        <w:rPr>
          <w:rFonts w:ascii="Times New Roman" w:eastAsia="Times New Roman" w:hAnsi="Times New Roman" w:cs="Times New Roman"/>
          <w:sz w:val="24"/>
          <w:szCs w:val="24"/>
        </w:rPr>
        <w:t>,</w:t>
      </w:r>
      <w:r w:rsidR="00407DC7">
        <w:rPr>
          <w:rFonts w:ascii="Times New Roman" w:eastAsia="Times New Roman" w:hAnsi="Times New Roman" w:cs="Times New Roman"/>
          <w:sz w:val="24"/>
          <w:szCs w:val="24"/>
        </w:rPr>
        <w:t>5</w:t>
      </w:r>
      <w:r w:rsidR="004438D0" w:rsidRPr="00407DC7">
        <w:rPr>
          <w:rFonts w:ascii="Times New Roman" w:eastAsia="Times New Roman" w:hAnsi="Times New Roman" w:cs="Times New Roman"/>
          <w:sz w:val="24"/>
          <w:szCs w:val="24"/>
        </w:rPr>
        <w:t xml:space="preserve">). Patients with a diagnosis of SSTI were identified using discharge diagnostic coding and included those treated for cellulitis, animal bite, and/or skin or soft tissue abscess. Patients with odontogenic involvement or preseptal/orbital cellulitis were included in the “other” category, along with cases of intra-abdominal infections (including acute uncomplicated diverticulitis, cholangitis with successful source control, and spontaneous bacterial peritonitis). Because ICD codes are neither sensitive nor specific for identifying UTI, we identified patients with a potential UTI based on presence of a positive urine culture, receipt of antibiotics, and no additional infectious diagnoses. Patients in this group included those with uncomplicated cystitis, complicated cystitis (male, immunosuppressed, or catheter-associated), pyelonephritis, and asymptomatic bacteriuria (ASB). </w:t>
      </w:r>
    </w:p>
    <w:p w14:paraId="6E3980D8" w14:textId="2F10C712" w:rsidR="00407DC7" w:rsidRDefault="00407DC7" w:rsidP="00AD02B9">
      <w:pPr>
        <w:spacing w:line="240" w:lineRule="auto"/>
        <w:rPr>
          <w:rFonts w:ascii="Times New Roman" w:eastAsia="Times New Roman" w:hAnsi="Times New Roman" w:cs="Times New Roman"/>
          <w:sz w:val="24"/>
          <w:szCs w:val="24"/>
        </w:rPr>
      </w:pPr>
    </w:p>
    <w:p w14:paraId="31B1C6E5" w14:textId="78554516" w:rsidR="00407DC7" w:rsidRPr="00407DC7" w:rsidRDefault="00407DC7" w:rsidP="00AD02B9">
      <w:pPr>
        <w:spacing w:line="240" w:lineRule="auto"/>
        <w:rPr>
          <w:rFonts w:ascii="Times New Roman" w:eastAsia="Times New Roman" w:hAnsi="Times New Roman" w:cs="Times New Roman"/>
          <w:sz w:val="24"/>
          <w:szCs w:val="24"/>
          <w:highlight w:val="white"/>
        </w:rPr>
      </w:pPr>
      <w:r w:rsidRPr="00407DC7">
        <w:rPr>
          <w:rFonts w:ascii="Times New Roman" w:eastAsia="Times New Roman" w:hAnsi="Times New Roman" w:cs="Times New Roman"/>
          <w:sz w:val="24"/>
          <w:szCs w:val="24"/>
        </w:rPr>
        <w:t>All potentially eligible patients received a random number and were reviewed in order of randomization until our target of 100 total patients were included (Appendix Figure 1).</w:t>
      </w:r>
    </w:p>
    <w:p w14:paraId="39B6FBAE" w14:textId="77777777" w:rsidR="004438D0" w:rsidRPr="00407DC7" w:rsidRDefault="004438D0" w:rsidP="00AD02B9">
      <w:pPr>
        <w:spacing w:line="240" w:lineRule="auto"/>
        <w:rPr>
          <w:rFonts w:ascii="Times New Roman" w:eastAsia="Times New Roman" w:hAnsi="Times New Roman" w:cs="Times New Roman"/>
          <w:sz w:val="24"/>
          <w:szCs w:val="24"/>
          <w:highlight w:val="white"/>
        </w:rPr>
      </w:pPr>
    </w:p>
    <w:p w14:paraId="10E664D3" w14:textId="6561BEDB" w:rsidR="00795E33" w:rsidRPr="00407DC7" w:rsidRDefault="55C8311A" w:rsidP="00AD02B9">
      <w:pPr>
        <w:spacing w:line="240" w:lineRule="auto"/>
        <w:rPr>
          <w:rFonts w:ascii="Times New Roman" w:eastAsia="Times New Roman" w:hAnsi="Times New Roman" w:cs="Times New Roman"/>
          <w:sz w:val="24"/>
          <w:szCs w:val="24"/>
          <w:highlight w:val="white"/>
        </w:rPr>
      </w:pPr>
      <w:r w:rsidRPr="55C8311A">
        <w:rPr>
          <w:rFonts w:ascii="Times New Roman" w:eastAsia="Times New Roman" w:hAnsi="Times New Roman" w:cs="Times New Roman"/>
          <w:sz w:val="24"/>
          <w:szCs w:val="24"/>
          <w:highlight w:val="white"/>
        </w:rPr>
        <w:t xml:space="preserve">The full list of exclusion criteria included: patients who did not receive antibiotics at discharge, patients being treated for an infection without a clear institutional guideline with respect to treatment duration or antibiotic selection (i.e. tenosynovitis, diabetic foot infection, bursitis, </w:t>
      </w:r>
      <w:proofErr w:type="spellStart"/>
      <w:r w:rsidRPr="55C8311A">
        <w:rPr>
          <w:rFonts w:ascii="Times New Roman" w:eastAsia="Times New Roman" w:hAnsi="Times New Roman" w:cs="Times New Roman"/>
          <w:sz w:val="24"/>
          <w:szCs w:val="24"/>
          <w:highlight w:val="white"/>
        </w:rPr>
        <w:t>epididymo</w:t>
      </w:r>
      <w:proofErr w:type="spellEnd"/>
      <w:r w:rsidRPr="55C8311A">
        <w:rPr>
          <w:rFonts w:ascii="Times New Roman" w:eastAsia="Times New Roman" w:hAnsi="Times New Roman" w:cs="Times New Roman"/>
          <w:sz w:val="24"/>
          <w:szCs w:val="24"/>
          <w:highlight w:val="white"/>
        </w:rPr>
        <w:t xml:space="preserve">-orchitis, suppurative parotitis, bacteremia without clear source, deep traumatic SSTI with possible myositis, UTI with obstructing ureteral stone, SSTI with graft), patients on chronic suppressive antibiotics, patients diagnosed with multiple unrelated infections, severe immunosuppression (patients with AIDS [CD4 &lt;0.200 x109 cells/L], neutropenia [ANC &lt;0.500 x 109 cells/L], history of solid organ transplant or BMT, or receipt of two or more immunosuppressive agents), patients who were pregnant, those who failed to clinically improve within 72 hours of appropriate treatment (e.g., developed complication, required higher level of care, by day 3 still had &gt;1 sign of clinical instability [heart rate &gt;100 beats/min, respiratory rate &gt;24 breaths/min, systolic blood pressure &lt;90 mm Hg, arterial saturation &lt;90% on room air or oxygen requirement higher than at baseline, or altered mental status higher than at baseline]), </w:t>
      </w:r>
      <w:r w:rsidRPr="55C8311A">
        <w:rPr>
          <w:rFonts w:ascii="Times New Roman" w:eastAsia="Times New Roman" w:hAnsi="Times New Roman" w:cs="Times New Roman"/>
          <w:sz w:val="24"/>
          <w:szCs w:val="24"/>
          <w:highlight w:val="white"/>
        </w:rPr>
        <w:lastRenderedPageBreak/>
        <w:t xml:space="preserve">those who were admitted from or discharged to hospice, and those admitted to or discharged from another service. </w:t>
      </w:r>
    </w:p>
    <w:p w14:paraId="09FD9989" w14:textId="60F7C8C0" w:rsidR="004438D0" w:rsidRPr="00407DC7" w:rsidRDefault="004438D0" w:rsidP="00AD02B9">
      <w:pPr>
        <w:spacing w:line="240" w:lineRule="auto"/>
        <w:rPr>
          <w:rFonts w:ascii="Times New Roman" w:eastAsia="Times New Roman" w:hAnsi="Times New Roman" w:cs="Times New Roman"/>
          <w:sz w:val="24"/>
          <w:szCs w:val="24"/>
          <w:highlight w:val="white"/>
        </w:rPr>
      </w:pPr>
    </w:p>
    <w:p w14:paraId="5792A821" w14:textId="66B45F21" w:rsidR="00FA69CB" w:rsidRPr="00407DC7" w:rsidRDefault="00FA69CB" w:rsidP="00AD02B9">
      <w:pPr>
        <w:spacing w:line="240" w:lineRule="auto"/>
        <w:rPr>
          <w:rFonts w:ascii="Times New Roman" w:eastAsia="Times New Roman" w:hAnsi="Times New Roman" w:cs="Times New Roman"/>
          <w:i/>
          <w:sz w:val="24"/>
          <w:szCs w:val="24"/>
          <w:highlight w:val="white"/>
        </w:rPr>
      </w:pPr>
    </w:p>
    <w:p w14:paraId="04712421" w14:textId="79AD2B12" w:rsidR="00FA69CB" w:rsidRPr="00407DC7" w:rsidRDefault="55C8311A" w:rsidP="00FA69CB">
      <w:pPr>
        <w:spacing w:line="240" w:lineRule="auto"/>
        <w:rPr>
          <w:rFonts w:ascii="Times New Roman" w:eastAsia="Times New Roman" w:hAnsi="Times New Roman" w:cs="Times New Roman"/>
          <w:sz w:val="24"/>
          <w:szCs w:val="24"/>
          <w:highlight w:val="white"/>
        </w:rPr>
      </w:pPr>
      <w:r w:rsidRPr="55C8311A">
        <w:rPr>
          <w:rFonts w:ascii="Times New Roman" w:eastAsia="Times New Roman" w:hAnsi="Times New Roman" w:cs="Times New Roman"/>
          <w:i/>
          <w:iCs/>
          <w:sz w:val="24"/>
          <w:szCs w:val="24"/>
          <w:highlight w:val="white"/>
        </w:rPr>
        <w:t>Definition of Antibiotic Overuse after Discharge</w:t>
      </w:r>
      <w:r w:rsidRPr="55C8311A">
        <w:rPr>
          <w:rFonts w:ascii="Times New Roman" w:eastAsia="Times New Roman" w:hAnsi="Times New Roman" w:cs="Times New Roman"/>
          <w:sz w:val="24"/>
          <w:szCs w:val="24"/>
          <w:highlight w:val="white"/>
        </w:rPr>
        <w:t xml:space="preserve"> - Antibiotic overuse was subdivided into categories that are common during care transitions based on prior studies (6-8): unnecessary antibiotic use, excess duration, and guideline discordant selection. The specific criteria for overuse was determined using prior guidelines (2,9,10). Unnecessary antibiotic use was defined as antibiotics prescribed for non-infectious disease states or non-bacterial infections (11), which included patients who did not meet guideline criteria for bacterial pneumonia (12) and patients with asymptomatic bacteriuria (9, 10). This was not assessed for SSTI due to the limitations of chart review and diagnoses were assumed to be correct. “Excess duration” was defined as antibiotics prescribed “beyond the indicated duration of therapy absent any clinical reason for a lengthened course” (11). This involved cases where the combined inpatient and outpatient duration of therapy was more than one day longer than recommended per internal institutional guidelines. Of note, </w:t>
      </w:r>
      <w:r w:rsidRPr="55C8311A">
        <w:rPr>
          <w:rFonts w:ascii="Times New Roman" w:eastAsia="Times New Roman" w:hAnsi="Times New Roman" w:cs="Times New Roman"/>
          <w:sz w:val="24"/>
          <w:szCs w:val="24"/>
        </w:rPr>
        <w:t xml:space="preserve">though our institutional guidelines recommend 5-day treatment durations for patients with SSTI who are clinically improving, national guidelines allow for up to 7 days (13). Thus, we report the percentage of patients receiving an excess duration using a 7-day cutoff for SSTIs with clinical improvement. </w:t>
      </w:r>
      <w:r w:rsidRPr="55C8311A">
        <w:rPr>
          <w:rFonts w:ascii="Times New Roman" w:eastAsia="Times New Roman" w:hAnsi="Times New Roman" w:cs="Times New Roman"/>
          <w:sz w:val="24"/>
          <w:szCs w:val="24"/>
          <w:highlight w:val="white"/>
        </w:rPr>
        <w:t>Any duration was considered appropriate for cases in which the patient had failed &gt;72 hours of appropriate outpatient antibiotics. Guideline discordant selection was further categorized into suboptimal and inappropriate antibiotic use. Suboptimal use refers to antibiotics that, although potentially effective for the diagnosed infection, were inconsistent with institutional guidelines without documentation of or otherwise apparent rationale to avoid preferred agents. This includes suboptimal use of fluoroquinolone therapy defined as use of “fluoroquinolones (levofloxacin, ciprofloxacin, or [for pneumonia only] moxifloxacin) prescribed when a safer alternative was available after accounting for allergies, resistance, condition, and contraindications” (3). Inappropriate antibiotic selection includes antibiotics prescribed that did not cover the isolated or probable infectious organism(s). This included cases where the provider did not adjust treatment based on culture data when indicated.</w:t>
      </w:r>
    </w:p>
    <w:p w14:paraId="00635586" w14:textId="2C33EB39" w:rsidR="00D43E12" w:rsidRPr="00407DC7" w:rsidRDefault="00D43E12" w:rsidP="00FA69CB">
      <w:pPr>
        <w:spacing w:line="240" w:lineRule="auto"/>
        <w:rPr>
          <w:rFonts w:ascii="Times New Roman" w:eastAsia="Times New Roman" w:hAnsi="Times New Roman" w:cs="Times New Roman"/>
          <w:sz w:val="24"/>
          <w:szCs w:val="24"/>
          <w:highlight w:val="white"/>
        </w:rPr>
      </w:pPr>
    </w:p>
    <w:p w14:paraId="607EAB51" w14:textId="7370FB7A" w:rsidR="00D43E12" w:rsidRPr="00407DC7" w:rsidRDefault="55C8311A" w:rsidP="00FA69CB">
      <w:pPr>
        <w:spacing w:line="240" w:lineRule="auto"/>
        <w:rPr>
          <w:rFonts w:ascii="Times New Roman" w:eastAsia="Times New Roman" w:hAnsi="Times New Roman" w:cs="Times New Roman"/>
          <w:sz w:val="24"/>
          <w:szCs w:val="24"/>
          <w:highlight w:val="white"/>
        </w:rPr>
      </w:pPr>
      <w:r w:rsidRPr="55C8311A">
        <w:rPr>
          <w:rFonts w:ascii="Times New Roman" w:eastAsia="Times New Roman" w:hAnsi="Times New Roman" w:cs="Times New Roman"/>
          <w:sz w:val="24"/>
          <w:szCs w:val="24"/>
          <w:highlight w:val="white"/>
        </w:rPr>
        <w:t xml:space="preserve">Institutional treatment guidelines were considered the gold standard for antibiotic selection and treatment duration. A simplified form of institutional guidelines is available as a pocket-card to all providers (Appendix Figure 2) with complete guidelines accessible online (see Appendix Figure 2 footnote). </w:t>
      </w:r>
      <w:r w:rsidRPr="55C8311A">
        <w:rPr>
          <w:rFonts w:ascii="Times New Roman" w:eastAsia="Times New Roman" w:hAnsi="Times New Roman" w:cs="Times New Roman"/>
          <w:sz w:val="24"/>
          <w:szCs w:val="24"/>
        </w:rPr>
        <w:t>A fully appropriate antibiotic regimen required a guideline-concordant antibiotic prescribed for an appropriate duration to treat a condition that was considered to be a bacterial infection. When evidence for appropriate treatment was conflicting, treatment was considered appropriate.</w:t>
      </w:r>
    </w:p>
    <w:p w14:paraId="790C6E7B" w14:textId="77777777" w:rsidR="00FA69CB" w:rsidRPr="00407DC7" w:rsidRDefault="00FA69CB" w:rsidP="55C8311A">
      <w:pPr>
        <w:spacing w:line="240" w:lineRule="auto"/>
        <w:rPr>
          <w:rFonts w:ascii="Times New Roman" w:eastAsia="Times New Roman" w:hAnsi="Times New Roman" w:cs="Times New Roman"/>
          <w:i/>
          <w:iCs/>
          <w:sz w:val="24"/>
          <w:szCs w:val="24"/>
          <w:highlight w:val="white"/>
        </w:rPr>
      </w:pPr>
    </w:p>
    <w:p w14:paraId="373883D9" w14:textId="4F69815A" w:rsidR="55C8311A" w:rsidRDefault="55C8311A" w:rsidP="55C8311A">
      <w:pPr>
        <w:spacing w:line="240" w:lineRule="auto"/>
        <w:rPr>
          <w:i/>
          <w:iCs/>
          <w:highlight w:val="white"/>
        </w:rPr>
      </w:pPr>
    </w:p>
    <w:p w14:paraId="2A7E6C14" w14:textId="782A846C" w:rsidR="55C8311A" w:rsidRDefault="55C8311A" w:rsidP="55C8311A">
      <w:pPr>
        <w:spacing w:line="240" w:lineRule="auto"/>
        <w:rPr>
          <w:rFonts w:ascii="Times New Roman" w:eastAsia="Times New Roman" w:hAnsi="Times New Roman" w:cs="Times New Roman"/>
          <w:sz w:val="24"/>
          <w:szCs w:val="24"/>
          <w:highlight w:val="white"/>
        </w:rPr>
      </w:pPr>
      <w:r w:rsidRPr="55C8311A">
        <w:rPr>
          <w:rFonts w:ascii="Times New Roman" w:eastAsia="Times New Roman" w:hAnsi="Times New Roman" w:cs="Times New Roman"/>
          <w:i/>
          <w:iCs/>
          <w:sz w:val="24"/>
          <w:szCs w:val="24"/>
          <w:highlight w:val="white"/>
        </w:rPr>
        <w:t>Data Collection</w:t>
      </w:r>
      <w:r w:rsidRPr="55C8311A">
        <w:rPr>
          <w:rFonts w:ascii="Times New Roman" w:eastAsia="Times New Roman" w:hAnsi="Times New Roman" w:cs="Times New Roman"/>
          <w:sz w:val="24"/>
          <w:szCs w:val="24"/>
          <w:highlight w:val="white"/>
        </w:rPr>
        <w:t xml:space="preserve"> – </w:t>
      </w:r>
      <w:r w:rsidRPr="55C8311A">
        <w:rPr>
          <w:rFonts w:ascii="Times New Roman" w:eastAsia="Times New Roman" w:hAnsi="Times New Roman" w:cs="Times New Roman"/>
          <w:sz w:val="24"/>
          <w:szCs w:val="24"/>
        </w:rPr>
        <w:t xml:space="preserve">Patient data, including demographics, length of stay, Charlson comorbidity index, and primary care physician, were digitally extracted from the clinical data warehouse. Additional patient information manually collected by two independent reviewers in duplicate from the medical record included: diagnostic information, comorbidities, antibiotic prescriptions, culture results, clinical course details (e.g. source control procedures, consultations), and an assessment antibiotic appropriateness (see above). </w:t>
      </w:r>
      <w:r w:rsidRPr="55C8311A">
        <w:rPr>
          <w:rFonts w:ascii="Times New Roman" w:eastAsia="Times New Roman" w:hAnsi="Times New Roman" w:cs="Times New Roman"/>
          <w:sz w:val="24"/>
          <w:szCs w:val="24"/>
          <w:highlight w:val="white"/>
        </w:rPr>
        <w:t>“Source control procedure” referred to patients who required a source control procedure (e.g. incision and drainage for purulent cellulitis or dental abscess) during their inpatient stay.</w:t>
      </w:r>
      <w:r w:rsidRPr="55C8311A">
        <w:rPr>
          <w:rFonts w:ascii="Times New Roman" w:eastAsia="Times New Roman" w:hAnsi="Times New Roman" w:cs="Times New Roman"/>
          <w:sz w:val="24"/>
          <w:szCs w:val="24"/>
        </w:rPr>
        <w:t xml:space="preserve"> </w:t>
      </w:r>
      <w:r w:rsidRPr="55C8311A">
        <w:rPr>
          <w:rFonts w:ascii="Times New Roman" w:eastAsia="Times New Roman" w:hAnsi="Times New Roman" w:cs="Times New Roman"/>
          <w:sz w:val="24"/>
          <w:szCs w:val="24"/>
          <w:highlight w:val="white"/>
        </w:rPr>
        <w:t xml:space="preserve">For these cases, duration of treatment was </w:t>
      </w:r>
      <w:r w:rsidRPr="55C8311A">
        <w:rPr>
          <w:rFonts w:ascii="Times New Roman" w:eastAsia="Times New Roman" w:hAnsi="Times New Roman" w:cs="Times New Roman"/>
          <w:sz w:val="24"/>
          <w:szCs w:val="24"/>
          <w:highlight w:val="white"/>
        </w:rPr>
        <w:lastRenderedPageBreak/>
        <w:t>calculated as beginning after this procedure occurred.</w:t>
      </w:r>
      <w:r w:rsidRPr="55C8311A">
        <w:rPr>
          <w:rFonts w:ascii="Times New Roman" w:eastAsia="Times New Roman" w:hAnsi="Times New Roman" w:cs="Times New Roman"/>
          <w:sz w:val="24"/>
          <w:szCs w:val="24"/>
        </w:rPr>
        <w:t xml:space="preserve"> Treatment duration was determined by manual review of the medication administration record and was rounded to the nearest half day. </w:t>
      </w:r>
    </w:p>
    <w:p w14:paraId="71511A2E" w14:textId="7A83EBCD" w:rsidR="55C8311A" w:rsidRDefault="55C8311A" w:rsidP="55C8311A">
      <w:pPr>
        <w:spacing w:line="240" w:lineRule="auto"/>
        <w:rPr>
          <w:rFonts w:ascii="Times New Roman" w:eastAsia="Times New Roman" w:hAnsi="Times New Roman" w:cs="Times New Roman"/>
          <w:sz w:val="24"/>
          <w:szCs w:val="24"/>
        </w:rPr>
      </w:pPr>
    </w:p>
    <w:p w14:paraId="60CE37DB" w14:textId="798E2C0E" w:rsidR="55C8311A" w:rsidRDefault="55C8311A" w:rsidP="55C8311A">
      <w:pPr>
        <w:spacing w:line="240" w:lineRule="auto"/>
        <w:rPr>
          <w:rFonts w:ascii="Times New Roman" w:eastAsia="Times New Roman" w:hAnsi="Times New Roman" w:cs="Times New Roman"/>
          <w:sz w:val="24"/>
          <w:szCs w:val="24"/>
          <w:highlight w:val="white"/>
        </w:rPr>
      </w:pPr>
      <w:r w:rsidRPr="55C8311A">
        <w:rPr>
          <w:rFonts w:ascii="Times New Roman" w:eastAsia="Times New Roman" w:hAnsi="Times New Roman" w:cs="Times New Roman"/>
          <w:sz w:val="24"/>
          <w:szCs w:val="24"/>
        </w:rPr>
        <w:t xml:space="preserve">The reviewers also evaluated for documented factors appearing to regularly influence antibiotic prescribing (“slow to respond”, “failure of outpatient therapy”) and lead to overuse including prescribing errors. </w:t>
      </w:r>
      <w:r w:rsidRPr="55C8311A">
        <w:rPr>
          <w:rFonts w:ascii="Times New Roman" w:eastAsia="Times New Roman" w:hAnsi="Times New Roman" w:cs="Times New Roman"/>
          <w:sz w:val="24"/>
          <w:szCs w:val="24"/>
          <w:highlight w:val="white"/>
        </w:rPr>
        <w:t>“Slow to respond” was defined as patients documented by providers as demonstrating delayed clinical improvement despite having received less than 48-72 hours of appropriate therapy.   “Failure of outpatient therapy” refers to patients who were documented as not clinically responding to preceding outpatient antibiotics despite having previously received an inappropriate regimen, less than 72 hours of appropriate therapy, or antibiotics without source control when indicated. This included patients with purulent cellulitis who had received seemingly appropriate antibiotics but had not yet undergone source control. “Miscalculation of duration” included cases where the provider documented duration of therapy differed from the duration received by the patient (e.g. stating 7 days were prescribed in discharge summary when 9 days were actually prescribed) as well as cases that failed to account for inpatient therapy in the total duration (e.g. giving the guideline recommended number of days as outpatient therapy but not including inpatient days of therapy already given).</w:t>
      </w:r>
    </w:p>
    <w:p w14:paraId="4CA22BAD" w14:textId="390DDA75" w:rsidR="55C8311A" w:rsidRDefault="55C8311A" w:rsidP="55C8311A">
      <w:pPr>
        <w:spacing w:line="240" w:lineRule="auto"/>
      </w:pPr>
    </w:p>
    <w:p w14:paraId="6179F719" w14:textId="77777777" w:rsidR="004B32FA" w:rsidRPr="00407DC7" w:rsidRDefault="00795E33" w:rsidP="00AD02B9">
      <w:pPr>
        <w:spacing w:line="240" w:lineRule="auto"/>
        <w:rPr>
          <w:rFonts w:ascii="Times New Roman" w:eastAsia="Gungsuh" w:hAnsi="Times New Roman" w:cs="Times New Roman"/>
          <w:sz w:val="24"/>
          <w:szCs w:val="24"/>
          <w:highlight w:val="white"/>
        </w:rPr>
      </w:pPr>
      <w:r w:rsidRPr="00407DC7">
        <w:rPr>
          <w:rFonts w:ascii="Times New Roman" w:eastAsia="Times New Roman" w:hAnsi="Times New Roman" w:cs="Times New Roman"/>
          <w:sz w:val="24"/>
          <w:szCs w:val="24"/>
          <w:highlight w:val="white"/>
        </w:rPr>
        <w:t xml:space="preserve">Comorbidities recorded included moderately immunosuppressed (defined as </w:t>
      </w:r>
      <w:r w:rsidRPr="00407DC7">
        <w:rPr>
          <w:rFonts w:ascii="Times New Roman" w:eastAsia="Gungsuh" w:hAnsi="Times New Roman" w:cs="Times New Roman"/>
          <w:sz w:val="24"/>
          <w:szCs w:val="24"/>
          <w:highlight w:val="white"/>
        </w:rPr>
        <w:t xml:space="preserve">HIV with CD4 count above 0.200 × 109 cells/L, chemotherapy within 30 days, treatment for leukemia or lymphoma within 6 months, long-term steroid use (≥10 mg of prednisone per day or equivalent), use of a biologic agent (such as a tumor necrosis factor inhibitor), or presence of a congenital or acquired immunodeficiency (for example, asplenia, nephrotic syndrome, or renal transplant &gt;1 year prior), otherwise immunosuppressed (defined as immunosuppression not meeting definition for severe or moderate immunosuppression as previously described), type 2 diabetes mellitus (T2DM), chronic obstructive pulmonary disease (COPD), end-stage renal disease (ESRD), and cirrhosis. </w:t>
      </w:r>
    </w:p>
    <w:p w14:paraId="5A9EF112" w14:textId="33160292" w:rsidR="00C50654" w:rsidRPr="00407DC7" w:rsidRDefault="00C50654" w:rsidP="55C8311A">
      <w:pPr>
        <w:spacing w:line="240" w:lineRule="auto"/>
        <w:rPr>
          <w:highlight w:val="white"/>
        </w:rPr>
      </w:pPr>
    </w:p>
    <w:p w14:paraId="7E2ED1A2" w14:textId="649C8C22" w:rsidR="00C50654" w:rsidRPr="00407DC7" w:rsidRDefault="00795E33" w:rsidP="55C8311A">
      <w:pPr>
        <w:spacing w:line="240" w:lineRule="auto"/>
        <w:rPr>
          <w:rFonts w:ascii="Times New Roman" w:eastAsia="Times New Roman" w:hAnsi="Times New Roman" w:cs="Times New Roman"/>
          <w:i/>
          <w:iCs/>
          <w:sz w:val="24"/>
          <w:szCs w:val="24"/>
          <w:highlight w:val="white"/>
        </w:rPr>
      </w:pPr>
      <w:r>
        <w:br/>
      </w:r>
      <w:r w:rsidR="55C8311A" w:rsidRPr="55C8311A">
        <w:rPr>
          <w:rFonts w:ascii="Times New Roman" w:eastAsia="Times New Roman" w:hAnsi="Times New Roman" w:cs="Times New Roman"/>
          <w:i/>
          <w:iCs/>
          <w:sz w:val="24"/>
          <w:szCs w:val="24"/>
          <w:highlight w:val="white"/>
        </w:rPr>
        <w:t xml:space="preserve">Data analysis - </w:t>
      </w:r>
      <w:r w:rsidR="55C8311A" w:rsidRPr="55C8311A">
        <w:rPr>
          <w:rFonts w:ascii="Times New Roman" w:eastAsia="Times New Roman" w:hAnsi="Times New Roman" w:cs="Times New Roman"/>
          <w:sz w:val="24"/>
          <w:szCs w:val="24"/>
          <w:highlight w:val="white"/>
        </w:rPr>
        <w:t>Interquartile range for datasets were calculated using Microsoft Excel. This method varies from the more commonly used method of calculating quartiles. In this method, percentiles are assigned to each value in the array. Values before and after the specific percentile (25th and 75th) are identified, and the quartile is identified by linearly interpolating between these values based on the percentile. As such, reported quartile values may be reported as rounded to the nearest tenth.</w:t>
      </w:r>
    </w:p>
    <w:p w14:paraId="629DA47C" w14:textId="2C586691" w:rsidR="00AD02B9" w:rsidRDefault="00AD02B9" w:rsidP="00AD02B9">
      <w:pPr>
        <w:spacing w:line="240" w:lineRule="auto"/>
        <w:rPr>
          <w:rFonts w:ascii="Times New Roman" w:eastAsia="Times New Roman" w:hAnsi="Times New Roman" w:cs="Times New Roman"/>
          <w:sz w:val="24"/>
          <w:szCs w:val="24"/>
          <w:highlight w:val="white"/>
        </w:rPr>
      </w:pPr>
    </w:p>
    <w:p w14:paraId="566382E5" w14:textId="42A16A33" w:rsidR="00B55B58" w:rsidRDefault="00B55B58" w:rsidP="00AD02B9">
      <w:pPr>
        <w:spacing w:line="240" w:lineRule="auto"/>
        <w:rPr>
          <w:rFonts w:ascii="Times New Roman" w:eastAsia="Times New Roman" w:hAnsi="Times New Roman" w:cs="Times New Roman"/>
          <w:sz w:val="24"/>
          <w:szCs w:val="24"/>
          <w:highlight w:val="white"/>
        </w:rPr>
      </w:pPr>
    </w:p>
    <w:p w14:paraId="45740CA8" w14:textId="1016529D" w:rsidR="00B55B58" w:rsidRDefault="00B55B58" w:rsidP="00AD02B9">
      <w:pPr>
        <w:spacing w:line="240" w:lineRule="auto"/>
        <w:rPr>
          <w:rFonts w:ascii="Times New Roman" w:eastAsia="Times New Roman" w:hAnsi="Times New Roman" w:cs="Times New Roman"/>
          <w:sz w:val="24"/>
          <w:szCs w:val="24"/>
          <w:highlight w:val="white"/>
        </w:rPr>
      </w:pPr>
    </w:p>
    <w:p w14:paraId="436C12BF" w14:textId="24180EB1" w:rsidR="00B55B58" w:rsidRDefault="00B55B58" w:rsidP="00AD02B9">
      <w:pPr>
        <w:spacing w:line="240" w:lineRule="auto"/>
        <w:rPr>
          <w:rFonts w:ascii="Times New Roman" w:eastAsia="Times New Roman" w:hAnsi="Times New Roman" w:cs="Times New Roman"/>
          <w:sz w:val="24"/>
          <w:szCs w:val="24"/>
          <w:highlight w:val="white"/>
        </w:rPr>
      </w:pPr>
    </w:p>
    <w:p w14:paraId="49F865F4" w14:textId="43ACDD91" w:rsidR="00B55B58" w:rsidRDefault="00B55B58" w:rsidP="00AD02B9">
      <w:pPr>
        <w:spacing w:line="240" w:lineRule="auto"/>
        <w:rPr>
          <w:rFonts w:ascii="Times New Roman" w:eastAsia="Times New Roman" w:hAnsi="Times New Roman" w:cs="Times New Roman"/>
          <w:sz w:val="24"/>
          <w:szCs w:val="24"/>
          <w:highlight w:val="white"/>
        </w:rPr>
      </w:pPr>
    </w:p>
    <w:p w14:paraId="59BCD26D" w14:textId="3BE175C4" w:rsidR="00B55B58" w:rsidRDefault="00B55B58" w:rsidP="00AD02B9">
      <w:pPr>
        <w:spacing w:line="240" w:lineRule="auto"/>
        <w:rPr>
          <w:rFonts w:ascii="Times New Roman" w:eastAsia="Times New Roman" w:hAnsi="Times New Roman" w:cs="Times New Roman"/>
          <w:sz w:val="24"/>
          <w:szCs w:val="24"/>
          <w:highlight w:val="white"/>
        </w:rPr>
      </w:pPr>
    </w:p>
    <w:p w14:paraId="536FB5B2" w14:textId="7F9A512A" w:rsidR="00B55B58" w:rsidRDefault="00B55B58" w:rsidP="00AD02B9">
      <w:pPr>
        <w:spacing w:line="240" w:lineRule="auto"/>
        <w:rPr>
          <w:rFonts w:ascii="Times New Roman" w:eastAsia="Times New Roman" w:hAnsi="Times New Roman" w:cs="Times New Roman"/>
          <w:sz w:val="24"/>
          <w:szCs w:val="24"/>
          <w:highlight w:val="white"/>
        </w:rPr>
      </w:pPr>
    </w:p>
    <w:p w14:paraId="5E28C0DA" w14:textId="5C7B4A21" w:rsidR="00B55B58" w:rsidRDefault="00B55B58" w:rsidP="00AD02B9">
      <w:pPr>
        <w:spacing w:line="240" w:lineRule="auto"/>
        <w:rPr>
          <w:rFonts w:ascii="Times New Roman" w:eastAsia="Times New Roman" w:hAnsi="Times New Roman" w:cs="Times New Roman"/>
          <w:sz w:val="24"/>
          <w:szCs w:val="24"/>
          <w:highlight w:val="white"/>
        </w:rPr>
      </w:pPr>
    </w:p>
    <w:p w14:paraId="00D7B327" w14:textId="6E008681" w:rsidR="00B55B58" w:rsidRDefault="00B55B58" w:rsidP="00AD02B9">
      <w:pPr>
        <w:spacing w:line="240" w:lineRule="auto"/>
        <w:rPr>
          <w:rFonts w:ascii="Times New Roman" w:eastAsia="Times New Roman" w:hAnsi="Times New Roman" w:cs="Times New Roman"/>
          <w:sz w:val="24"/>
          <w:szCs w:val="24"/>
          <w:highlight w:val="white"/>
        </w:rPr>
      </w:pPr>
    </w:p>
    <w:p w14:paraId="79262036" w14:textId="7840907E" w:rsidR="55C8311A" w:rsidRDefault="55C8311A" w:rsidP="55C8311A">
      <w:pPr>
        <w:spacing w:line="240" w:lineRule="auto"/>
        <w:rPr>
          <w:highlight w:val="white"/>
        </w:rPr>
      </w:pPr>
    </w:p>
    <w:p w14:paraId="5BECCC37" w14:textId="2663401C" w:rsidR="00B55B58" w:rsidRDefault="00B55B58" w:rsidP="00AD02B9">
      <w:pPr>
        <w:spacing w:line="240" w:lineRule="auto"/>
        <w:rPr>
          <w:rFonts w:ascii="Times New Roman" w:eastAsia="Times New Roman" w:hAnsi="Times New Roman" w:cs="Times New Roman"/>
          <w:sz w:val="24"/>
          <w:szCs w:val="24"/>
          <w:highlight w:val="white"/>
        </w:rPr>
      </w:pPr>
    </w:p>
    <w:p w14:paraId="489F3BC0" w14:textId="1FC41CD4" w:rsidR="00B55B58" w:rsidRDefault="00B55B58" w:rsidP="00AD02B9">
      <w:pPr>
        <w:spacing w:line="240" w:lineRule="auto"/>
        <w:rPr>
          <w:rFonts w:ascii="Times New Roman" w:eastAsia="Times New Roman" w:hAnsi="Times New Roman" w:cs="Times New Roman"/>
          <w:sz w:val="24"/>
          <w:szCs w:val="24"/>
          <w:highlight w:val="white"/>
        </w:rPr>
      </w:pPr>
    </w:p>
    <w:p w14:paraId="118DB12E" w14:textId="48044EAB" w:rsidR="00811EA7" w:rsidRDefault="00147938" w:rsidP="004B2452">
      <w:pPr>
        <w:pStyle w:val="ListParagraph"/>
        <w:numPr>
          <w:ilvl w:val="0"/>
          <w:numId w:val="3"/>
        </w:numPr>
        <w:spacing w:line="240" w:lineRule="auto"/>
        <w:rPr>
          <w:rFonts w:ascii="Times New Roman" w:eastAsia="Times New Roman" w:hAnsi="Times New Roman" w:cs="Times New Roman"/>
          <w:b/>
          <w:bCs/>
          <w:sz w:val="24"/>
          <w:szCs w:val="24"/>
          <w:highlight w:val="white"/>
        </w:rPr>
      </w:pPr>
      <w:r w:rsidRPr="00407DC7">
        <w:rPr>
          <w:rFonts w:ascii="Times New Roman" w:eastAsia="Times New Roman" w:hAnsi="Times New Roman" w:cs="Times New Roman"/>
          <w:b/>
          <w:bCs/>
          <w:sz w:val="24"/>
          <w:szCs w:val="24"/>
          <w:highlight w:val="white"/>
        </w:rPr>
        <w:lastRenderedPageBreak/>
        <w:t>Appendix</w:t>
      </w:r>
      <w:r w:rsidR="00811EA7" w:rsidRPr="00407DC7">
        <w:rPr>
          <w:rFonts w:ascii="Times New Roman" w:eastAsia="Times New Roman" w:hAnsi="Times New Roman" w:cs="Times New Roman"/>
          <w:b/>
          <w:bCs/>
          <w:sz w:val="24"/>
          <w:szCs w:val="24"/>
          <w:highlight w:val="white"/>
        </w:rPr>
        <w:t xml:space="preserve"> Figures</w:t>
      </w:r>
    </w:p>
    <w:p w14:paraId="06FF6942" w14:textId="5BD01A8E" w:rsidR="00273733" w:rsidRPr="00407DC7" w:rsidRDefault="00273733" w:rsidP="00273733">
      <w:pPr>
        <w:spacing w:line="240" w:lineRule="auto"/>
        <w:rPr>
          <w:rFonts w:ascii="Times New Roman" w:eastAsia="Times New Roman" w:hAnsi="Times New Roman" w:cs="Times New Roman"/>
          <w:b/>
          <w:bCs/>
          <w:sz w:val="24"/>
          <w:szCs w:val="24"/>
        </w:rPr>
      </w:pPr>
      <w:r w:rsidRPr="00407DC7">
        <w:rPr>
          <w:rFonts w:ascii="Times New Roman" w:eastAsia="Times New Roman" w:hAnsi="Times New Roman" w:cs="Times New Roman"/>
          <w:b/>
          <w:noProof/>
          <w:sz w:val="24"/>
          <w:szCs w:val="24"/>
        </w:rPr>
        <w:drawing>
          <wp:anchor distT="0" distB="0" distL="114300" distR="114300" simplePos="0" relativeHeight="251662336" behindDoc="1" locked="0" layoutInCell="1" allowOverlap="1" wp14:anchorId="7174D49C" wp14:editId="2A0D5058">
            <wp:simplePos x="0" y="0"/>
            <wp:positionH relativeFrom="column">
              <wp:posOffset>-1280160</wp:posOffset>
            </wp:positionH>
            <wp:positionV relativeFrom="paragraph">
              <wp:posOffset>315422</wp:posOffset>
            </wp:positionV>
            <wp:extent cx="7734680" cy="4349931"/>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4680" cy="4349931"/>
                    </a:xfrm>
                    <a:prstGeom prst="rect">
                      <a:avLst/>
                    </a:prstGeom>
                  </pic:spPr>
                </pic:pic>
              </a:graphicData>
            </a:graphic>
            <wp14:sizeRelH relativeFrom="page">
              <wp14:pctWidth>0</wp14:pctWidth>
            </wp14:sizeRelH>
            <wp14:sizeRelV relativeFrom="page">
              <wp14:pctHeight>0</wp14:pctHeight>
            </wp14:sizeRelV>
          </wp:anchor>
        </w:drawing>
      </w:r>
    </w:p>
    <w:p w14:paraId="0F75CDD7"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356661CF"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33C31E96"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5F7938E8"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48890302"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4B453EB0"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3A82D369"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47F52515"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229C6A7A"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65AD879C"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4D385BD7"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06281DBA"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4C091B26"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14634B96"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4057779C"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76946566"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3602F011"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29C09950"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5CC6636F"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41E17D34"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028D129B"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790F6832"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5F1D4698"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012A0C84"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452EC885" w14:textId="77777777" w:rsidR="00273733" w:rsidRPr="00407DC7" w:rsidRDefault="00273733" w:rsidP="00273733">
      <w:pPr>
        <w:spacing w:line="240" w:lineRule="auto"/>
        <w:rPr>
          <w:rFonts w:ascii="Times New Roman" w:eastAsia="Times New Roman" w:hAnsi="Times New Roman" w:cs="Times New Roman"/>
          <w:b/>
          <w:bCs/>
          <w:sz w:val="24"/>
          <w:szCs w:val="24"/>
        </w:rPr>
      </w:pPr>
    </w:p>
    <w:p w14:paraId="2ECF625F" w14:textId="77777777" w:rsidR="00273733" w:rsidRPr="00407DC7" w:rsidRDefault="00273733" w:rsidP="00273733">
      <w:pPr>
        <w:spacing w:line="240" w:lineRule="auto"/>
        <w:rPr>
          <w:rFonts w:ascii="Times New Roman" w:eastAsia="Times New Roman" w:hAnsi="Times New Roman" w:cs="Times New Roman"/>
          <w:color w:val="212121"/>
          <w:sz w:val="24"/>
          <w:szCs w:val="24"/>
          <w:highlight w:val="white"/>
        </w:rPr>
      </w:pPr>
      <w:proofErr w:type="spellStart"/>
      <w:r>
        <w:rPr>
          <w:rFonts w:ascii="Times New Roman" w:eastAsia="Times New Roman" w:hAnsi="Times New Roman" w:cs="Times New Roman"/>
          <w:b/>
          <w:bCs/>
          <w:sz w:val="24"/>
          <w:szCs w:val="24"/>
        </w:rPr>
        <w:t>e</w:t>
      </w:r>
      <w:r w:rsidRPr="00407DC7">
        <w:rPr>
          <w:rFonts w:ascii="Times New Roman" w:eastAsia="Times New Roman" w:hAnsi="Times New Roman" w:cs="Times New Roman"/>
          <w:b/>
          <w:bCs/>
          <w:sz w:val="24"/>
          <w:szCs w:val="24"/>
        </w:rPr>
        <w:t>Figure</w:t>
      </w:r>
      <w:proofErr w:type="spellEnd"/>
      <w:r w:rsidRPr="00407DC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1</w:t>
      </w:r>
      <w:r w:rsidRPr="00407DC7">
        <w:rPr>
          <w:rFonts w:ascii="Times New Roman" w:eastAsia="Times New Roman" w:hAnsi="Times New Roman" w:cs="Times New Roman"/>
          <w:b/>
          <w:bCs/>
          <w:sz w:val="24"/>
          <w:szCs w:val="24"/>
        </w:rPr>
        <w:t>. Study Flow Diagram</w:t>
      </w:r>
    </w:p>
    <w:p w14:paraId="64FDA376" w14:textId="77777777" w:rsidR="00273733" w:rsidRPr="00407DC7" w:rsidRDefault="00273733" w:rsidP="00273733">
      <w:p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All potentially eligible patients discharged between 5/2018 and 9/2019 received a random number 1-276 and were reviewed in order of randomization until our target of 100 total patients were included for final analysis. Abbreviations: MSSU = Medical Short Stay Unit; UTI = urinary tract infection; SSTI = skin and soft tissue infection.</w:t>
      </w:r>
    </w:p>
    <w:p w14:paraId="6FC7F58E" w14:textId="77777777" w:rsidR="00273733" w:rsidRDefault="00273733" w:rsidP="00AF3428">
      <w:pPr>
        <w:spacing w:line="240" w:lineRule="auto"/>
        <w:rPr>
          <w:rFonts w:ascii="Times New Roman" w:eastAsia="Times New Roman" w:hAnsi="Times New Roman" w:cs="Times New Roman"/>
          <w:sz w:val="24"/>
          <w:szCs w:val="24"/>
        </w:rPr>
      </w:pPr>
    </w:p>
    <w:p w14:paraId="39575E2B" w14:textId="77777777" w:rsidR="00273733" w:rsidRDefault="00273733" w:rsidP="00AF3428">
      <w:pPr>
        <w:spacing w:line="240" w:lineRule="auto"/>
        <w:rPr>
          <w:rFonts w:ascii="Times New Roman" w:eastAsia="Times New Roman" w:hAnsi="Times New Roman" w:cs="Times New Roman"/>
          <w:sz w:val="24"/>
          <w:szCs w:val="24"/>
        </w:rPr>
      </w:pPr>
    </w:p>
    <w:p w14:paraId="2A77C64F" w14:textId="77777777" w:rsidR="00273733" w:rsidRDefault="00273733" w:rsidP="00AF3428">
      <w:pPr>
        <w:spacing w:line="240" w:lineRule="auto"/>
        <w:rPr>
          <w:rFonts w:ascii="Times New Roman" w:eastAsia="Times New Roman" w:hAnsi="Times New Roman" w:cs="Times New Roman"/>
          <w:sz w:val="24"/>
          <w:szCs w:val="24"/>
        </w:rPr>
      </w:pPr>
    </w:p>
    <w:p w14:paraId="1B441363" w14:textId="77777777" w:rsidR="00273733" w:rsidRDefault="00273733" w:rsidP="00AF3428">
      <w:pPr>
        <w:spacing w:line="240" w:lineRule="auto"/>
        <w:rPr>
          <w:rFonts w:ascii="Times New Roman" w:eastAsia="Times New Roman" w:hAnsi="Times New Roman" w:cs="Times New Roman"/>
          <w:sz w:val="24"/>
          <w:szCs w:val="24"/>
        </w:rPr>
      </w:pPr>
    </w:p>
    <w:p w14:paraId="63783F01" w14:textId="77777777" w:rsidR="00273733" w:rsidRDefault="00273733" w:rsidP="00AF3428">
      <w:pPr>
        <w:spacing w:line="240" w:lineRule="auto"/>
        <w:rPr>
          <w:rFonts w:ascii="Times New Roman" w:eastAsia="Times New Roman" w:hAnsi="Times New Roman" w:cs="Times New Roman"/>
          <w:sz w:val="24"/>
          <w:szCs w:val="24"/>
        </w:rPr>
      </w:pPr>
    </w:p>
    <w:p w14:paraId="3F49A196" w14:textId="77777777" w:rsidR="00273733" w:rsidRDefault="00273733" w:rsidP="00AF3428">
      <w:pPr>
        <w:spacing w:line="240" w:lineRule="auto"/>
        <w:rPr>
          <w:rFonts w:ascii="Times New Roman" w:eastAsia="Times New Roman" w:hAnsi="Times New Roman" w:cs="Times New Roman"/>
          <w:sz w:val="24"/>
          <w:szCs w:val="24"/>
        </w:rPr>
      </w:pPr>
    </w:p>
    <w:p w14:paraId="6166D7CC" w14:textId="77777777" w:rsidR="00273733" w:rsidRDefault="00273733" w:rsidP="00AF3428">
      <w:pPr>
        <w:spacing w:line="240" w:lineRule="auto"/>
        <w:rPr>
          <w:rFonts w:ascii="Times New Roman" w:eastAsia="Times New Roman" w:hAnsi="Times New Roman" w:cs="Times New Roman"/>
          <w:sz w:val="24"/>
          <w:szCs w:val="24"/>
        </w:rPr>
      </w:pPr>
    </w:p>
    <w:p w14:paraId="4057D024" w14:textId="77777777" w:rsidR="00273733" w:rsidRDefault="00273733" w:rsidP="00AF3428">
      <w:pPr>
        <w:spacing w:line="240" w:lineRule="auto"/>
        <w:rPr>
          <w:rFonts w:ascii="Times New Roman" w:eastAsia="Times New Roman" w:hAnsi="Times New Roman" w:cs="Times New Roman"/>
          <w:sz w:val="24"/>
          <w:szCs w:val="24"/>
        </w:rPr>
      </w:pPr>
    </w:p>
    <w:p w14:paraId="2F5BC0FC" w14:textId="77777777" w:rsidR="00273733" w:rsidRDefault="00273733" w:rsidP="00AF3428">
      <w:pPr>
        <w:spacing w:line="240" w:lineRule="auto"/>
        <w:rPr>
          <w:rFonts w:ascii="Times New Roman" w:eastAsia="Times New Roman" w:hAnsi="Times New Roman" w:cs="Times New Roman"/>
          <w:sz w:val="24"/>
          <w:szCs w:val="24"/>
        </w:rPr>
      </w:pPr>
    </w:p>
    <w:p w14:paraId="29492B26" w14:textId="77777777" w:rsidR="00273733" w:rsidRDefault="00273733" w:rsidP="00AF3428">
      <w:pPr>
        <w:spacing w:line="240" w:lineRule="auto"/>
        <w:rPr>
          <w:rFonts w:ascii="Times New Roman" w:eastAsia="Times New Roman" w:hAnsi="Times New Roman" w:cs="Times New Roman"/>
          <w:sz w:val="24"/>
          <w:szCs w:val="24"/>
        </w:rPr>
      </w:pPr>
    </w:p>
    <w:p w14:paraId="35C70CD7" w14:textId="77777777" w:rsidR="00273733" w:rsidRDefault="00273733" w:rsidP="00AF3428">
      <w:pPr>
        <w:spacing w:line="240" w:lineRule="auto"/>
        <w:rPr>
          <w:rFonts w:ascii="Times New Roman" w:eastAsia="Times New Roman" w:hAnsi="Times New Roman" w:cs="Times New Roman"/>
          <w:sz w:val="24"/>
          <w:szCs w:val="24"/>
        </w:rPr>
      </w:pPr>
    </w:p>
    <w:p w14:paraId="4874DA0A" w14:textId="77777777" w:rsidR="00273733" w:rsidRDefault="00273733" w:rsidP="00AF3428">
      <w:pPr>
        <w:spacing w:line="240" w:lineRule="auto"/>
        <w:rPr>
          <w:rFonts w:ascii="Times New Roman" w:eastAsia="Times New Roman" w:hAnsi="Times New Roman" w:cs="Times New Roman"/>
          <w:sz w:val="24"/>
          <w:szCs w:val="24"/>
        </w:rPr>
      </w:pPr>
    </w:p>
    <w:p w14:paraId="5FB52D32" w14:textId="77777777" w:rsidR="00273733" w:rsidRDefault="00273733" w:rsidP="00AF3428">
      <w:pPr>
        <w:spacing w:line="240" w:lineRule="auto"/>
        <w:rPr>
          <w:rFonts w:ascii="Times New Roman" w:eastAsia="Times New Roman" w:hAnsi="Times New Roman" w:cs="Times New Roman"/>
          <w:sz w:val="24"/>
          <w:szCs w:val="24"/>
        </w:rPr>
      </w:pPr>
    </w:p>
    <w:p w14:paraId="4F7FBDFE" w14:textId="77777777" w:rsidR="00273733" w:rsidRDefault="00273733" w:rsidP="00AF3428">
      <w:pPr>
        <w:spacing w:line="240" w:lineRule="auto"/>
        <w:rPr>
          <w:rFonts w:ascii="Times New Roman" w:eastAsia="Times New Roman" w:hAnsi="Times New Roman" w:cs="Times New Roman"/>
          <w:sz w:val="24"/>
          <w:szCs w:val="24"/>
        </w:rPr>
      </w:pPr>
    </w:p>
    <w:p w14:paraId="46342122" w14:textId="130F5D6C" w:rsidR="00AF3428" w:rsidRPr="00407DC7" w:rsidRDefault="00AF3428" w:rsidP="00AF3428">
      <w:pPr>
        <w:spacing w:line="240" w:lineRule="auto"/>
        <w:rPr>
          <w:rFonts w:ascii="Times New Roman" w:eastAsia="Times New Roman" w:hAnsi="Times New Roman" w:cs="Times New Roman"/>
          <w:sz w:val="24"/>
          <w:szCs w:val="24"/>
          <w:highlight w:val="white"/>
        </w:rPr>
      </w:pPr>
      <w:r w:rsidRPr="00B55B58">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2EA85EE2" wp14:editId="0C4CD39B">
            <wp:simplePos x="0" y="0"/>
            <wp:positionH relativeFrom="column">
              <wp:posOffset>-64395</wp:posOffset>
            </wp:positionH>
            <wp:positionV relativeFrom="paragraph">
              <wp:posOffset>177549</wp:posOffset>
            </wp:positionV>
            <wp:extent cx="5943600" cy="4080510"/>
            <wp:effectExtent l="0" t="0" r="0" b="0"/>
            <wp:wrapNone/>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080510"/>
                    </a:xfrm>
                    <a:prstGeom prst="rect">
                      <a:avLst/>
                    </a:prstGeom>
                  </pic:spPr>
                </pic:pic>
              </a:graphicData>
            </a:graphic>
            <wp14:sizeRelH relativeFrom="page">
              <wp14:pctWidth>0</wp14:pctWidth>
            </wp14:sizeRelH>
            <wp14:sizeRelV relativeFrom="page">
              <wp14:pctHeight>0</wp14:pctHeight>
            </wp14:sizeRelV>
          </wp:anchor>
        </w:drawing>
      </w:r>
    </w:p>
    <w:p w14:paraId="58E7E620"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53742C1F"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2ACD7A94"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27E44706"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7B85810D"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4BB4C1B0"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7077616A"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2EE10F9A"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0B205699"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72A6E247"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0743AE90"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4A8C8C06"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0CE4A77C"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3AFA09B4"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25530713"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7D431EB8"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12FE693D"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45180E52"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46EA2C5E"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20B4DE0E"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55B772A3"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79B5AFDA"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4A2839D4"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043F48C5" w14:textId="77777777" w:rsidR="00AF3428" w:rsidRPr="00407DC7" w:rsidRDefault="00AF3428" w:rsidP="00AF3428">
      <w:pPr>
        <w:spacing w:line="240" w:lineRule="auto"/>
        <w:rPr>
          <w:rFonts w:ascii="Times New Roman" w:eastAsia="Times New Roman" w:hAnsi="Times New Roman" w:cs="Times New Roman"/>
          <w:sz w:val="24"/>
          <w:szCs w:val="24"/>
          <w:highlight w:val="white"/>
        </w:rPr>
      </w:pPr>
    </w:p>
    <w:p w14:paraId="0AD75D60" w14:textId="77777777" w:rsidR="00AF3428" w:rsidRPr="00407DC7" w:rsidRDefault="00AF3428" w:rsidP="00AF3428">
      <w:pPr>
        <w:spacing w:line="240" w:lineRule="auto"/>
        <w:rPr>
          <w:highlight w:val="white"/>
        </w:rPr>
      </w:pPr>
    </w:p>
    <w:p w14:paraId="0325DB02" w14:textId="39D03647" w:rsidR="00AF3428" w:rsidRPr="00407DC7" w:rsidRDefault="00AF3428" w:rsidP="00AF3428">
      <w:pPr>
        <w:spacing w:line="240" w:lineRule="auto"/>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e</w:t>
      </w:r>
      <w:r w:rsidRPr="00407DC7">
        <w:rPr>
          <w:rFonts w:ascii="Times New Roman" w:eastAsia="Times New Roman" w:hAnsi="Times New Roman" w:cs="Times New Roman"/>
          <w:b/>
          <w:bCs/>
          <w:sz w:val="24"/>
          <w:szCs w:val="24"/>
          <w:highlight w:val="white"/>
        </w:rPr>
        <w:t>Figure</w:t>
      </w:r>
      <w:proofErr w:type="spellEnd"/>
      <w:r w:rsidRPr="00407DC7">
        <w:rPr>
          <w:rFonts w:ascii="Times New Roman" w:eastAsia="Times New Roman" w:hAnsi="Times New Roman" w:cs="Times New Roman"/>
          <w:b/>
          <w:bCs/>
          <w:sz w:val="24"/>
          <w:szCs w:val="24"/>
          <w:highlight w:val="white"/>
        </w:rPr>
        <w:t xml:space="preserve"> </w:t>
      </w:r>
      <w:r w:rsidR="00273733">
        <w:rPr>
          <w:rFonts w:ascii="Times New Roman" w:eastAsia="Times New Roman" w:hAnsi="Times New Roman" w:cs="Times New Roman"/>
          <w:b/>
          <w:bCs/>
          <w:sz w:val="24"/>
          <w:szCs w:val="24"/>
          <w:highlight w:val="white"/>
        </w:rPr>
        <w:t>2</w:t>
      </w:r>
      <w:r w:rsidRPr="00407DC7">
        <w:rPr>
          <w:rFonts w:ascii="Times New Roman" w:eastAsia="Times New Roman" w:hAnsi="Times New Roman" w:cs="Times New Roman"/>
          <w:b/>
          <w:bCs/>
          <w:sz w:val="24"/>
          <w:szCs w:val="24"/>
          <w:highlight w:val="white"/>
        </w:rPr>
        <w:t>. Institutional Guidelines Pocket-Card</w:t>
      </w:r>
    </w:p>
    <w:p w14:paraId="5E4F98DE" w14:textId="77777777" w:rsidR="00AF3428" w:rsidRPr="00407DC7" w:rsidRDefault="00AF3428" w:rsidP="00AF3428">
      <w:pPr>
        <w:spacing w:line="240" w:lineRule="auto"/>
        <w:rPr>
          <w:rFonts w:ascii="Times New Roman" w:eastAsia="Times New Roman" w:hAnsi="Times New Roman" w:cs="Times New Roman"/>
          <w:sz w:val="24"/>
          <w:szCs w:val="24"/>
          <w:lang w:val="en-US"/>
        </w:rPr>
        <w:sectPr w:rsidR="00AF3428" w:rsidRPr="00407DC7">
          <w:headerReference w:type="default" r:id="rId10"/>
          <w:footerReference w:type="default" r:id="rId11"/>
          <w:pgSz w:w="12240" w:h="15840"/>
          <w:pgMar w:top="1440" w:right="1440" w:bottom="1440" w:left="1440" w:header="720" w:footer="720" w:gutter="0"/>
          <w:pgNumType w:start="1"/>
          <w:cols w:space="720"/>
        </w:sectPr>
      </w:pPr>
      <w:r w:rsidRPr="00407DC7">
        <w:rPr>
          <w:rFonts w:ascii="Times New Roman" w:eastAsia="Times New Roman" w:hAnsi="Times New Roman" w:cs="Times New Roman"/>
          <w:sz w:val="24"/>
          <w:szCs w:val="24"/>
          <w:highlight w:val="white"/>
        </w:rPr>
        <w:t>Appropriate treatment duration for SSTIs was considered to be 7 days</w:t>
      </w:r>
      <w:r>
        <w:rPr>
          <w:rFonts w:ascii="Times New Roman" w:eastAsia="Times New Roman" w:hAnsi="Times New Roman" w:cs="Times New Roman"/>
          <w:sz w:val="24"/>
          <w:szCs w:val="24"/>
          <w:highlight w:val="white"/>
        </w:rPr>
        <w:t xml:space="preserve"> for this study</w:t>
      </w:r>
      <w:r w:rsidRPr="00407DC7">
        <w:rPr>
          <w:rFonts w:ascii="Times New Roman" w:eastAsia="Times New Roman" w:hAnsi="Times New Roman" w:cs="Times New Roman"/>
          <w:sz w:val="24"/>
          <w:szCs w:val="24"/>
          <w:highlight w:val="white"/>
        </w:rPr>
        <w:t xml:space="preserve">, rather than 5 days as shown in this card. These guidelines </w:t>
      </w:r>
      <w:r>
        <w:rPr>
          <w:rFonts w:ascii="Times New Roman" w:eastAsia="Times New Roman" w:hAnsi="Times New Roman" w:cs="Times New Roman"/>
          <w:sz w:val="24"/>
          <w:szCs w:val="24"/>
          <w:highlight w:val="white"/>
        </w:rPr>
        <w:t xml:space="preserve">in full detail, including for other infection types, </w:t>
      </w:r>
      <w:r w:rsidRPr="00407DC7">
        <w:rPr>
          <w:rFonts w:ascii="Times New Roman" w:eastAsia="Times New Roman" w:hAnsi="Times New Roman" w:cs="Times New Roman"/>
          <w:sz w:val="24"/>
          <w:szCs w:val="24"/>
          <w:highlight w:val="white"/>
        </w:rPr>
        <w:t>can be found online at:</w:t>
      </w:r>
      <w:r w:rsidRPr="00407DC7">
        <w:rPr>
          <w:rFonts w:ascii="Times New Roman" w:eastAsia="Times New Roman" w:hAnsi="Times New Roman" w:cs="Times New Roman"/>
          <w:sz w:val="24"/>
          <w:szCs w:val="24"/>
        </w:rPr>
        <w:t xml:space="preserve"> </w:t>
      </w:r>
      <w:hyperlink r:id="rId12" w:history="1">
        <w:r w:rsidRPr="00407DC7">
          <w:rPr>
            <w:rStyle w:val="Hyperlink"/>
            <w:rFonts w:ascii="Times New Roman" w:eastAsia="Times New Roman" w:hAnsi="Times New Roman" w:cs="Times New Roman"/>
            <w:sz w:val="24"/>
            <w:szCs w:val="24"/>
            <w:shd w:val="clear" w:color="auto" w:fill="FFFFFF"/>
            <w:lang w:val="en-US"/>
          </w:rPr>
          <w:t>https://www.med.umich.edu/asp/adult.html</w:t>
        </w:r>
      </w:hyperlink>
    </w:p>
    <w:p w14:paraId="1A1C8929" w14:textId="77777777" w:rsidR="00AF3428" w:rsidRPr="00407DC7" w:rsidRDefault="00AF3428" w:rsidP="00AF3428">
      <w:pPr>
        <w:pStyle w:val="ListParagraph"/>
        <w:spacing w:line="240" w:lineRule="auto"/>
        <w:rPr>
          <w:rFonts w:ascii="Times New Roman" w:eastAsia="Times New Roman" w:hAnsi="Times New Roman" w:cs="Times New Roman"/>
          <w:b/>
          <w:bCs/>
          <w:sz w:val="24"/>
          <w:szCs w:val="24"/>
          <w:highlight w:val="white"/>
        </w:rPr>
      </w:pPr>
    </w:p>
    <w:p w14:paraId="1F898FEA" w14:textId="3F346F3F" w:rsidR="00550D90" w:rsidRPr="00407DC7" w:rsidRDefault="00785A6B" w:rsidP="00AD02B9">
      <w:pPr>
        <w:pStyle w:val="ListParagraph"/>
        <w:numPr>
          <w:ilvl w:val="0"/>
          <w:numId w:val="3"/>
        </w:num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Appendix</w:t>
      </w:r>
      <w:r w:rsidR="008D6B4C" w:rsidRPr="00407DC7">
        <w:rPr>
          <w:rFonts w:ascii="Times New Roman" w:eastAsia="Times New Roman" w:hAnsi="Times New Roman" w:cs="Times New Roman"/>
          <w:b/>
          <w:bCs/>
          <w:sz w:val="24"/>
          <w:szCs w:val="24"/>
          <w:highlight w:val="white"/>
        </w:rPr>
        <w:t xml:space="preserve"> Tables</w:t>
      </w:r>
    </w:p>
    <w:p w14:paraId="0BB069DB" w14:textId="77777777" w:rsidR="008D6B4C" w:rsidRPr="00407DC7" w:rsidRDefault="008D6B4C" w:rsidP="00AD02B9">
      <w:pPr>
        <w:spacing w:line="240" w:lineRule="auto"/>
        <w:rPr>
          <w:rFonts w:ascii="Times New Roman" w:eastAsia="Times New Roman" w:hAnsi="Times New Roman" w:cs="Times New Roman"/>
          <w:sz w:val="24"/>
          <w:szCs w:val="24"/>
          <w:highlight w:val="white"/>
        </w:rPr>
      </w:pPr>
    </w:p>
    <w:tbl>
      <w:tblPr>
        <w:tblW w:w="14152" w:type="dxa"/>
        <w:tblInd w:w="-524" w:type="dxa"/>
        <w:tblLook w:val="04A0" w:firstRow="1" w:lastRow="0" w:firstColumn="1" w:lastColumn="0" w:noHBand="0" w:noVBand="1"/>
      </w:tblPr>
      <w:tblGrid>
        <w:gridCol w:w="2550"/>
        <w:gridCol w:w="1110"/>
        <w:gridCol w:w="990"/>
        <w:gridCol w:w="1050"/>
        <w:gridCol w:w="1020"/>
        <w:gridCol w:w="1184"/>
        <w:gridCol w:w="6248"/>
      </w:tblGrid>
      <w:tr w:rsidR="00172ED8" w:rsidRPr="00172ED8" w14:paraId="7CD34A95" w14:textId="77777777" w:rsidTr="00273733">
        <w:trPr>
          <w:trHeight w:val="260"/>
        </w:trPr>
        <w:tc>
          <w:tcPr>
            <w:tcW w:w="14152" w:type="dxa"/>
            <w:gridSpan w:val="7"/>
            <w:tcBorders>
              <w:top w:val="nil"/>
              <w:left w:val="nil"/>
              <w:bottom w:val="single" w:sz="8" w:space="0" w:color="auto"/>
              <w:right w:val="nil"/>
            </w:tcBorders>
            <w:shd w:val="clear" w:color="auto" w:fill="auto"/>
            <w:noWrap/>
            <w:vAlign w:val="center"/>
            <w:hideMark/>
          </w:tcPr>
          <w:p w14:paraId="46EFE93B" w14:textId="4522509C" w:rsidR="00172ED8" w:rsidRPr="00172ED8" w:rsidRDefault="00AF3428" w:rsidP="00172ED8">
            <w:pPr>
              <w:spacing w:line="240" w:lineRule="auto"/>
              <w:rPr>
                <w:rFonts w:ascii="Times New Roman" w:eastAsia="Times New Roman" w:hAnsi="Times New Roman" w:cs="Times New Roman"/>
                <w:b/>
                <w:bCs/>
                <w:color w:val="000000"/>
                <w:sz w:val="18"/>
                <w:szCs w:val="18"/>
                <w:lang w:val="en-US"/>
              </w:rPr>
            </w:pPr>
            <w:proofErr w:type="spellStart"/>
            <w:r>
              <w:rPr>
                <w:rFonts w:ascii="Times New Roman" w:eastAsia="Times New Roman" w:hAnsi="Times New Roman" w:cs="Times New Roman"/>
                <w:b/>
                <w:bCs/>
                <w:color w:val="000000"/>
                <w:sz w:val="18"/>
                <w:szCs w:val="18"/>
                <w:lang w:val="en-US"/>
              </w:rPr>
              <w:t>e</w:t>
            </w:r>
            <w:r w:rsidR="00172ED8" w:rsidRPr="00172ED8">
              <w:rPr>
                <w:rFonts w:ascii="Times New Roman" w:eastAsia="Times New Roman" w:hAnsi="Times New Roman" w:cs="Times New Roman"/>
                <w:b/>
                <w:bCs/>
                <w:color w:val="000000"/>
                <w:sz w:val="18"/>
                <w:szCs w:val="18"/>
                <w:lang w:val="en-US"/>
              </w:rPr>
              <w:t>Table</w:t>
            </w:r>
            <w:proofErr w:type="spellEnd"/>
            <w:r w:rsidR="00172ED8" w:rsidRPr="00172ED8">
              <w:rPr>
                <w:rFonts w:ascii="Times New Roman" w:eastAsia="Times New Roman" w:hAnsi="Times New Roman" w:cs="Times New Roman"/>
                <w:b/>
                <w:bCs/>
                <w:color w:val="000000"/>
                <w:sz w:val="18"/>
                <w:szCs w:val="18"/>
                <w:lang w:val="en-US"/>
              </w:rPr>
              <w:t xml:space="preserve"> 1. Common Factors Influencing Antibiotic Use, Overall and by Disease State</w:t>
            </w:r>
          </w:p>
        </w:tc>
      </w:tr>
      <w:tr w:rsidR="00172ED8" w:rsidRPr="00172ED8" w14:paraId="61D00CE3" w14:textId="77777777" w:rsidTr="00273733">
        <w:trPr>
          <w:trHeight w:val="260"/>
        </w:trPr>
        <w:tc>
          <w:tcPr>
            <w:tcW w:w="2550" w:type="dxa"/>
            <w:tcBorders>
              <w:top w:val="nil"/>
              <w:left w:val="nil"/>
              <w:bottom w:val="nil"/>
              <w:right w:val="nil"/>
            </w:tcBorders>
            <w:shd w:val="clear" w:color="auto" w:fill="auto"/>
            <w:noWrap/>
            <w:vAlign w:val="center"/>
            <w:hideMark/>
          </w:tcPr>
          <w:p w14:paraId="50E13847" w14:textId="77777777" w:rsidR="00172ED8" w:rsidRPr="00172ED8" w:rsidRDefault="00172ED8" w:rsidP="00172ED8">
            <w:pPr>
              <w:spacing w:line="240" w:lineRule="auto"/>
              <w:rPr>
                <w:rFonts w:ascii="Times New Roman" w:eastAsia="Times New Roman" w:hAnsi="Times New Roman" w:cs="Times New Roman"/>
                <w:b/>
                <w:bCs/>
                <w:color w:val="000000"/>
                <w:sz w:val="18"/>
                <w:szCs w:val="18"/>
                <w:lang w:val="en-US"/>
              </w:rPr>
            </w:pPr>
          </w:p>
        </w:tc>
        <w:tc>
          <w:tcPr>
            <w:tcW w:w="1110" w:type="dxa"/>
            <w:tcBorders>
              <w:top w:val="nil"/>
              <w:left w:val="nil"/>
              <w:bottom w:val="nil"/>
              <w:right w:val="nil"/>
            </w:tcBorders>
            <w:shd w:val="clear" w:color="auto" w:fill="auto"/>
            <w:noWrap/>
            <w:vAlign w:val="center"/>
            <w:hideMark/>
          </w:tcPr>
          <w:p w14:paraId="6B38E943"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4244" w:type="dxa"/>
            <w:gridSpan w:val="4"/>
            <w:tcBorders>
              <w:top w:val="single" w:sz="8" w:space="0" w:color="auto"/>
              <w:left w:val="nil"/>
              <w:bottom w:val="nil"/>
              <w:right w:val="nil"/>
            </w:tcBorders>
            <w:shd w:val="clear" w:color="auto" w:fill="auto"/>
            <w:noWrap/>
            <w:vAlign w:val="center"/>
            <w:hideMark/>
          </w:tcPr>
          <w:p w14:paraId="015997A5" w14:textId="77777777" w:rsidR="00172ED8" w:rsidRPr="00172ED8" w:rsidRDefault="00172ED8" w:rsidP="00172ED8">
            <w:pPr>
              <w:spacing w:line="240" w:lineRule="auto"/>
              <w:rPr>
                <w:rFonts w:ascii="Times New Roman" w:eastAsia="Times New Roman" w:hAnsi="Times New Roman" w:cs="Times New Roman"/>
                <w:b/>
                <w:bCs/>
                <w:color w:val="000000"/>
                <w:sz w:val="18"/>
                <w:szCs w:val="18"/>
                <w:lang w:val="en-US"/>
              </w:rPr>
            </w:pPr>
            <w:r w:rsidRPr="00172ED8">
              <w:rPr>
                <w:rFonts w:ascii="Times New Roman" w:eastAsia="Times New Roman" w:hAnsi="Times New Roman" w:cs="Times New Roman"/>
                <w:b/>
                <w:bCs/>
                <w:color w:val="000000"/>
                <w:sz w:val="18"/>
                <w:szCs w:val="18"/>
                <w:lang w:val="en-US"/>
              </w:rPr>
              <w:t> </w:t>
            </w:r>
          </w:p>
        </w:tc>
        <w:tc>
          <w:tcPr>
            <w:tcW w:w="6248" w:type="dxa"/>
            <w:tcBorders>
              <w:top w:val="nil"/>
              <w:left w:val="nil"/>
              <w:bottom w:val="nil"/>
              <w:right w:val="nil"/>
            </w:tcBorders>
            <w:shd w:val="clear" w:color="auto" w:fill="auto"/>
            <w:noWrap/>
            <w:vAlign w:val="center"/>
            <w:hideMark/>
          </w:tcPr>
          <w:p w14:paraId="651B426C" w14:textId="77777777" w:rsidR="00172ED8" w:rsidRPr="00172ED8" w:rsidRDefault="00172ED8" w:rsidP="00172ED8">
            <w:pPr>
              <w:spacing w:line="240" w:lineRule="auto"/>
              <w:rPr>
                <w:rFonts w:ascii="Times New Roman" w:eastAsia="Times New Roman" w:hAnsi="Times New Roman" w:cs="Times New Roman"/>
                <w:b/>
                <w:bCs/>
                <w:color w:val="000000"/>
                <w:sz w:val="18"/>
                <w:szCs w:val="18"/>
                <w:lang w:val="en-US"/>
              </w:rPr>
            </w:pPr>
          </w:p>
        </w:tc>
      </w:tr>
      <w:tr w:rsidR="00172ED8" w:rsidRPr="00172ED8" w14:paraId="198FB5CC" w14:textId="77777777" w:rsidTr="00273733">
        <w:trPr>
          <w:trHeight w:val="260"/>
        </w:trPr>
        <w:tc>
          <w:tcPr>
            <w:tcW w:w="2550" w:type="dxa"/>
            <w:tcBorders>
              <w:top w:val="nil"/>
              <w:left w:val="nil"/>
              <w:bottom w:val="nil"/>
              <w:right w:val="nil"/>
            </w:tcBorders>
            <w:shd w:val="clear" w:color="auto" w:fill="auto"/>
            <w:noWrap/>
            <w:vAlign w:val="center"/>
            <w:hideMark/>
          </w:tcPr>
          <w:p w14:paraId="058B5C1A" w14:textId="77777777" w:rsidR="00172ED8" w:rsidRPr="00172ED8" w:rsidRDefault="00172ED8" w:rsidP="00172ED8">
            <w:pPr>
              <w:spacing w:line="240" w:lineRule="auto"/>
              <w:rPr>
                <w:rFonts w:ascii="Times New Roman" w:eastAsia="Times New Roman" w:hAnsi="Times New Roman" w:cs="Times New Roman"/>
                <w:b/>
                <w:bCs/>
                <w:color w:val="000000"/>
                <w:sz w:val="18"/>
                <w:szCs w:val="18"/>
                <w:lang w:val="en-US"/>
              </w:rPr>
            </w:pPr>
            <w:r w:rsidRPr="00172ED8">
              <w:rPr>
                <w:rFonts w:ascii="Times New Roman" w:eastAsia="Times New Roman" w:hAnsi="Times New Roman" w:cs="Times New Roman"/>
                <w:b/>
                <w:bCs/>
                <w:color w:val="000000"/>
                <w:sz w:val="18"/>
                <w:szCs w:val="18"/>
                <w:lang w:val="en-US"/>
              </w:rPr>
              <w:t>INFLUENCING FACTORS</w:t>
            </w:r>
          </w:p>
        </w:tc>
        <w:tc>
          <w:tcPr>
            <w:tcW w:w="1110" w:type="dxa"/>
            <w:tcBorders>
              <w:top w:val="nil"/>
              <w:left w:val="nil"/>
              <w:bottom w:val="nil"/>
              <w:right w:val="nil"/>
            </w:tcBorders>
            <w:shd w:val="clear" w:color="auto" w:fill="auto"/>
            <w:noWrap/>
            <w:vAlign w:val="center"/>
            <w:hideMark/>
          </w:tcPr>
          <w:p w14:paraId="4E58F9AE" w14:textId="77777777" w:rsidR="00172ED8" w:rsidRPr="00172ED8" w:rsidRDefault="00172ED8" w:rsidP="00172ED8">
            <w:pPr>
              <w:spacing w:line="240" w:lineRule="auto"/>
              <w:rPr>
                <w:rFonts w:ascii="Times New Roman" w:eastAsia="Times New Roman" w:hAnsi="Times New Roman" w:cs="Times New Roman"/>
                <w:b/>
                <w:bCs/>
                <w:color w:val="000000"/>
                <w:sz w:val="18"/>
                <w:szCs w:val="18"/>
                <w:lang w:val="en-US"/>
              </w:rPr>
            </w:pPr>
            <w:r w:rsidRPr="00172ED8">
              <w:rPr>
                <w:rFonts w:ascii="Times New Roman" w:eastAsia="Times New Roman" w:hAnsi="Times New Roman" w:cs="Times New Roman"/>
                <w:b/>
                <w:bCs/>
                <w:color w:val="000000"/>
                <w:sz w:val="18"/>
                <w:szCs w:val="18"/>
                <w:lang w:val="en-US"/>
              </w:rPr>
              <w:t xml:space="preserve">ALL </w:t>
            </w:r>
          </w:p>
        </w:tc>
        <w:tc>
          <w:tcPr>
            <w:tcW w:w="4244" w:type="dxa"/>
            <w:gridSpan w:val="4"/>
            <w:tcBorders>
              <w:top w:val="nil"/>
              <w:left w:val="nil"/>
              <w:bottom w:val="nil"/>
              <w:right w:val="nil"/>
            </w:tcBorders>
            <w:shd w:val="clear" w:color="auto" w:fill="auto"/>
            <w:noWrap/>
            <w:vAlign w:val="center"/>
            <w:hideMark/>
          </w:tcPr>
          <w:p w14:paraId="466F76CE" w14:textId="77777777" w:rsidR="00172ED8" w:rsidRPr="00172ED8" w:rsidRDefault="00172ED8" w:rsidP="00172ED8">
            <w:pPr>
              <w:spacing w:line="240" w:lineRule="auto"/>
              <w:rPr>
                <w:rFonts w:ascii="Times New Roman" w:eastAsia="Times New Roman" w:hAnsi="Times New Roman" w:cs="Times New Roman"/>
                <w:b/>
                <w:bCs/>
                <w:color w:val="000000"/>
                <w:sz w:val="18"/>
                <w:szCs w:val="18"/>
                <w:lang w:val="en-US"/>
              </w:rPr>
            </w:pPr>
            <w:r w:rsidRPr="00172ED8">
              <w:rPr>
                <w:rFonts w:ascii="Times New Roman" w:eastAsia="Times New Roman" w:hAnsi="Times New Roman" w:cs="Times New Roman"/>
                <w:b/>
                <w:bCs/>
                <w:color w:val="000000"/>
                <w:sz w:val="18"/>
                <w:szCs w:val="18"/>
                <w:lang w:val="en-US"/>
              </w:rPr>
              <w:t>DISEASE STATE</w:t>
            </w:r>
          </w:p>
        </w:tc>
        <w:tc>
          <w:tcPr>
            <w:tcW w:w="6248" w:type="dxa"/>
            <w:tcBorders>
              <w:top w:val="nil"/>
              <w:left w:val="nil"/>
              <w:bottom w:val="nil"/>
              <w:right w:val="nil"/>
            </w:tcBorders>
            <w:shd w:val="clear" w:color="auto" w:fill="auto"/>
            <w:noWrap/>
            <w:vAlign w:val="center"/>
            <w:hideMark/>
          </w:tcPr>
          <w:p w14:paraId="3D2D9A92" w14:textId="77777777" w:rsidR="00172ED8" w:rsidRPr="00172ED8" w:rsidRDefault="00172ED8" w:rsidP="00172ED8">
            <w:pPr>
              <w:spacing w:line="240" w:lineRule="auto"/>
              <w:rPr>
                <w:rFonts w:ascii="Times New Roman" w:eastAsia="Times New Roman" w:hAnsi="Times New Roman" w:cs="Times New Roman"/>
                <w:b/>
                <w:bCs/>
                <w:color w:val="000000"/>
                <w:sz w:val="18"/>
                <w:szCs w:val="18"/>
                <w:lang w:val="en-US"/>
              </w:rPr>
            </w:pPr>
            <w:r w:rsidRPr="00172ED8">
              <w:rPr>
                <w:rFonts w:ascii="Times New Roman" w:eastAsia="Times New Roman" w:hAnsi="Times New Roman" w:cs="Times New Roman"/>
                <w:b/>
                <w:bCs/>
                <w:color w:val="000000"/>
                <w:sz w:val="18"/>
                <w:szCs w:val="18"/>
                <w:lang w:val="en-US"/>
              </w:rPr>
              <w:t>EXAMPLE OF FACTOR INFLUENCING OVERUSE</w:t>
            </w:r>
          </w:p>
        </w:tc>
      </w:tr>
      <w:tr w:rsidR="00172ED8" w:rsidRPr="00172ED8" w14:paraId="53CB572C" w14:textId="77777777" w:rsidTr="00273733">
        <w:trPr>
          <w:trHeight w:val="260"/>
        </w:trPr>
        <w:tc>
          <w:tcPr>
            <w:tcW w:w="2550" w:type="dxa"/>
            <w:tcBorders>
              <w:top w:val="nil"/>
              <w:left w:val="nil"/>
              <w:bottom w:val="nil"/>
              <w:right w:val="nil"/>
            </w:tcBorders>
            <w:shd w:val="clear" w:color="auto" w:fill="auto"/>
            <w:noWrap/>
            <w:vAlign w:val="center"/>
            <w:hideMark/>
          </w:tcPr>
          <w:p w14:paraId="393E1605" w14:textId="77777777" w:rsidR="00172ED8" w:rsidRPr="00172ED8" w:rsidRDefault="00172ED8" w:rsidP="00172ED8">
            <w:pPr>
              <w:spacing w:line="240" w:lineRule="auto"/>
              <w:rPr>
                <w:rFonts w:ascii="Times New Roman" w:eastAsia="Times New Roman" w:hAnsi="Times New Roman" w:cs="Times New Roman"/>
                <w:b/>
                <w:bCs/>
                <w:color w:val="000000"/>
                <w:sz w:val="18"/>
                <w:szCs w:val="18"/>
                <w:lang w:val="en-US"/>
              </w:rPr>
            </w:pPr>
          </w:p>
        </w:tc>
        <w:tc>
          <w:tcPr>
            <w:tcW w:w="1110" w:type="dxa"/>
            <w:tcBorders>
              <w:top w:val="nil"/>
              <w:left w:val="nil"/>
              <w:bottom w:val="nil"/>
              <w:right w:val="nil"/>
            </w:tcBorders>
            <w:shd w:val="clear" w:color="auto" w:fill="auto"/>
            <w:noWrap/>
            <w:vAlign w:val="center"/>
            <w:hideMark/>
          </w:tcPr>
          <w:p w14:paraId="1DDF9F86"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4244" w:type="dxa"/>
            <w:gridSpan w:val="4"/>
            <w:tcBorders>
              <w:top w:val="nil"/>
              <w:left w:val="nil"/>
              <w:bottom w:val="nil"/>
              <w:right w:val="nil"/>
            </w:tcBorders>
            <w:shd w:val="clear" w:color="auto" w:fill="auto"/>
            <w:noWrap/>
            <w:vAlign w:val="center"/>
            <w:hideMark/>
          </w:tcPr>
          <w:p w14:paraId="26F7AC20"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6248" w:type="dxa"/>
            <w:tcBorders>
              <w:top w:val="nil"/>
              <w:left w:val="nil"/>
              <w:bottom w:val="nil"/>
              <w:right w:val="nil"/>
            </w:tcBorders>
            <w:shd w:val="clear" w:color="auto" w:fill="auto"/>
            <w:noWrap/>
            <w:vAlign w:val="center"/>
            <w:hideMark/>
          </w:tcPr>
          <w:p w14:paraId="0693164E"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r>
      <w:tr w:rsidR="00172ED8" w:rsidRPr="00172ED8" w14:paraId="694630D0" w14:textId="77777777" w:rsidTr="00273733">
        <w:trPr>
          <w:trHeight w:val="260"/>
        </w:trPr>
        <w:tc>
          <w:tcPr>
            <w:tcW w:w="2550" w:type="dxa"/>
            <w:tcBorders>
              <w:top w:val="nil"/>
              <w:left w:val="nil"/>
              <w:bottom w:val="nil"/>
              <w:right w:val="nil"/>
            </w:tcBorders>
            <w:shd w:val="clear" w:color="auto" w:fill="auto"/>
            <w:noWrap/>
            <w:vAlign w:val="center"/>
            <w:hideMark/>
          </w:tcPr>
          <w:p w14:paraId="3ADC0C99"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110" w:type="dxa"/>
            <w:tcBorders>
              <w:top w:val="nil"/>
              <w:left w:val="nil"/>
              <w:bottom w:val="nil"/>
              <w:right w:val="nil"/>
            </w:tcBorders>
            <w:shd w:val="clear" w:color="auto" w:fill="auto"/>
            <w:noWrap/>
            <w:vAlign w:val="center"/>
            <w:hideMark/>
          </w:tcPr>
          <w:p w14:paraId="26DC2CB7"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990" w:type="dxa"/>
            <w:tcBorders>
              <w:top w:val="nil"/>
              <w:left w:val="nil"/>
              <w:bottom w:val="nil"/>
              <w:right w:val="nil"/>
            </w:tcBorders>
            <w:shd w:val="clear" w:color="auto" w:fill="auto"/>
            <w:noWrap/>
            <w:vAlign w:val="center"/>
            <w:hideMark/>
          </w:tcPr>
          <w:p w14:paraId="67AC27DE"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Pneumonia</w:t>
            </w:r>
          </w:p>
        </w:tc>
        <w:tc>
          <w:tcPr>
            <w:tcW w:w="1050" w:type="dxa"/>
            <w:tcBorders>
              <w:top w:val="nil"/>
              <w:left w:val="nil"/>
              <w:bottom w:val="nil"/>
              <w:right w:val="nil"/>
            </w:tcBorders>
            <w:shd w:val="clear" w:color="auto" w:fill="auto"/>
            <w:noWrap/>
            <w:vAlign w:val="center"/>
            <w:hideMark/>
          </w:tcPr>
          <w:p w14:paraId="5282631D"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UTI</w:t>
            </w:r>
          </w:p>
        </w:tc>
        <w:tc>
          <w:tcPr>
            <w:tcW w:w="1020" w:type="dxa"/>
            <w:tcBorders>
              <w:top w:val="nil"/>
              <w:left w:val="nil"/>
              <w:bottom w:val="nil"/>
              <w:right w:val="nil"/>
            </w:tcBorders>
            <w:shd w:val="clear" w:color="auto" w:fill="auto"/>
            <w:noWrap/>
            <w:vAlign w:val="center"/>
            <w:hideMark/>
          </w:tcPr>
          <w:p w14:paraId="6F2125DA"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SSTI</w:t>
            </w:r>
          </w:p>
        </w:tc>
        <w:tc>
          <w:tcPr>
            <w:tcW w:w="1184" w:type="dxa"/>
            <w:tcBorders>
              <w:top w:val="nil"/>
              <w:left w:val="nil"/>
              <w:bottom w:val="nil"/>
              <w:right w:val="nil"/>
            </w:tcBorders>
            <w:shd w:val="clear" w:color="auto" w:fill="auto"/>
            <w:noWrap/>
            <w:vAlign w:val="center"/>
            <w:hideMark/>
          </w:tcPr>
          <w:p w14:paraId="65B5FFA0"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Other</w:t>
            </w:r>
          </w:p>
        </w:tc>
        <w:tc>
          <w:tcPr>
            <w:tcW w:w="6248" w:type="dxa"/>
            <w:tcBorders>
              <w:top w:val="nil"/>
              <w:left w:val="nil"/>
              <w:bottom w:val="nil"/>
              <w:right w:val="nil"/>
            </w:tcBorders>
            <w:shd w:val="clear" w:color="auto" w:fill="auto"/>
            <w:noWrap/>
            <w:vAlign w:val="center"/>
            <w:hideMark/>
          </w:tcPr>
          <w:p w14:paraId="121C7877"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r>
      <w:tr w:rsidR="00172ED8" w:rsidRPr="00172ED8" w14:paraId="0EB00CCB" w14:textId="77777777" w:rsidTr="00273733">
        <w:trPr>
          <w:trHeight w:val="260"/>
        </w:trPr>
        <w:tc>
          <w:tcPr>
            <w:tcW w:w="2550" w:type="dxa"/>
            <w:tcBorders>
              <w:top w:val="nil"/>
              <w:left w:val="nil"/>
              <w:bottom w:val="single" w:sz="8" w:space="0" w:color="auto"/>
              <w:right w:val="nil"/>
            </w:tcBorders>
            <w:shd w:val="clear" w:color="auto" w:fill="auto"/>
            <w:noWrap/>
            <w:vAlign w:val="center"/>
            <w:hideMark/>
          </w:tcPr>
          <w:p w14:paraId="44CB959F"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 </w:t>
            </w:r>
          </w:p>
        </w:tc>
        <w:tc>
          <w:tcPr>
            <w:tcW w:w="1110" w:type="dxa"/>
            <w:tcBorders>
              <w:top w:val="nil"/>
              <w:left w:val="nil"/>
              <w:bottom w:val="single" w:sz="8" w:space="0" w:color="auto"/>
              <w:right w:val="nil"/>
            </w:tcBorders>
            <w:shd w:val="clear" w:color="auto" w:fill="auto"/>
            <w:noWrap/>
            <w:vAlign w:val="center"/>
            <w:hideMark/>
          </w:tcPr>
          <w:p w14:paraId="5137CA7B"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(N = 100)</w:t>
            </w:r>
          </w:p>
        </w:tc>
        <w:tc>
          <w:tcPr>
            <w:tcW w:w="990" w:type="dxa"/>
            <w:tcBorders>
              <w:top w:val="nil"/>
              <w:left w:val="nil"/>
              <w:bottom w:val="single" w:sz="8" w:space="0" w:color="auto"/>
              <w:right w:val="nil"/>
            </w:tcBorders>
            <w:shd w:val="clear" w:color="auto" w:fill="auto"/>
            <w:noWrap/>
            <w:vAlign w:val="center"/>
            <w:hideMark/>
          </w:tcPr>
          <w:p w14:paraId="645FA2BA"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(N = 22)</w:t>
            </w:r>
          </w:p>
        </w:tc>
        <w:tc>
          <w:tcPr>
            <w:tcW w:w="1050" w:type="dxa"/>
            <w:tcBorders>
              <w:top w:val="nil"/>
              <w:left w:val="nil"/>
              <w:bottom w:val="single" w:sz="8" w:space="0" w:color="auto"/>
              <w:right w:val="nil"/>
            </w:tcBorders>
            <w:shd w:val="clear" w:color="auto" w:fill="auto"/>
            <w:noWrap/>
            <w:vAlign w:val="center"/>
            <w:hideMark/>
          </w:tcPr>
          <w:p w14:paraId="43F2B5CD"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(N = 21)</w:t>
            </w:r>
          </w:p>
        </w:tc>
        <w:tc>
          <w:tcPr>
            <w:tcW w:w="1020" w:type="dxa"/>
            <w:tcBorders>
              <w:top w:val="nil"/>
              <w:left w:val="nil"/>
              <w:bottom w:val="single" w:sz="8" w:space="0" w:color="auto"/>
              <w:right w:val="nil"/>
            </w:tcBorders>
            <w:shd w:val="clear" w:color="auto" w:fill="auto"/>
            <w:noWrap/>
            <w:vAlign w:val="center"/>
            <w:hideMark/>
          </w:tcPr>
          <w:p w14:paraId="51355974"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(N = 47)</w:t>
            </w:r>
          </w:p>
        </w:tc>
        <w:tc>
          <w:tcPr>
            <w:tcW w:w="1184" w:type="dxa"/>
            <w:tcBorders>
              <w:top w:val="nil"/>
              <w:left w:val="nil"/>
              <w:bottom w:val="single" w:sz="8" w:space="0" w:color="auto"/>
              <w:right w:val="nil"/>
            </w:tcBorders>
            <w:shd w:val="clear" w:color="auto" w:fill="auto"/>
            <w:noWrap/>
            <w:vAlign w:val="center"/>
            <w:hideMark/>
          </w:tcPr>
          <w:p w14:paraId="06B5AB22"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(N = 10)</w:t>
            </w:r>
          </w:p>
        </w:tc>
        <w:tc>
          <w:tcPr>
            <w:tcW w:w="6248" w:type="dxa"/>
            <w:tcBorders>
              <w:top w:val="nil"/>
              <w:left w:val="nil"/>
              <w:bottom w:val="single" w:sz="8" w:space="0" w:color="auto"/>
              <w:right w:val="nil"/>
            </w:tcBorders>
            <w:shd w:val="clear" w:color="auto" w:fill="auto"/>
            <w:noWrap/>
            <w:vAlign w:val="center"/>
            <w:hideMark/>
          </w:tcPr>
          <w:p w14:paraId="0272F1BA"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 </w:t>
            </w:r>
          </w:p>
        </w:tc>
      </w:tr>
      <w:tr w:rsidR="00172ED8" w:rsidRPr="00172ED8" w14:paraId="02A4C95A" w14:textId="77777777" w:rsidTr="00273733">
        <w:trPr>
          <w:trHeight w:val="260"/>
        </w:trPr>
        <w:tc>
          <w:tcPr>
            <w:tcW w:w="2550" w:type="dxa"/>
            <w:tcBorders>
              <w:top w:val="nil"/>
              <w:left w:val="nil"/>
              <w:bottom w:val="nil"/>
              <w:right w:val="nil"/>
            </w:tcBorders>
            <w:shd w:val="clear" w:color="auto" w:fill="auto"/>
            <w:noWrap/>
            <w:vAlign w:val="center"/>
            <w:hideMark/>
          </w:tcPr>
          <w:p w14:paraId="12E77F4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Consultant involved, n (%)</w:t>
            </w:r>
          </w:p>
        </w:tc>
        <w:tc>
          <w:tcPr>
            <w:tcW w:w="1110" w:type="dxa"/>
            <w:tcBorders>
              <w:top w:val="nil"/>
              <w:left w:val="nil"/>
              <w:bottom w:val="nil"/>
              <w:right w:val="nil"/>
            </w:tcBorders>
            <w:shd w:val="clear" w:color="auto" w:fill="auto"/>
            <w:noWrap/>
            <w:vAlign w:val="center"/>
            <w:hideMark/>
          </w:tcPr>
          <w:p w14:paraId="560A5B6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33 (33%)</w:t>
            </w:r>
          </w:p>
        </w:tc>
        <w:tc>
          <w:tcPr>
            <w:tcW w:w="990" w:type="dxa"/>
            <w:tcBorders>
              <w:top w:val="nil"/>
              <w:left w:val="nil"/>
              <w:bottom w:val="nil"/>
              <w:right w:val="nil"/>
            </w:tcBorders>
            <w:shd w:val="clear" w:color="auto" w:fill="auto"/>
            <w:noWrap/>
            <w:vAlign w:val="center"/>
            <w:hideMark/>
          </w:tcPr>
          <w:p w14:paraId="6661300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 (14%)</w:t>
            </w:r>
          </w:p>
        </w:tc>
        <w:tc>
          <w:tcPr>
            <w:tcW w:w="1050" w:type="dxa"/>
            <w:tcBorders>
              <w:top w:val="nil"/>
              <w:left w:val="nil"/>
              <w:bottom w:val="nil"/>
              <w:right w:val="nil"/>
            </w:tcBorders>
            <w:shd w:val="clear" w:color="auto" w:fill="auto"/>
            <w:noWrap/>
            <w:vAlign w:val="center"/>
            <w:hideMark/>
          </w:tcPr>
          <w:p w14:paraId="397C131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 (5%)</w:t>
            </w:r>
          </w:p>
        </w:tc>
        <w:tc>
          <w:tcPr>
            <w:tcW w:w="1020" w:type="dxa"/>
            <w:tcBorders>
              <w:top w:val="nil"/>
              <w:left w:val="nil"/>
              <w:bottom w:val="nil"/>
              <w:right w:val="nil"/>
            </w:tcBorders>
            <w:shd w:val="clear" w:color="auto" w:fill="auto"/>
            <w:noWrap/>
            <w:vAlign w:val="center"/>
            <w:hideMark/>
          </w:tcPr>
          <w:p w14:paraId="67F5736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21 (45%)</w:t>
            </w:r>
          </w:p>
        </w:tc>
        <w:tc>
          <w:tcPr>
            <w:tcW w:w="1184" w:type="dxa"/>
            <w:tcBorders>
              <w:top w:val="nil"/>
              <w:left w:val="nil"/>
              <w:bottom w:val="nil"/>
              <w:right w:val="nil"/>
            </w:tcBorders>
            <w:shd w:val="clear" w:color="auto" w:fill="auto"/>
            <w:noWrap/>
            <w:vAlign w:val="center"/>
            <w:hideMark/>
          </w:tcPr>
          <w:p w14:paraId="4E59480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(80%)</w:t>
            </w:r>
          </w:p>
        </w:tc>
        <w:tc>
          <w:tcPr>
            <w:tcW w:w="6248" w:type="dxa"/>
            <w:vMerge w:val="restart"/>
            <w:tcBorders>
              <w:top w:val="nil"/>
              <w:left w:val="nil"/>
              <w:bottom w:val="nil"/>
              <w:right w:val="nil"/>
            </w:tcBorders>
            <w:shd w:val="clear" w:color="auto" w:fill="auto"/>
            <w:vAlign w:val="center"/>
            <w:hideMark/>
          </w:tcPr>
          <w:p w14:paraId="522C256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Despite institutional guidelines recommending 5 days, an ID consultant recommended 14 days of cefazolin for improving non-purulent cellulitis due to patient's history of prior cellulitis. </w:t>
            </w:r>
          </w:p>
        </w:tc>
      </w:tr>
      <w:tr w:rsidR="00172ED8" w:rsidRPr="00172ED8" w14:paraId="28CC289D" w14:textId="77777777" w:rsidTr="00273733">
        <w:trPr>
          <w:trHeight w:val="260"/>
        </w:trPr>
        <w:tc>
          <w:tcPr>
            <w:tcW w:w="2550" w:type="dxa"/>
            <w:tcBorders>
              <w:top w:val="nil"/>
              <w:left w:val="nil"/>
              <w:bottom w:val="nil"/>
              <w:right w:val="nil"/>
            </w:tcBorders>
            <w:shd w:val="clear" w:color="auto" w:fill="auto"/>
            <w:noWrap/>
            <w:vAlign w:val="center"/>
            <w:hideMark/>
          </w:tcPr>
          <w:p w14:paraId="06CD33C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&amp; Had antibiotic overuse, n (%)</w:t>
            </w:r>
          </w:p>
        </w:tc>
        <w:tc>
          <w:tcPr>
            <w:tcW w:w="1110" w:type="dxa"/>
            <w:tcBorders>
              <w:top w:val="nil"/>
              <w:left w:val="nil"/>
              <w:bottom w:val="nil"/>
              <w:right w:val="nil"/>
            </w:tcBorders>
            <w:shd w:val="clear" w:color="auto" w:fill="auto"/>
            <w:noWrap/>
            <w:vAlign w:val="center"/>
            <w:hideMark/>
          </w:tcPr>
          <w:p w14:paraId="09470D1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27 (27%)</w:t>
            </w:r>
          </w:p>
        </w:tc>
        <w:tc>
          <w:tcPr>
            <w:tcW w:w="990" w:type="dxa"/>
            <w:tcBorders>
              <w:top w:val="nil"/>
              <w:left w:val="nil"/>
              <w:bottom w:val="nil"/>
              <w:right w:val="nil"/>
            </w:tcBorders>
            <w:shd w:val="clear" w:color="auto" w:fill="auto"/>
            <w:noWrap/>
            <w:vAlign w:val="center"/>
            <w:hideMark/>
          </w:tcPr>
          <w:p w14:paraId="05CF037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 (5%)</w:t>
            </w:r>
          </w:p>
        </w:tc>
        <w:tc>
          <w:tcPr>
            <w:tcW w:w="1050" w:type="dxa"/>
            <w:tcBorders>
              <w:top w:val="nil"/>
              <w:left w:val="nil"/>
              <w:bottom w:val="nil"/>
              <w:right w:val="nil"/>
            </w:tcBorders>
            <w:shd w:val="clear" w:color="auto" w:fill="auto"/>
            <w:noWrap/>
            <w:vAlign w:val="center"/>
            <w:hideMark/>
          </w:tcPr>
          <w:p w14:paraId="71C5CDE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 (5%)</w:t>
            </w:r>
          </w:p>
        </w:tc>
        <w:tc>
          <w:tcPr>
            <w:tcW w:w="1020" w:type="dxa"/>
            <w:tcBorders>
              <w:top w:val="nil"/>
              <w:left w:val="nil"/>
              <w:bottom w:val="nil"/>
              <w:right w:val="nil"/>
            </w:tcBorders>
            <w:shd w:val="clear" w:color="auto" w:fill="auto"/>
            <w:noWrap/>
            <w:vAlign w:val="center"/>
            <w:hideMark/>
          </w:tcPr>
          <w:p w14:paraId="4C799EC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19 (40%)</w:t>
            </w:r>
          </w:p>
        </w:tc>
        <w:tc>
          <w:tcPr>
            <w:tcW w:w="1184" w:type="dxa"/>
            <w:tcBorders>
              <w:top w:val="nil"/>
              <w:left w:val="nil"/>
              <w:bottom w:val="nil"/>
              <w:right w:val="nil"/>
            </w:tcBorders>
            <w:shd w:val="clear" w:color="auto" w:fill="auto"/>
            <w:noWrap/>
            <w:vAlign w:val="center"/>
            <w:hideMark/>
          </w:tcPr>
          <w:p w14:paraId="70CE2BD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6 (60%)</w:t>
            </w:r>
          </w:p>
        </w:tc>
        <w:tc>
          <w:tcPr>
            <w:tcW w:w="6248" w:type="dxa"/>
            <w:vMerge/>
            <w:vAlign w:val="center"/>
            <w:hideMark/>
          </w:tcPr>
          <w:p w14:paraId="30758DC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4E0DF357" w14:textId="77777777" w:rsidTr="00273733">
        <w:trPr>
          <w:trHeight w:val="260"/>
        </w:trPr>
        <w:tc>
          <w:tcPr>
            <w:tcW w:w="2550" w:type="dxa"/>
            <w:tcBorders>
              <w:top w:val="nil"/>
              <w:left w:val="nil"/>
              <w:bottom w:val="nil"/>
              <w:right w:val="nil"/>
            </w:tcBorders>
            <w:shd w:val="clear" w:color="auto" w:fill="auto"/>
            <w:noWrap/>
            <w:vAlign w:val="center"/>
            <w:hideMark/>
          </w:tcPr>
          <w:p w14:paraId="3B3EE06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1110" w:type="dxa"/>
            <w:tcBorders>
              <w:top w:val="nil"/>
              <w:left w:val="nil"/>
              <w:bottom w:val="nil"/>
              <w:right w:val="nil"/>
            </w:tcBorders>
            <w:shd w:val="clear" w:color="auto" w:fill="auto"/>
            <w:noWrap/>
            <w:vAlign w:val="center"/>
            <w:hideMark/>
          </w:tcPr>
          <w:p w14:paraId="7633D9A8"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990" w:type="dxa"/>
            <w:tcBorders>
              <w:top w:val="nil"/>
              <w:left w:val="nil"/>
              <w:bottom w:val="nil"/>
              <w:right w:val="nil"/>
            </w:tcBorders>
            <w:shd w:val="clear" w:color="auto" w:fill="auto"/>
            <w:noWrap/>
            <w:vAlign w:val="center"/>
            <w:hideMark/>
          </w:tcPr>
          <w:p w14:paraId="3E32071B"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50" w:type="dxa"/>
            <w:tcBorders>
              <w:top w:val="nil"/>
              <w:left w:val="nil"/>
              <w:bottom w:val="nil"/>
              <w:right w:val="nil"/>
            </w:tcBorders>
            <w:shd w:val="clear" w:color="auto" w:fill="auto"/>
            <w:noWrap/>
            <w:vAlign w:val="center"/>
            <w:hideMark/>
          </w:tcPr>
          <w:p w14:paraId="20476111"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20" w:type="dxa"/>
            <w:tcBorders>
              <w:top w:val="nil"/>
              <w:left w:val="nil"/>
              <w:bottom w:val="nil"/>
              <w:right w:val="nil"/>
            </w:tcBorders>
            <w:shd w:val="clear" w:color="auto" w:fill="auto"/>
            <w:noWrap/>
            <w:vAlign w:val="center"/>
            <w:hideMark/>
          </w:tcPr>
          <w:p w14:paraId="6D637CE0"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184" w:type="dxa"/>
            <w:tcBorders>
              <w:top w:val="nil"/>
              <w:left w:val="nil"/>
              <w:bottom w:val="nil"/>
              <w:right w:val="nil"/>
            </w:tcBorders>
            <w:shd w:val="clear" w:color="auto" w:fill="auto"/>
            <w:noWrap/>
            <w:vAlign w:val="center"/>
            <w:hideMark/>
          </w:tcPr>
          <w:p w14:paraId="1CBA83F4"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6248" w:type="dxa"/>
            <w:vMerge/>
            <w:vAlign w:val="center"/>
            <w:hideMark/>
          </w:tcPr>
          <w:p w14:paraId="3A64F4B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69EA0CA7" w14:textId="77777777" w:rsidTr="00273733">
        <w:trPr>
          <w:trHeight w:val="260"/>
        </w:trPr>
        <w:tc>
          <w:tcPr>
            <w:tcW w:w="2550" w:type="dxa"/>
            <w:tcBorders>
              <w:top w:val="nil"/>
              <w:left w:val="nil"/>
              <w:bottom w:val="nil"/>
              <w:right w:val="nil"/>
            </w:tcBorders>
            <w:shd w:val="clear" w:color="auto" w:fill="auto"/>
            <w:noWrap/>
            <w:vAlign w:val="center"/>
            <w:hideMark/>
          </w:tcPr>
          <w:p w14:paraId="083D340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Source control procedure, n (%)</w:t>
            </w:r>
          </w:p>
        </w:tc>
        <w:tc>
          <w:tcPr>
            <w:tcW w:w="1110" w:type="dxa"/>
            <w:tcBorders>
              <w:top w:val="nil"/>
              <w:left w:val="nil"/>
              <w:bottom w:val="nil"/>
              <w:right w:val="nil"/>
            </w:tcBorders>
            <w:shd w:val="clear" w:color="auto" w:fill="auto"/>
            <w:noWrap/>
            <w:vAlign w:val="center"/>
            <w:hideMark/>
          </w:tcPr>
          <w:p w14:paraId="2F02188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21 (21%)</w:t>
            </w:r>
          </w:p>
        </w:tc>
        <w:tc>
          <w:tcPr>
            <w:tcW w:w="990" w:type="dxa"/>
            <w:tcBorders>
              <w:top w:val="nil"/>
              <w:left w:val="nil"/>
              <w:bottom w:val="nil"/>
              <w:right w:val="nil"/>
            </w:tcBorders>
            <w:shd w:val="clear" w:color="auto" w:fill="auto"/>
            <w:noWrap/>
            <w:vAlign w:val="center"/>
            <w:hideMark/>
          </w:tcPr>
          <w:p w14:paraId="7E73FC6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w:t>
            </w:r>
          </w:p>
        </w:tc>
        <w:tc>
          <w:tcPr>
            <w:tcW w:w="1050" w:type="dxa"/>
            <w:tcBorders>
              <w:top w:val="nil"/>
              <w:left w:val="nil"/>
              <w:bottom w:val="nil"/>
              <w:right w:val="nil"/>
            </w:tcBorders>
            <w:shd w:val="clear" w:color="auto" w:fill="auto"/>
            <w:noWrap/>
            <w:vAlign w:val="center"/>
            <w:hideMark/>
          </w:tcPr>
          <w:p w14:paraId="42A639C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w:t>
            </w:r>
          </w:p>
        </w:tc>
        <w:tc>
          <w:tcPr>
            <w:tcW w:w="1020" w:type="dxa"/>
            <w:tcBorders>
              <w:top w:val="nil"/>
              <w:left w:val="nil"/>
              <w:bottom w:val="nil"/>
              <w:right w:val="nil"/>
            </w:tcBorders>
            <w:shd w:val="clear" w:color="auto" w:fill="auto"/>
            <w:noWrap/>
            <w:vAlign w:val="center"/>
            <w:hideMark/>
          </w:tcPr>
          <w:p w14:paraId="7E0382F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20 (43%)</w:t>
            </w:r>
          </w:p>
        </w:tc>
        <w:tc>
          <w:tcPr>
            <w:tcW w:w="1184" w:type="dxa"/>
            <w:tcBorders>
              <w:top w:val="nil"/>
              <w:left w:val="nil"/>
              <w:bottom w:val="nil"/>
              <w:right w:val="nil"/>
            </w:tcBorders>
            <w:shd w:val="clear" w:color="auto" w:fill="auto"/>
            <w:noWrap/>
            <w:vAlign w:val="center"/>
            <w:hideMark/>
          </w:tcPr>
          <w:p w14:paraId="67C56C9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 (10%)</w:t>
            </w:r>
          </w:p>
        </w:tc>
        <w:tc>
          <w:tcPr>
            <w:tcW w:w="6248" w:type="dxa"/>
            <w:vMerge w:val="restart"/>
            <w:tcBorders>
              <w:top w:val="nil"/>
              <w:left w:val="nil"/>
              <w:bottom w:val="nil"/>
              <w:right w:val="nil"/>
            </w:tcBorders>
            <w:shd w:val="clear" w:color="auto" w:fill="auto"/>
            <w:vAlign w:val="center"/>
            <w:hideMark/>
          </w:tcPr>
          <w:p w14:paraId="1BE2E14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Patient with dental abscess failed to improve on ampicillin-sulbactam prior to source control and was changed to levofloxacin and metronidazole. Patient rapidly improved after source control but was still discharged on levofloxacin and metronidazole.</w:t>
            </w:r>
          </w:p>
        </w:tc>
      </w:tr>
      <w:tr w:rsidR="00172ED8" w:rsidRPr="00172ED8" w14:paraId="14AB6FA0" w14:textId="77777777" w:rsidTr="00273733">
        <w:trPr>
          <w:trHeight w:val="260"/>
        </w:trPr>
        <w:tc>
          <w:tcPr>
            <w:tcW w:w="2550" w:type="dxa"/>
            <w:tcBorders>
              <w:top w:val="nil"/>
              <w:left w:val="nil"/>
              <w:bottom w:val="nil"/>
              <w:right w:val="nil"/>
            </w:tcBorders>
            <w:shd w:val="clear" w:color="auto" w:fill="auto"/>
            <w:noWrap/>
            <w:vAlign w:val="center"/>
            <w:hideMark/>
          </w:tcPr>
          <w:p w14:paraId="52F4600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&amp; Had antibiotic overuse, n (%)</w:t>
            </w:r>
          </w:p>
        </w:tc>
        <w:tc>
          <w:tcPr>
            <w:tcW w:w="1110" w:type="dxa"/>
            <w:tcBorders>
              <w:top w:val="nil"/>
              <w:left w:val="nil"/>
              <w:bottom w:val="nil"/>
              <w:right w:val="nil"/>
            </w:tcBorders>
            <w:shd w:val="clear" w:color="auto" w:fill="auto"/>
            <w:noWrap/>
            <w:vAlign w:val="center"/>
            <w:hideMark/>
          </w:tcPr>
          <w:p w14:paraId="04149B9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16 (16%)</w:t>
            </w:r>
          </w:p>
        </w:tc>
        <w:tc>
          <w:tcPr>
            <w:tcW w:w="990" w:type="dxa"/>
            <w:tcBorders>
              <w:top w:val="nil"/>
              <w:left w:val="nil"/>
              <w:bottom w:val="nil"/>
              <w:right w:val="nil"/>
            </w:tcBorders>
            <w:shd w:val="clear" w:color="auto" w:fill="auto"/>
            <w:noWrap/>
            <w:vAlign w:val="center"/>
            <w:hideMark/>
          </w:tcPr>
          <w:p w14:paraId="25A2191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0 </w:t>
            </w:r>
            <w:r w:rsidRPr="00172ED8">
              <w:rPr>
                <w:rFonts w:ascii="Times New Roman" w:eastAsia="Times New Roman" w:hAnsi="Times New Roman" w:cs="Times New Roman"/>
                <w:color w:val="FFFFFF"/>
                <w:sz w:val="16"/>
                <w:szCs w:val="16"/>
                <w:lang w:val="en-US"/>
              </w:rPr>
              <w:t>(X%)</w:t>
            </w:r>
          </w:p>
        </w:tc>
        <w:tc>
          <w:tcPr>
            <w:tcW w:w="1050" w:type="dxa"/>
            <w:tcBorders>
              <w:top w:val="nil"/>
              <w:left w:val="nil"/>
              <w:bottom w:val="nil"/>
              <w:right w:val="nil"/>
            </w:tcBorders>
            <w:shd w:val="clear" w:color="auto" w:fill="auto"/>
            <w:noWrap/>
            <w:vAlign w:val="center"/>
            <w:hideMark/>
          </w:tcPr>
          <w:p w14:paraId="56AA7A4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0 </w:t>
            </w:r>
            <w:r w:rsidRPr="00172ED8">
              <w:rPr>
                <w:rFonts w:ascii="Times New Roman" w:eastAsia="Times New Roman" w:hAnsi="Times New Roman" w:cs="Times New Roman"/>
                <w:color w:val="FFFFFF"/>
                <w:sz w:val="16"/>
                <w:szCs w:val="16"/>
                <w:lang w:val="en-US"/>
              </w:rPr>
              <w:t>(X%)</w:t>
            </w:r>
          </w:p>
        </w:tc>
        <w:tc>
          <w:tcPr>
            <w:tcW w:w="1020" w:type="dxa"/>
            <w:tcBorders>
              <w:top w:val="nil"/>
              <w:left w:val="nil"/>
              <w:bottom w:val="nil"/>
              <w:right w:val="nil"/>
            </w:tcBorders>
            <w:shd w:val="clear" w:color="auto" w:fill="auto"/>
            <w:noWrap/>
            <w:vAlign w:val="center"/>
            <w:hideMark/>
          </w:tcPr>
          <w:p w14:paraId="6520C7B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16 (34%)</w:t>
            </w:r>
          </w:p>
        </w:tc>
        <w:tc>
          <w:tcPr>
            <w:tcW w:w="1184" w:type="dxa"/>
            <w:tcBorders>
              <w:top w:val="nil"/>
              <w:left w:val="nil"/>
              <w:bottom w:val="nil"/>
              <w:right w:val="nil"/>
            </w:tcBorders>
            <w:shd w:val="clear" w:color="auto" w:fill="auto"/>
            <w:noWrap/>
            <w:vAlign w:val="center"/>
            <w:hideMark/>
          </w:tcPr>
          <w:p w14:paraId="359B530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0 </w:t>
            </w:r>
            <w:r w:rsidRPr="00172ED8">
              <w:rPr>
                <w:rFonts w:ascii="Times New Roman" w:eastAsia="Times New Roman" w:hAnsi="Times New Roman" w:cs="Times New Roman"/>
                <w:color w:val="FFFFFF"/>
                <w:sz w:val="16"/>
                <w:szCs w:val="16"/>
                <w:lang w:val="en-US"/>
              </w:rPr>
              <w:t>(X%)</w:t>
            </w:r>
          </w:p>
        </w:tc>
        <w:tc>
          <w:tcPr>
            <w:tcW w:w="6248" w:type="dxa"/>
            <w:vMerge/>
            <w:vAlign w:val="center"/>
            <w:hideMark/>
          </w:tcPr>
          <w:p w14:paraId="22CC5A2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4D277C58" w14:textId="77777777" w:rsidTr="00273733">
        <w:trPr>
          <w:trHeight w:val="260"/>
        </w:trPr>
        <w:tc>
          <w:tcPr>
            <w:tcW w:w="2550" w:type="dxa"/>
            <w:tcBorders>
              <w:top w:val="nil"/>
              <w:left w:val="nil"/>
              <w:bottom w:val="nil"/>
              <w:right w:val="nil"/>
            </w:tcBorders>
            <w:shd w:val="clear" w:color="auto" w:fill="auto"/>
            <w:noWrap/>
            <w:vAlign w:val="center"/>
            <w:hideMark/>
          </w:tcPr>
          <w:p w14:paraId="0FE5FE5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1110" w:type="dxa"/>
            <w:tcBorders>
              <w:top w:val="nil"/>
              <w:left w:val="nil"/>
              <w:bottom w:val="nil"/>
              <w:right w:val="nil"/>
            </w:tcBorders>
            <w:shd w:val="clear" w:color="auto" w:fill="auto"/>
            <w:noWrap/>
            <w:vAlign w:val="center"/>
            <w:hideMark/>
          </w:tcPr>
          <w:p w14:paraId="055BA980"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990" w:type="dxa"/>
            <w:tcBorders>
              <w:top w:val="nil"/>
              <w:left w:val="nil"/>
              <w:bottom w:val="nil"/>
              <w:right w:val="nil"/>
            </w:tcBorders>
            <w:shd w:val="clear" w:color="auto" w:fill="auto"/>
            <w:noWrap/>
            <w:vAlign w:val="center"/>
            <w:hideMark/>
          </w:tcPr>
          <w:p w14:paraId="28824F12"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50" w:type="dxa"/>
            <w:tcBorders>
              <w:top w:val="nil"/>
              <w:left w:val="nil"/>
              <w:bottom w:val="nil"/>
              <w:right w:val="nil"/>
            </w:tcBorders>
            <w:shd w:val="clear" w:color="auto" w:fill="auto"/>
            <w:noWrap/>
            <w:vAlign w:val="center"/>
            <w:hideMark/>
          </w:tcPr>
          <w:p w14:paraId="2A202887"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20" w:type="dxa"/>
            <w:tcBorders>
              <w:top w:val="nil"/>
              <w:left w:val="nil"/>
              <w:bottom w:val="nil"/>
              <w:right w:val="nil"/>
            </w:tcBorders>
            <w:shd w:val="clear" w:color="auto" w:fill="auto"/>
            <w:noWrap/>
            <w:vAlign w:val="center"/>
            <w:hideMark/>
          </w:tcPr>
          <w:p w14:paraId="2EBF855B"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184" w:type="dxa"/>
            <w:tcBorders>
              <w:top w:val="nil"/>
              <w:left w:val="nil"/>
              <w:bottom w:val="nil"/>
              <w:right w:val="nil"/>
            </w:tcBorders>
            <w:shd w:val="clear" w:color="auto" w:fill="auto"/>
            <w:noWrap/>
            <w:vAlign w:val="center"/>
            <w:hideMark/>
          </w:tcPr>
          <w:p w14:paraId="046BC463"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6248" w:type="dxa"/>
            <w:vMerge/>
            <w:vAlign w:val="center"/>
            <w:hideMark/>
          </w:tcPr>
          <w:p w14:paraId="3559B2A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3962E865" w14:textId="77777777" w:rsidTr="00273733">
        <w:trPr>
          <w:trHeight w:val="260"/>
        </w:trPr>
        <w:tc>
          <w:tcPr>
            <w:tcW w:w="2550" w:type="dxa"/>
            <w:tcBorders>
              <w:top w:val="nil"/>
              <w:left w:val="nil"/>
              <w:bottom w:val="nil"/>
              <w:right w:val="nil"/>
            </w:tcBorders>
            <w:shd w:val="clear" w:color="auto" w:fill="auto"/>
            <w:noWrap/>
            <w:vAlign w:val="center"/>
            <w:hideMark/>
          </w:tcPr>
          <w:p w14:paraId="7EDA275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Slow to respond </w:t>
            </w:r>
            <w:r w:rsidRPr="00172ED8">
              <w:rPr>
                <w:rFonts w:ascii="Times New Roman" w:eastAsia="Times New Roman" w:hAnsi="Times New Roman" w:cs="Times New Roman"/>
                <w:color w:val="000000"/>
                <w:sz w:val="16"/>
                <w:szCs w:val="16"/>
                <w:vertAlign w:val="superscript"/>
                <w:lang w:val="en-US"/>
              </w:rPr>
              <w:t>a</w:t>
            </w:r>
            <w:r w:rsidRPr="00172ED8">
              <w:rPr>
                <w:rFonts w:ascii="Times New Roman" w:eastAsia="Times New Roman" w:hAnsi="Times New Roman" w:cs="Times New Roman"/>
                <w:color w:val="000000"/>
                <w:sz w:val="16"/>
                <w:szCs w:val="16"/>
                <w:lang w:val="en-US"/>
              </w:rPr>
              <w:t>, n (%)</w:t>
            </w:r>
          </w:p>
        </w:tc>
        <w:tc>
          <w:tcPr>
            <w:tcW w:w="1110" w:type="dxa"/>
            <w:tcBorders>
              <w:top w:val="nil"/>
              <w:left w:val="nil"/>
              <w:bottom w:val="nil"/>
              <w:right w:val="nil"/>
            </w:tcBorders>
            <w:shd w:val="clear" w:color="auto" w:fill="auto"/>
            <w:noWrap/>
            <w:vAlign w:val="center"/>
            <w:hideMark/>
          </w:tcPr>
          <w:p w14:paraId="1224199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9 (9%)</w:t>
            </w:r>
          </w:p>
        </w:tc>
        <w:tc>
          <w:tcPr>
            <w:tcW w:w="990" w:type="dxa"/>
            <w:tcBorders>
              <w:top w:val="nil"/>
              <w:left w:val="nil"/>
              <w:bottom w:val="nil"/>
              <w:right w:val="nil"/>
            </w:tcBorders>
            <w:shd w:val="clear" w:color="auto" w:fill="auto"/>
            <w:noWrap/>
            <w:vAlign w:val="center"/>
            <w:hideMark/>
          </w:tcPr>
          <w:p w14:paraId="0DF749D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 (5%)</w:t>
            </w:r>
          </w:p>
        </w:tc>
        <w:tc>
          <w:tcPr>
            <w:tcW w:w="1050" w:type="dxa"/>
            <w:tcBorders>
              <w:top w:val="nil"/>
              <w:left w:val="nil"/>
              <w:bottom w:val="nil"/>
              <w:right w:val="nil"/>
            </w:tcBorders>
            <w:shd w:val="clear" w:color="auto" w:fill="auto"/>
            <w:noWrap/>
            <w:vAlign w:val="center"/>
            <w:hideMark/>
          </w:tcPr>
          <w:p w14:paraId="62D7B01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w:t>
            </w:r>
          </w:p>
        </w:tc>
        <w:tc>
          <w:tcPr>
            <w:tcW w:w="1020" w:type="dxa"/>
            <w:tcBorders>
              <w:top w:val="nil"/>
              <w:left w:val="nil"/>
              <w:bottom w:val="nil"/>
              <w:right w:val="nil"/>
            </w:tcBorders>
            <w:shd w:val="clear" w:color="auto" w:fill="auto"/>
            <w:noWrap/>
            <w:vAlign w:val="center"/>
            <w:hideMark/>
          </w:tcPr>
          <w:p w14:paraId="078B420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(17%)</w:t>
            </w:r>
          </w:p>
        </w:tc>
        <w:tc>
          <w:tcPr>
            <w:tcW w:w="1184" w:type="dxa"/>
            <w:tcBorders>
              <w:top w:val="nil"/>
              <w:left w:val="nil"/>
              <w:bottom w:val="nil"/>
              <w:right w:val="nil"/>
            </w:tcBorders>
            <w:shd w:val="clear" w:color="auto" w:fill="auto"/>
            <w:noWrap/>
            <w:vAlign w:val="center"/>
            <w:hideMark/>
          </w:tcPr>
          <w:p w14:paraId="047151C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w:t>
            </w:r>
          </w:p>
        </w:tc>
        <w:tc>
          <w:tcPr>
            <w:tcW w:w="6248" w:type="dxa"/>
            <w:vMerge w:val="restart"/>
            <w:tcBorders>
              <w:top w:val="nil"/>
              <w:left w:val="nil"/>
              <w:bottom w:val="nil"/>
              <w:right w:val="nil"/>
            </w:tcBorders>
            <w:shd w:val="clear" w:color="auto" w:fill="auto"/>
            <w:vAlign w:val="center"/>
            <w:hideMark/>
          </w:tcPr>
          <w:p w14:paraId="0A59FD9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Patient remained febrile for 24 hours following initiation of appropriate antibiotics (vancomycin for cellulitis) but then improved. Despite this patient was described as “slow to respond” and prescribed an excess duration at discharge.</w:t>
            </w:r>
          </w:p>
        </w:tc>
      </w:tr>
      <w:tr w:rsidR="00172ED8" w:rsidRPr="00172ED8" w14:paraId="4A956353" w14:textId="77777777" w:rsidTr="00273733">
        <w:trPr>
          <w:trHeight w:val="260"/>
        </w:trPr>
        <w:tc>
          <w:tcPr>
            <w:tcW w:w="2550" w:type="dxa"/>
            <w:tcBorders>
              <w:top w:val="nil"/>
              <w:left w:val="nil"/>
              <w:bottom w:val="nil"/>
              <w:right w:val="nil"/>
            </w:tcBorders>
            <w:shd w:val="clear" w:color="auto" w:fill="auto"/>
            <w:noWrap/>
            <w:vAlign w:val="center"/>
            <w:hideMark/>
          </w:tcPr>
          <w:p w14:paraId="227A304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&amp; Had antibiotic overuse, n (%)</w:t>
            </w:r>
          </w:p>
        </w:tc>
        <w:tc>
          <w:tcPr>
            <w:tcW w:w="1110" w:type="dxa"/>
            <w:tcBorders>
              <w:top w:val="nil"/>
              <w:left w:val="nil"/>
              <w:bottom w:val="nil"/>
              <w:right w:val="nil"/>
            </w:tcBorders>
            <w:shd w:val="clear" w:color="auto" w:fill="auto"/>
            <w:noWrap/>
            <w:vAlign w:val="center"/>
            <w:hideMark/>
          </w:tcPr>
          <w:p w14:paraId="449BC9F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8 (8%)</w:t>
            </w:r>
          </w:p>
        </w:tc>
        <w:tc>
          <w:tcPr>
            <w:tcW w:w="990" w:type="dxa"/>
            <w:tcBorders>
              <w:top w:val="nil"/>
              <w:left w:val="nil"/>
              <w:bottom w:val="nil"/>
              <w:right w:val="nil"/>
            </w:tcBorders>
            <w:shd w:val="clear" w:color="auto" w:fill="auto"/>
            <w:noWrap/>
            <w:vAlign w:val="center"/>
            <w:hideMark/>
          </w:tcPr>
          <w:p w14:paraId="27A1152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0 </w:t>
            </w:r>
            <w:r w:rsidRPr="00172ED8">
              <w:rPr>
                <w:rFonts w:ascii="Times New Roman" w:eastAsia="Times New Roman" w:hAnsi="Times New Roman" w:cs="Times New Roman"/>
                <w:color w:val="FFFFFF"/>
                <w:sz w:val="16"/>
                <w:szCs w:val="16"/>
                <w:lang w:val="en-US"/>
              </w:rPr>
              <w:t>(X%)</w:t>
            </w:r>
          </w:p>
        </w:tc>
        <w:tc>
          <w:tcPr>
            <w:tcW w:w="1050" w:type="dxa"/>
            <w:tcBorders>
              <w:top w:val="nil"/>
              <w:left w:val="nil"/>
              <w:bottom w:val="nil"/>
              <w:right w:val="nil"/>
            </w:tcBorders>
            <w:shd w:val="clear" w:color="auto" w:fill="auto"/>
            <w:noWrap/>
            <w:vAlign w:val="center"/>
            <w:hideMark/>
          </w:tcPr>
          <w:p w14:paraId="69B63B8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0 </w:t>
            </w:r>
            <w:r w:rsidRPr="00172ED8">
              <w:rPr>
                <w:rFonts w:ascii="Times New Roman" w:eastAsia="Times New Roman" w:hAnsi="Times New Roman" w:cs="Times New Roman"/>
                <w:color w:val="FFFFFF"/>
                <w:sz w:val="16"/>
                <w:szCs w:val="16"/>
                <w:lang w:val="en-US"/>
              </w:rPr>
              <w:t>(X%)</w:t>
            </w:r>
          </w:p>
        </w:tc>
        <w:tc>
          <w:tcPr>
            <w:tcW w:w="1020" w:type="dxa"/>
            <w:tcBorders>
              <w:top w:val="nil"/>
              <w:left w:val="nil"/>
              <w:bottom w:val="nil"/>
              <w:right w:val="nil"/>
            </w:tcBorders>
            <w:shd w:val="clear" w:color="auto" w:fill="auto"/>
            <w:noWrap/>
            <w:vAlign w:val="center"/>
            <w:hideMark/>
          </w:tcPr>
          <w:p w14:paraId="0F15D41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8 (17%)</w:t>
            </w:r>
          </w:p>
        </w:tc>
        <w:tc>
          <w:tcPr>
            <w:tcW w:w="1184" w:type="dxa"/>
            <w:tcBorders>
              <w:top w:val="nil"/>
              <w:left w:val="nil"/>
              <w:bottom w:val="nil"/>
              <w:right w:val="nil"/>
            </w:tcBorders>
            <w:shd w:val="clear" w:color="auto" w:fill="auto"/>
            <w:noWrap/>
            <w:vAlign w:val="center"/>
            <w:hideMark/>
          </w:tcPr>
          <w:p w14:paraId="5376B62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0 </w:t>
            </w:r>
            <w:r w:rsidRPr="00172ED8">
              <w:rPr>
                <w:rFonts w:ascii="Times New Roman" w:eastAsia="Times New Roman" w:hAnsi="Times New Roman" w:cs="Times New Roman"/>
                <w:color w:val="FFFFFF"/>
                <w:sz w:val="16"/>
                <w:szCs w:val="16"/>
                <w:lang w:val="en-US"/>
              </w:rPr>
              <w:t>(X%)</w:t>
            </w:r>
          </w:p>
        </w:tc>
        <w:tc>
          <w:tcPr>
            <w:tcW w:w="6248" w:type="dxa"/>
            <w:vMerge/>
            <w:vAlign w:val="center"/>
            <w:hideMark/>
          </w:tcPr>
          <w:p w14:paraId="0C378FD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29F5D6B4" w14:textId="77777777" w:rsidTr="00273733">
        <w:trPr>
          <w:trHeight w:val="260"/>
        </w:trPr>
        <w:tc>
          <w:tcPr>
            <w:tcW w:w="2550" w:type="dxa"/>
            <w:tcBorders>
              <w:top w:val="nil"/>
              <w:left w:val="nil"/>
              <w:bottom w:val="nil"/>
              <w:right w:val="nil"/>
            </w:tcBorders>
            <w:shd w:val="clear" w:color="auto" w:fill="auto"/>
            <w:noWrap/>
            <w:vAlign w:val="center"/>
            <w:hideMark/>
          </w:tcPr>
          <w:p w14:paraId="6010408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1110" w:type="dxa"/>
            <w:tcBorders>
              <w:top w:val="nil"/>
              <w:left w:val="nil"/>
              <w:bottom w:val="nil"/>
              <w:right w:val="nil"/>
            </w:tcBorders>
            <w:shd w:val="clear" w:color="auto" w:fill="auto"/>
            <w:noWrap/>
            <w:vAlign w:val="center"/>
            <w:hideMark/>
          </w:tcPr>
          <w:p w14:paraId="6A88E2B8"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990" w:type="dxa"/>
            <w:tcBorders>
              <w:top w:val="nil"/>
              <w:left w:val="nil"/>
              <w:bottom w:val="nil"/>
              <w:right w:val="nil"/>
            </w:tcBorders>
            <w:shd w:val="clear" w:color="auto" w:fill="auto"/>
            <w:noWrap/>
            <w:vAlign w:val="center"/>
            <w:hideMark/>
          </w:tcPr>
          <w:p w14:paraId="206E9EF6"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50" w:type="dxa"/>
            <w:tcBorders>
              <w:top w:val="nil"/>
              <w:left w:val="nil"/>
              <w:bottom w:val="nil"/>
              <w:right w:val="nil"/>
            </w:tcBorders>
            <w:shd w:val="clear" w:color="auto" w:fill="auto"/>
            <w:noWrap/>
            <w:vAlign w:val="center"/>
            <w:hideMark/>
          </w:tcPr>
          <w:p w14:paraId="4ED50F58"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20" w:type="dxa"/>
            <w:tcBorders>
              <w:top w:val="nil"/>
              <w:left w:val="nil"/>
              <w:bottom w:val="nil"/>
              <w:right w:val="nil"/>
            </w:tcBorders>
            <w:shd w:val="clear" w:color="auto" w:fill="auto"/>
            <w:noWrap/>
            <w:vAlign w:val="center"/>
            <w:hideMark/>
          </w:tcPr>
          <w:p w14:paraId="5EBA83D9"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184" w:type="dxa"/>
            <w:tcBorders>
              <w:top w:val="nil"/>
              <w:left w:val="nil"/>
              <w:bottom w:val="nil"/>
              <w:right w:val="nil"/>
            </w:tcBorders>
            <w:shd w:val="clear" w:color="auto" w:fill="auto"/>
            <w:noWrap/>
            <w:vAlign w:val="center"/>
            <w:hideMark/>
          </w:tcPr>
          <w:p w14:paraId="346116B7"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6248" w:type="dxa"/>
            <w:vMerge/>
            <w:vAlign w:val="center"/>
            <w:hideMark/>
          </w:tcPr>
          <w:p w14:paraId="0BB1402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451BCDAA" w14:textId="77777777" w:rsidTr="00273733">
        <w:trPr>
          <w:trHeight w:val="260"/>
        </w:trPr>
        <w:tc>
          <w:tcPr>
            <w:tcW w:w="2550" w:type="dxa"/>
            <w:tcBorders>
              <w:top w:val="nil"/>
              <w:left w:val="nil"/>
              <w:bottom w:val="nil"/>
              <w:right w:val="nil"/>
            </w:tcBorders>
            <w:shd w:val="clear" w:color="auto" w:fill="auto"/>
            <w:noWrap/>
            <w:vAlign w:val="center"/>
            <w:hideMark/>
          </w:tcPr>
          <w:p w14:paraId="573A916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Failed outpatient therapy </w:t>
            </w:r>
            <w:r w:rsidRPr="00172ED8">
              <w:rPr>
                <w:rFonts w:ascii="Times New Roman" w:eastAsia="Times New Roman" w:hAnsi="Times New Roman" w:cs="Times New Roman"/>
                <w:color w:val="000000"/>
                <w:sz w:val="16"/>
                <w:szCs w:val="16"/>
                <w:vertAlign w:val="superscript"/>
                <w:lang w:val="en-US"/>
              </w:rPr>
              <w:t>b</w:t>
            </w:r>
            <w:r w:rsidRPr="00172ED8">
              <w:rPr>
                <w:rFonts w:ascii="Times New Roman" w:eastAsia="Times New Roman" w:hAnsi="Times New Roman" w:cs="Times New Roman"/>
                <w:color w:val="000000"/>
                <w:sz w:val="16"/>
                <w:szCs w:val="16"/>
                <w:lang w:val="en-US"/>
              </w:rPr>
              <w:t>, n (%)</w:t>
            </w:r>
          </w:p>
        </w:tc>
        <w:tc>
          <w:tcPr>
            <w:tcW w:w="1110" w:type="dxa"/>
            <w:tcBorders>
              <w:top w:val="nil"/>
              <w:left w:val="nil"/>
              <w:bottom w:val="nil"/>
              <w:right w:val="nil"/>
            </w:tcBorders>
            <w:shd w:val="clear" w:color="auto" w:fill="auto"/>
            <w:noWrap/>
            <w:vAlign w:val="center"/>
            <w:hideMark/>
          </w:tcPr>
          <w:p w14:paraId="7CE815D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21 (21%)</w:t>
            </w:r>
          </w:p>
        </w:tc>
        <w:tc>
          <w:tcPr>
            <w:tcW w:w="990" w:type="dxa"/>
            <w:tcBorders>
              <w:top w:val="nil"/>
              <w:left w:val="nil"/>
              <w:bottom w:val="nil"/>
              <w:right w:val="nil"/>
            </w:tcBorders>
            <w:shd w:val="clear" w:color="auto" w:fill="auto"/>
            <w:noWrap/>
            <w:vAlign w:val="center"/>
            <w:hideMark/>
          </w:tcPr>
          <w:p w14:paraId="6E9AF6F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 (5%)</w:t>
            </w:r>
          </w:p>
        </w:tc>
        <w:tc>
          <w:tcPr>
            <w:tcW w:w="1050" w:type="dxa"/>
            <w:tcBorders>
              <w:top w:val="nil"/>
              <w:left w:val="nil"/>
              <w:bottom w:val="nil"/>
              <w:right w:val="nil"/>
            </w:tcBorders>
            <w:shd w:val="clear" w:color="auto" w:fill="auto"/>
            <w:noWrap/>
            <w:vAlign w:val="center"/>
            <w:hideMark/>
          </w:tcPr>
          <w:p w14:paraId="4A01CA3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 (5%)</w:t>
            </w:r>
          </w:p>
        </w:tc>
        <w:tc>
          <w:tcPr>
            <w:tcW w:w="1020" w:type="dxa"/>
            <w:tcBorders>
              <w:top w:val="nil"/>
              <w:left w:val="nil"/>
              <w:bottom w:val="nil"/>
              <w:right w:val="nil"/>
            </w:tcBorders>
            <w:shd w:val="clear" w:color="auto" w:fill="auto"/>
            <w:noWrap/>
            <w:vAlign w:val="center"/>
            <w:hideMark/>
          </w:tcPr>
          <w:p w14:paraId="41B82B8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16 (34%)</w:t>
            </w:r>
          </w:p>
        </w:tc>
        <w:tc>
          <w:tcPr>
            <w:tcW w:w="1184" w:type="dxa"/>
            <w:tcBorders>
              <w:top w:val="nil"/>
              <w:left w:val="nil"/>
              <w:bottom w:val="nil"/>
              <w:right w:val="nil"/>
            </w:tcBorders>
            <w:shd w:val="clear" w:color="auto" w:fill="auto"/>
            <w:noWrap/>
            <w:vAlign w:val="center"/>
            <w:hideMark/>
          </w:tcPr>
          <w:p w14:paraId="516B8C3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 (30%)</w:t>
            </w:r>
          </w:p>
        </w:tc>
        <w:tc>
          <w:tcPr>
            <w:tcW w:w="6248" w:type="dxa"/>
            <w:vMerge w:val="restart"/>
            <w:tcBorders>
              <w:top w:val="nil"/>
              <w:left w:val="nil"/>
              <w:bottom w:val="nil"/>
              <w:right w:val="nil"/>
            </w:tcBorders>
            <w:shd w:val="clear" w:color="auto" w:fill="auto"/>
            <w:vAlign w:val="center"/>
            <w:hideMark/>
          </w:tcPr>
          <w:p w14:paraId="25EE616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Patient admitted due to worsening non-purulent cellulitis despite 72 hours of doxycycline as outpatient. Patient then improved on vancomycin and transitioned to and discharged on prolonged course of trimethoprim-sulfamethoxazole.</w:t>
            </w:r>
          </w:p>
        </w:tc>
      </w:tr>
      <w:tr w:rsidR="00172ED8" w:rsidRPr="00172ED8" w14:paraId="7A675942" w14:textId="77777777" w:rsidTr="00273733">
        <w:trPr>
          <w:trHeight w:val="260"/>
        </w:trPr>
        <w:tc>
          <w:tcPr>
            <w:tcW w:w="2550" w:type="dxa"/>
            <w:tcBorders>
              <w:top w:val="nil"/>
              <w:left w:val="nil"/>
              <w:bottom w:val="nil"/>
              <w:right w:val="nil"/>
            </w:tcBorders>
            <w:shd w:val="clear" w:color="auto" w:fill="auto"/>
            <w:noWrap/>
            <w:vAlign w:val="center"/>
            <w:hideMark/>
          </w:tcPr>
          <w:p w14:paraId="56ADC86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&amp; Had antibiotic overuse, n (%)</w:t>
            </w:r>
          </w:p>
        </w:tc>
        <w:tc>
          <w:tcPr>
            <w:tcW w:w="1110" w:type="dxa"/>
            <w:tcBorders>
              <w:top w:val="nil"/>
              <w:left w:val="nil"/>
              <w:bottom w:val="nil"/>
              <w:right w:val="nil"/>
            </w:tcBorders>
            <w:shd w:val="clear" w:color="auto" w:fill="auto"/>
            <w:noWrap/>
            <w:vAlign w:val="center"/>
            <w:hideMark/>
          </w:tcPr>
          <w:p w14:paraId="63EDE27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14 (14%)</w:t>
            </w:r>
          </w:p>
        </w:tc>
        <w:tc>
          <w:tcPr>
            <w:tcW w:w="990" w:type="dxa"/>
            <w:tcBorders>
              <w:top w:val="nil"/>
              <w:left w:val="nil"/>
              <w:bottom w:val="nil"/>
              <w:right w:val="nil"/>
            </w:tcBorders>
            <w:shd w:val="clear" w:color="auto" w:fill="auto"/>
            <w:noWrap/>
            <w:vAlign w:val="center"/>
            <w:hideMark/>
          </w:tcPr>
          <w:p w14:paraId="3816FC2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 (5%)</w:t>
            </w:r>
          </w:p>
        </w:tc>
        <w:tc>
          <w:tcPr>
            <w:tcW w:w="1050" w:type="dxa"/>
            <w:tcBorders>
              <w:top w:val="nil"/>
              <w:left w:val="nil"/>
              <w:bottom w:val="nil"/>
              <w:right w:val="nil"/>
            </w:tcBorders>
            <w:shd w:val="clear" w:color="auto" w:fill="auto"/>
            <w:noWrap/>
            <w:vAlign w:val="center"/>
            <w:hideMark/>
          </w:tcPr>
          <w:p w14:paraId="64D3373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 (5%)</w:t>
            </w:r>
          </w:p>
        </w:tc>
        <w:tc>
          <w:tcPr>
            <w:tcW w:w="1020" w:type="dxa"/>
            <w:tcBorders>
              <w:top w:val="nil"/>
              <w:left w:val="nil"/>
              <w:bottom w:val="nil"/>
              <w:right w:val="nil"/>
            </w:tcBorders>
            <w:shd w:val="clear" w:color="auto" w:fill="auto"/>
            <w:noWrap/>
            <w:vAlign w:val="center"/>
            <w:hideMark/>
          </w:tcPr>
          <w:p w14:paraId="15FAC9F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10 (21%)</w:t>
            </w:r>
          </w:p>
        </w:tc>
        <w:tc>
          <w:tcPr>
            <w:tcW w:w="1184" w:type="dxa"/>
            <w:tcBorders>
              <w:top w:val="nil"/>
              <w:left w:val="nil"/>
              <w:bottom w:val="nil"/>
              <w:right w:val="nil"/>
            </w:tcBorders>
            <w:shd w:val="clear" w:color="auto" w:fill="auto"/>
            <w:noWrap/>
            <w:vAlign w:val="center"/>
            <w:hideMark/>
          </w:tcPr>
          <w:p w14:paraId="512217E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2 (20%)</w:t>
            </w:r>
          </w:p>
        </w:tc>
        <w:tc>
          <w:tcPr>
            <w:tcW w:w="6248" w:type="dxa"/>
            <w:vMerge/>
            <w:vAlign w:val="center"/>
            <w:hideMark/>
          </w:tcPr>
          <w:p w14:paraId="23FB4A8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6B381568" w14:textId="77777777" w:rsidTr="00273733">
        <w:trPr>
          <w:trHeight w:val="260"/>
        </w:trPr>
        <w:tc>
          <w:tcPr>
            <w:tcW w:w="2550" w:type="dxa"/>
            <w:tcBorders>
              <w:top w:val="nil"/>
              <w:left w:val="nil"/>
              <w:bottom w:val="nil"/>
              <w:right w:val="nil"/>
            </w:tcBorders>
            <w:shd w:val="clear" w:color="auto" w:fill="auto"/>
            <w:noWrap/>
            <w:vAlign w:val="center"/>
            <w:hideMark/>
          </w:tcPr>
          <w:p w14:paraId="69D843F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1110" w:type="dxa"/>
            <w:tcBorders>
              <w:top w:val="nil"/>
              <w:left w:val="nil"/>
              <w:bottom w:val="nil"/>
              <w:right w:val="nil"/>
            </w:tcBorders>
            <w:shd w:val="clear" w:color="auto" w:fill="auto"/>
            <w:noWrap/>
            <w:vAlign w:val="center"/>
            <w:hideMark/>
          </w:tcPr>
          <w:p w14:paraId="28B458D6"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990" w:type="dxa"/>
            <w:tcBorders>
              <w:top w:val="nil"/>
              <w:left w:val="nil"/>
              <w:bottom w:val="nil"/>
              <w:right w:val="nil"/>
            </w:tcBorders>
            <w:shd w:val="clear" w:color="auto" w:fill="auto"/>
            <w:noWrap/>
            <w:vAlign w:val="center"/>
            <w:hideMark/>
          </w:tcPr>
          <w:p w14:paraId="29C0D81E"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50" w:type="dxa"/>
            <w:tcBorders>
              <w:top w:val="nil"/>
              <w:left w:val="nil"/>
              <w:bottom w:val="nil"/>
              <w:right w:val="nil"/>
            </w:tcBorders>
            <w:shd w:val="clear" w:color="auto" w:fill="auto"/>
            <w:noWrap/>
            <w:vAlign w:val="center"/>
            <w:hideMark/>
          </w:tcPr>
          <w:p w14:paraId="662FD096"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20" w:type="dxa"/>
            <w:tcBorders>
              <w:top w:val="nil"/>
              <w:left w:val="nil"/>
              <w:bottom w:val="nil"/>
              <w:right w:val="nil"/>
            </w:tcBorders>
            <w:shd w:val="clear" w:color="auto" w:fill="auto"/>
            <w:noWrap/>
            <w:vAlign w:val="center"/>
            <w:hideMark/>
          </w:tcPr>
          <w:p w14:paraId="5361F497"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184" w:type="dxa"/>
            <w:tcBorders>
              <w:top w:val="nil"/>
              <w:left w:val="nil"/>
              <w:bottom w:val="nil"/>
              <w:right w:val="nil"/>
            </w:tcBorders>
            <w:shd w:val="clear" w:color="auto" w:fill="auto"/>
            <w:noWrap/>
            <w:vAlign w:val="center"/>
            <w:hideMark/>
          </w:tcPr>
          <w:p w14:paraId="6FF1267C"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6248" w:type="dxa"/>
            <w:vMerge/>
            <w:vAlign w:val="center"/>
            <w:hideMark/>
          </w:tcPr>
          <w:p w14:paraId="115E56E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3F5CFB20" w14:textId="77777777" w:rsidTr="00273733">
        <w:trPr>
          <w:trHeight w:val="260"/>
        </w:trPr>
        <w:tc>
          <w:tcPr>
            <w:tcW w:w="2550" w:type="dxa"/>
            <w:tcBorders>
              <w:top w:val="nil"/>
              <w:left w:val="nil"/>
              <w:bottom w:val="nil"/>
              <w:right w:val="nil"/>
            </w:tcBorders>
            <w:shd w:val="clear" w:color="auto" w:fill="auto"/>
            <w:noWrap/>
            <w:vAlign w:val="center"/>
            <w:hideMark/>
          </w:tcPr>
          <w:p w14:paraId="619A39E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Miscalculation of duration </w:t>
            </w:r>
            <w:r w:rsidRPr="00172ED8">
              <w:rPr>
                <w:rFonts w:ascii="Times New Roman" w:eastAsia="Times New Roman" w:hAnsi="Times New Roman" w:cs="Times New Roman"/>
                <w:color w:val="000000"/>
                <w:sz w:val="16"/>
                <w:szCs w:val="16"/>
                <w:vertAlign w:val="superscript"/>
                <w:lang w:val="en-US"/>
              </w:rPr>
              <w:t>c</w:t>
            </w:r>
            <w:r w:rsidRPr="00172ED8">
              <w:rPr>
                <w:rFonts w:ascii="Times New Roman" w:eastAsia="Times New Roman" w:hAnsi="Times New Roman" w:cs="Times New Roman"/>
                <w:color w:val="000000"/>
                <w:sz w:val="16"/>
                <w:szCs w:val="16"/>
                <w:lang w:val="en-US"/>
              </w:rPr>
              <w:t>, n (%)</w:t>
            </w:r>
          </w:p>
        </w:tc>
        <w:tc>
          <w:tcPr>
            <w:tcW w:w="1110" w:type="dxa"/>
            <w:tcBorders>
              <w:top w:val="nil"/>
              <w:left w:val="nil"/>
              <w:bottom w:val="nil"/>
              <w:right w:val="nil"/>
            </w:tcBorders>
            <w:shd w:val="clear" w:color="auto" w:fill="auto"/>
            <w:noWrap/>
            <w:vAlign w:val="center"/>
            <w:hideMark/>
          </w:tcPr>
          <w:p w14:paraId="74AC4E5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20 (20%)</w:t>
            </w:r>
          </w:p>
        </w:tc>
        <w:tc>
          <w:tcPr>
            <w:tcW w:w="990" w:type="dxa"/>
            <w:tcBorders>
              <w:top w:val="nil"/>
              <w:left w:val="nil"/>
              <w:bottom w:val="nil"/>
              <w:right w:val="nil"/>
            </w:tcBorders>
            <w:shd w:val="clear" w:color="auto" w:fill="auto"/>
            <w:noWrap/>
            <w:vAlign w:val="center"/>
            <w:hideMark/>
          </w:tcPr>
          <w:p w14:paraId="1145A63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 (14%)</w:t>
            </w:r>
          </w:p>
        </w:tc>
        <w:tc>
          <w:tcPr>
            <w:tcW w:w="1050" w:type="dxa"/>
            <w:tcBorders>
              <w:top w:val="nil"/>
              <w:left w:val="nil"/>
              <w:bottom w:val="nil"/>
              <w:right w:val="nil"/>
            </w:tcBorders>
            <w:shd w:val="clear" w:color="auto" w:fill="auto"/>
            <w:noWrap/>
            <w:vAlign w:val="center"/>
            <w:hideMark/>
          </w:tcPr>
          <w:p w14:paraId="38063A5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7 (33%)</w:t>
            </w:r>
          </w:p>
        </w:tc>
        <w:tc>
          <w:tcPr>
            <w:tcW w:w="1020" w:type="dxa"/>
            <w:tcBorders>
              <w:top w:val="nil"/>
              <w:left w:val="nil"/>
              <w:bottom w:val="nil"/>
              <w:right w:val="nil"/>
            </w:tcBorders>
            <w:shd w:val="clear" w:color="auto" w:fill="auto"/>
            <w:noWrap/>
            <w:vAlign w:val="center"/>
            <w:hideMark/>
          </w:tcPr>
          <w:p w14:paraId="61F9C5F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(17%)</w:t>
            </w:r>
          </w:p>
        </w:tc>
        <w:tc>
          <w:tcPr>
            <w:tcW w:w="1184" w:type="dxa"/>
            <w:tcBorders>
              <w:top w:val="nil"/>
              <w:left w:val="nil"/>
              <w:bottom w:val="nil"/>
              <w:right w:val="nil"/>
            </w:tcBorders>
            <w:shd w:val="clear" w:color="auto" w:fill="auto"/>
            <w:noWrap/>
            <w:vAlign w:val="center"/>
            <w:hideMark/>
          </w:tcPr>
          <w:p w14:paraId="462CA02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 (20%)</w:t>
            </w:r>
          </w:p>
        </w:tc>
        <w:tc>
          <w:tcPr>
            <w:tcW w:w="6248" w:type="dxa"/>
            <w:vMerge w:val="restart"/>
            <w:tcBorders>
              <w:top w:val="nil"/>
              <w:left w:val="nil"/>
              <w:bottom w:val="nil"/>
              <w:right w:val="nil"/>
            </w:tcBorders>
            <w:shd w:val="clear" w:color="auto" w:fill="auto"/>
            <w:vAlign w:val="center"/>
            <w:hideMark/>
          </w:tcPr>
          <w:p w14:paraId="3909931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Discharge summary intended planned 14 days of therapy for pyelonephritis, but patient received 11 outpatient days plus 4.5 days of inpatient therapy for excess total duration. </w:t>
            </w:r>
          </w:p>
        </w:tc>
      </w:tr>
      <w:tr w:rsidR="00172ED8" w:rsidRPr="00172ED8" w14:paraId="7DAFA7B0" w14:textId="77777777" w:rsidTr="00273733">
        <w:trPr>
          <w:trHeight w:val="260"/>
        </w:trPr>
        <w:tc>
          <w:tcPr>
            <w:tcW w:w="2550" w:type="dxa"/>
            <w:tcBorders>
              <w:top w:val="nil"/>
              <w:left w:val="nil"/>
              <w:bottom w:val="nil"/>
              <w:right w:val="nil"/>
            </w:tcBorders>
            <w:shd w:val="clear" w:color="auto" w:fill="auto"/>
            <w:noWrap/>
            <w:vAlign w:val="center"/>
            <w:hideMark/>
          </w:tcPr>
          <w:p w14:paraId="6D1ADAA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&amp; Had antibiotic overuse, n (%)</w:t>
            </w:r>
          </w:p>
        </w:tc>
        <w:tc>
          <w:tcPr>
            <w:tcW w:w="1110" w:type="dxa"/>
            <w:tcBorders>
              <w:top w:val="nil"/>
              <w:left w:val="nil"/>
              <w:bottom w:val="nil"/>
              <w:right w:val="nil"/>
            </w:tcBorders>
            <w:shd w:val="clear" w:color="auto" w:fill="auto"/>
            <w:noWrap/>
            <w:vAlign w:val="center"/>
            <w:hideMark/>
          </w:tcPr>
          <w:p w14:paraId="3A44402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18 (18%)</w:t>
            </w:r>
          </w:p>
        </w:tc>
        <w:tc>
          <w:tcPr>
            <w:tcW w:w="990" w:type="dxa"/>
            <w:tcBorders>
              <w:top w:val="nil"/>
              <w:left w:val="nil"/>
              <w:bottom w:val="nil"/>
              <w:right w:val="nil"/>
            </w:tcBorders>
            <w:shd w:val="clear" w:color="auto" w:fill="auto"/>
            <w:noWrap/>
            <w:vAlign w:val="center"/>
            <w:hideMark/>
          </w:tcPr>
          <w:p w14:paraId="675E8E4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2 (9%)</w:t>
            </w:r>
          </w:p>
        </w:tc>
        <w:tc>
          <w:tcPr>
            <w:tcW w:w="1050" w:type="dxa"/>
            <w:tcBorders>
              <w:top w:val="nil"/>
              <w:left w:val="nil"/>
              <w:bottom w:val="nil"/>
              <w:right w:val="nil"/>
            </w:tcBorders>
            <w:shd w:val="clear" w:color="auto" w:fill="auto"/>
            <w:noWrap/>
            <w:vAlign w:val="center"/>
            <w:hideMark/>
          </w:tcPr>
          <w:p w14:paraId="31863AA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7 (33%)</w:t>
            </w:r>
          </w:p>
        </w:tc>
        <w:tc>
          <w:tcPr>
            <w:tcW w:w="1020" w:type="dxa"/>
            <w:tcBorders>
              <w:top w:val="nil"/>
              <w:left w:val="nil"/>
              <w:bottom w:val="nil"/>
              <w:right w:val="nil"/>
            </w:tcBorders>
            <w:shd w:val="clear" w:color="auto" w:fill="auto"/>
            <w:noWrap/>
            <w:vAlign w:val="center"/>
            <w:hideMark/>
          </w:tcPr>
          <w:p w14:paraId="0583E25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7 (15%)</w:t>
            </w:r>
          </w:p>
        </w:tc>
        <w:tc>
          <w:tcPr>
            <w:tcW w:w="1184" w:type="dxa"/>
            <w:tcBorders>
              <w:top w:val="nil"/>
              <w:left w:val="nil"/>
              <w:bottom w:val="nil"/>
              <w:right w:val="nil"/>
            </w:tcBorders>
            <w:shd w:val="clear" w:color="auto" w:fill="auto"/>
            <w:noWrap/>
            <w:vAlign w:val="center"/>
            <w:hideMark/>
          </w:tcPr>
          <w:p w14:paraId="2F900C9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2 (20%)</w:t>
            </w:r>
            <w:r w:rsidRPr="00172ED8">
              <w:rPr>
                <w:rFonts w:ascii="Times New Roman" w:eastAsia="Times New Roman" w:hAnsi="Times New Roman" w:cs="Times New Roman"/>
                <w:color w:val="FFFFFF"/>
                <w:sz w:val="16"/>
                <w:szCs w:val="16"/>
                <w:lang w:val="en-US"/>
              </w:rPr>
              <w:t>X%)</w:t>
            </w:r>
          </w:p>
        </w:tc>
        <w:tc>
          <w:tcPr>
            <w:tcW w:w="6248" w:type="dxa"/>
            <w:vMerge/>
            <w:vAlign w:val="center"/>
            <w:hideMark/>
          </w:tcPr>
          <w:p w14:paraId="44409C0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388755D9" w14:textId="77777777" w:rsidTr="00273733">
        <w:trPr>
          <w:trHeight w:val="260"/>
        </w:trPr>
        <w:tc>
          <w:tcPr>
            <w:tcW w:w="2550" w:type="dxa"/>
            <w:tcBorders>
              <w:top w:val="nil"/>
              <w:left w:val="nil"/>
              <w:bottom w:val="nil"/>
              <w:right w:val="nil"/>
            </w:tcBorders>
            <w:shd w:val="clear" w:color="auto" w:fill="auto"/>
            <w:noWrap/>
            <w:vAlign w:val="center"/>
            <w:hideMark/>
          </w:tcPr>
          <w:p w14:paraId="56C10CA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1110" w:type="dxa"/>
            <w:tcBorders>
              <w:top w:val="nil"/>
              <w:left w:val="nil"/>
              <w:bottom w:val="nil"/>
              <w:right w:val="nil"/>
            </w:tcBorders>
            <w:shd w:val="clear" w:color="auto" w:fill="auto"/>
            <w:noWrap/>
            <w:vAlign w:val="center"/>
            <w:hideMark/>
          </w:tcPr>
          <w:p w14:paraId="470EB33D"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990" w:type="dxa"/>
            <w:tcBorders>
              <w:top w:val="nil"/>
              <w:left w:val="nil"/>
              <w:bottom w:val="nil"/>
              <w:right w:val="nil"/>
            </w:tcBorders>
            <w:shd w:val="clear" w:color="auto" w:fill="auto"/>
            <w:noWrap/>
            <w:vAlign w:val="center"/>
            <w:hideMark/>
          </w:tcPr>
          <w:p w14:paraId="19FF05D3"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50" w:type="dxa"/>
            <w:tcBorders>
              <w:top w:val="nil"/>
              <w:left w:val="nil"/>
              <w:bottom w:val="nil"/>
              <w:right w:val="nil"/>
            </w:tcBorders>
            <w:shd w:val="clear" w:color="auto" w:fill="auto"/>
            <w:noWrap/>
            <w:vAlign w:val="center"/>
            <w:hideMark/>
          </w:tcPr>
          <w:p w14:paraId="678F413F"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020" w:type="dxa"/>
            <w:tcBorders>
              <w:top w:val="nil"/>
              <w:left w:val="nil"/>
              <w:bottom w:val="nil"/>
              <w:right w:val="nil"/>
            </w:tcBorders>
            <w:shd w:val="clear" w:color="auto" w:fill="auto"/>
            <w:noWrap/>
            <w:vAlign w:val="center"/>
            <w:hideMark/>
          </w:tcPr>
          <w:p w14:paraId="7DC706AB"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1184" w:type="dxa"/>
            <w:tcBorders>
              <w:top w:val="nil"/>
              <w:left w:val="nil"/>
              <w:bottom w:val="nil"/>
              <w:right w:val="nil"/>
            </w:tcBorders>
            <w:shd w:val="clear" w:color="auto" w:fill="auto"/>
            <w:noWrap/>
            <w:vAlign w:val="center"/>
            <w:hideMark/>
          </w:tcPr>
          <w:p w14:paraId="5757C6D4"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6248" w:type="dxa"/>
            <w:vMerge/>
            <w:vAlign w:val="center"/>
            <w:hideMark/>
          </w:tcPr>
          <w:p w14:paraId="5D73A4D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3935931C" w14:textId="77777777" w:rsidTr="00273733">
        <w:trPr>
          <w:trHeight w:val="260"/>
        </w:trPr>
        <w:tc>
          <w:tcPr>
            <w:tcW w:w="2550" w:type="dxa"/>
            <w:tcBorders>
              <w:top w:val="nil"/>
              <w:left w:val="nil"/>
              <w:bottom w:val="nil"/>
              <w:right w:val="nil"/>
            </w:tcBorders>
            <w:shd w:val="clear" w:color="auto" w:fill="auto"/>
            <w:noWrap/>
            <w:vAlign w:val="center"/>
            <w:hideMark/>
          </w:tcPr>
          <w:p w14:paraId="3AF530D6" w14:textId="44CEA77B" w:rsidR="00172ED8" w:rsidRPr="00172ED8" w:rsidRDefault="00273733" w:rsidP="00172ED8">
            <w:pPr>
              <w:spacing w:line="240" w:lineRule="auto"/>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Positive c</w:t>
            </w:r>
            <w:r w:rsidR="00172ED8" w:rsidRPr="00172ED8">
              <w:rPr>
                <w:rFonts w:ascii="Times New Roman" w:eastAsia="Times New Roman" w:hAnsi="Times New Roman" w:cs="Times New Roman"/>
                <w:color w:val="000000"/>
                <w:sz w:val="16"/>
                <w:szCs w:val="16"/>
                <w:lang w:val="en-US"/>
              </w:rPr>
              <w:t>ulture data present, n (%)</w:t>
            </w:r>
          </w:p>
        </w:tc>
        <w:tc>
          <w:tcPr>
            <w:tcW w:w="1110" w:type="dxa"/>
            <w:tcBorders>
              <w:top w:val="nil"/>
              <w:left w:val="nil"/>
              <w:bottom w:val="nil"/>
              <w:right w:val="nil"/>
            </w:tcBorders>
            <w:shd w:val="clear" w:color="auto" w:fill="auto"/>
            <w:noWrap/>
            <w:vAlign w:val="center"/>
            <w:hideMark/>
          </w:tcPr>
          <w:p w14:paraId="6B5F54C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45 (45%)</w:t>
            </w:r>
          </w:p>
        </w:tc>
        <w:tc>
          <w:tcPr>
            <w:tcW w:w="990" w:type="dxa"/>
            <w:tcBorders>
              <w:top w:val="nil"/>
              <w:left w:val="nil"/>
              <w:bottom w:val="nil"/>
              <w:right w:val="nil"/>
            </w:tcBorders>
            <w:shd w:val="clear" w:color="auto" w:fill="auto"/>
            <w:noWrap/>
            <w:vAlign w:val="center"/>
            <w:hideMark/>
          </w:tcPr>
          <w:p w14:paraId="4343A09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7 (32%)</w:t>
            </w:r>
          </w:p>
        </w:tc>
        <w:tc>
          <w:tcPr>
            <w:tcW w:w="1050" w:type="dxa"/>
            <w:tcBorders>
              <w:top w:val="nil"/>
              <w:left w:val="nil"/>
              <w:bottom w:val="nil"/>
              <w:right w:val="nil"/>
            </w:tcBorders>
            <w:shd w:val="clear" w:color="auto" w:fill="auto"/>
            <w:noWrap/>
            <w:vAlign w:val="center"/>
            <w:hideMark/>
          </w:tcPr>
          <w:p w14:paraId="1473D1E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21 (100%)</w:t>
            </w:r>
          </w:p>
        </w:tc>
        <w:tc>
          <w:tcPr>
            <w:tcW w:w="1020" w:type="dxa"/>
            <w:tcBorders>
              <w:top w:val="nil"/>
              <w:left w:val="nil"/>
              <w:bottom w:val="nil"/>
              <w:right w:val="nil"/>
            </w:tcBorders>
            <w:shd w:val="clear" w:color="auto" w:fill="auto"/>
            <w:noWrap/>
            <w:vAlign w:val="center"/>
            <w:hideMark/>
          </w:tcPr>
          <w:p w14:paraId="3A47CAE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16 (34%)</w:t>
            </w:r>
          </w:p>
        </w:tc>
        <w:tc>
          <w:tcPr>
            <w:tcW w:w="1184" w:type="dxa"/>
            <w:tcBorders>
              <w:top w:val="nil"/>
              <w:left w:val="nil"/>
              <w:bottom w:val="nil"/>
              <w:right w:val="nil"/>
            </w:tcBorders>
            <w:shd w:val="clear" w:color="auto" w:fill="auto"/>
            <w:noWrap/>
            <w:vAlign w:val="center"/>
            <w:hideMark/>
          </w:tcPr>
          <w:p w14:paraId="6F40E1A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 (10%)</w:t>
            </w:r>
          </w:p>
        </w:tc>
        <w:tc>
          <w:tcPr>
            <w:tcW w:w="6248" w:type="dxa"/>
            <w:vMerge w:val="restart"/>
            <w:tcBorders>
              <w:top w:val="nil"/>
              <w:left w:val="nil"/>
              <w:bottom w:val="single" w:sz="4" w:space="0" w:color="auto"/>
              <w:right w:val="nil"/>
            </w:tcBorders>
            <w:shd w:val="clear" w:color="auto" w:fill="auto"/>
            <w:vAlign w:val="center"/>
            <w:hideMark/>
          </w:tcPr>
          <w:p w14:paraId="271DB1A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Patient discharged on cephalexin for UTI. This choice was not changed despite </w:t>
            </w:r>
            <w:r w:rsidRPr="00172ED8">
              <w:rPr>
                <w:rFonts w:ascii="Times New Roman" w:eastAsia="Times New Roman" w:hAnsi="Times New Roman" w:cs="Times New Roman"/>
                <w:i/>
                <w:iCs/>
                <w:color w:val="000000"/>
                <w:sz w:val="16"/>
                <w:szCs w:val="16"/>
                <w:lang w:val="en-US"/>
              </w:rPr>
              <w:t xml:space="preserve">Enterococcus </w:t>
            </w:r>
            <w:r w:rsidRPr="00172ED8">
              <w:rPr>
                <w:rFonts w:ascii="Times New Roman" w:eastAsia="Times New Roman" w:hAnsi="Times New Roman" w:cs="Times New Roman"/>
                <w:color w:val="000000"/>
                <w:sz w:val="16"/>
                <w:szCs w:val="16"/>
                <w:lang w:val="en-US"/>
              </w:rPr>
              <w:t xml:space="preserve">growing in urine culture. </w:t>
            </w:r>
          </w:p>
        </w:tc>
      </w:tr>
      <w:tr w:rsidR="00172ED8" w:rsidRPr="00172ED8" w14:paraId="3FB21CD2" w14:textId="77777777" w:rsidTr="00273733">
        <w:trPr>
          <w:trHeight w:val="260"/>
        </w:trPr>
        <w:tc>
          <w:tcPr>
            <w:tcW w:w="2550" w:type="dxa"/>
            <w:vMerge w:val="restart"/>
            <w:tcBorders>
              <w:top w:val="nil"/>
              <w:left w:val="nil"/>
              <w:bottom w:val="single" w:sz="8" w:space="0" w:color="000000" w:themeColor="text1"/>
              <w:right w:val="nil"/>
            </w:tcBorders>
            <w:shd w:val="clear" w:color="auto" w:fill="auto"/>
            <w:vAlign w:val="center"/>
            <w:hideMark/>
          </w:tcPr>
          <w:p w14:paraId="57597688" w14:textId="75737EE4"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&amp; Had antibiotic overuse (due to failure to adjust based on culture data </w:t>
            </w:r>
            <w:r w:rsidRPr="00172ED8">
              <w:rPr>
                <w:rFonts w:ascii="Times New Roman" w:eastAsia="Times New Roman" w:hAnsi="Times New Roman" w:cs="Times New Roman"/>
                <w:color w:val="000000"/>
                <w:sz w:val="16"/>
                <w:szCs w:val="16"/>
                <w:vertAlign w:val="superscript"/>
                <w:lang w:val="en-US"/>
              </w:rPr>
              <w:t>d</w:t>
            </w:r>
            <w:r w:rsidRPr="00172ED8">
              <w:rPr>
                <w:rFonts w:ascii="Times New Roman" w:eastAsia="Times New Roman" w:hAnsi="Times New Roman" w:cs="Times New Roman"/>
                <w:color w:val="000000"/>
                <w:sz w:val="16"/>
                <w:szCs w:val="16"/>
                <w:lang w:val="en-US"/>
              </w:rPr>
              <w:t>, n (%)</w:t>
            </w:r>
          </w:p>
        </w:tc>
        <w:tc>
          <w:tcPr>
            <w:tcW w:w="1110" w:type="dxa"/>
            <w:tcBorders>
              <w:top w:val="nil"/>
              <w:left w:val="nil"/>
              <w:bottom w:val="nil"/>
              <w:right w:val="nil"/>
            </w:tcBorders>
            <w:shd w:val="clear" w:color="auto" w:fill="auto"/>
            <w:noWrap/>
            <w:vAlign w:val="center"/>
            <w:hideMark/>
          </w:tcPr>
          <w:p w14:paraId="1E2525B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7 (7%)</w:t>
            </w:r>
          </w:p>
        </w:tc>
        <w:tc>
          <w:tcPr>
            <w:tcW w:w="990" w:type="dxa"/>
            <w:tcBorders>
              <w:top w:val="nil"/>
              <w:left w:val="nil"/>
              <w:bottom w:val="nil"/>
              <w:right w:val="nil"/>
            </w:tcBorders>
            <w:shd w:val="clear" w:color="auto" w:fill="auto"/>
            <w:noWrap/>
            <w:vAlign w:val="center"/>
            <w:hideMark/>
          </w:tcPr>
          <w:p w14:paraId="1223821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 (5%)</w:t>
            </w:r>
          </w:p>
        </w:tc>
        <w:tc>
          <w:tcPr>
            <w:tcW w:w="1050" w:type="dxa"/>
            <w:tcBorders>
              <w:top w:val="nil"/>
              <w:left w:val="nil"/>
              <w:bottom w:val="nil"/>
              <w:right w:val="nil"/>
            </w:tcBorders>
            <w:shd w:val="clear" w:color="auto" w:fill="auto"/>
            <w:noWrap/>
            <w:vAlign w:val="center"/>
            <w:hideMark/>
          </w:tcPr>
          <w:p w14:paraId="77428C3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3 (14%)</w:t>
            </w:r>
          </w:p>
        </w:tc>
        <w:tc>
          <w:tcPr>
            <w:tcW w:w="1020" w:type="dxa"/>
            <w:tcBorders>
              <w:top w:val="nil"/>
              <w:left w:val="nil"/>
              <w:bottom w:val="nil"/>
              <w:right w:val="nil"/>
            </w:tcBorders>
            <w:shd w:val="clear" w:color="auto" w:fill="auto"/>
            <w:noWrap/>
            <w:vAlign w:val="center"/>
            <w:hideMark/>
          </w:tcPr>
          <w:p w14:paraId="4F08F37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2 (4%)</w:t>
            </w:r>
          </w:p>
        </w:tc>
        <w:tc>
          <w:tcPr>
            <w:tcW w:w="1184" w:type="dxa"/>
            <w:tcBorders>
              <w:top w:val="nil"/>
              <w:left w:val="nil"/>
              <w:bottom w:val="nil"/>
              <w:right w:val="nil"/>
            </w:tcBorders>
            <w:shd w:val="clear" w:color="auto" w:fill="auto"/>
            <w:noWrap/>
            <w:vAlign w:val="center"/>
            <w:hideMark/>
          </w:tcPr>
          <w:p w14:paraId="2571EB8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    1 (10%)</w:t>
            </w:r>
          </w:p>
        </w:tc>
        <w:tc>
          <w:tcPr>
            <w:tcW w:w="6248" w:type="dxa"/>
            <w:vMerge/>
            <w:tcBorders>
              <w:bottom w:val="single" w:sz="4" w:space="0" w:color="auto"/>
            </w:tcBorders>
            <w:vAlign w:val="center"/>
            <w:hideMark/>
          </w:tcPr>
          <w:p w14:paraId="1E65BA8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1C93FD14" w14:textId="77777777" w:rsidTr="00273733">
        <w:trPr>
          <w:trHeight w:val="493"/>
        </w:trPr>
        <w:tc>
          <w:tcPr>
            <w:tcW w:w="2550" w:type="dxa"/>
            <w:vMerge/>
            <w:vAlign w:val="center"/>
            <w:hideMark/>
          </w:tcPr>
          <w:p w14:paraId="2F08723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1110" w:type="dxa"/>
            <w:tcBorders>
              <w:top w:val="nil"/>
              <w:left w:val="nil"/>
              <w:bottom w:val="single" w:sz="8" w:space="0" w:color="auto"/>
              <w:right w:val="nil"/>
            </w:tcBorders>
            <w:shd w:val="clear" w:color="auto" w:fill="auto"/>
            <w:noWrap/>
            <w:vAlign w:val="center"/>
            <w:hideMark/>
          </w:tcPr>
          <w:p w14:paraId="72127E3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w:t>
            </w:r>
          </w:p>
        </w:tc>
        <w:tc>
          <w:tcPr>
            <w:tcW w:w="990" w:type="dxa"/>
            <w:tcBorders>
              <w:top w:val="nil"/>
              <w:left w:val="nil"/>
              <w:bottom w:val="single" w:sz="8" w:space="0" w:color="auto"/>
              <w:right w:val="nil"/>
            </w:tcBorders>
            <w:shd w:val="clear" w:color="auto" w:fill="auto"/>
            <w:noWrap/>
            <w:vAlign w:val="center"/>
            <w:hideMark/>
          </w:tcPr>
          <w:p w14:paraId="4A812D2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w:t>
            </w:r>
          </w:p>
        </w:tc>
        <w:tc>
          <w:tcPr>
            <w:tcW w:w="1050" w:type="dxa"/>
            <w:tcBorders>
              <w:top w:val="nil"/>
              <w:left w:val="nil"/>
              <w:bottom w:val="single" w:sz="8" w:space="0" w:color="auto"/>
              <w:right w:val="nil"/>
            </w:tcBorders>
            <w:shd w:val="clear" w:color="auto" w:fill="auto"/>
            <w:noWrap/>
            <w:vAlign w:val="center"/>
            <w:hideMark/>
          </w:tcPr>
          <w:p w14:paraId="58AEAA2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w:t>
            </w:r>
          </w:p>
        </w:tc>
        <w:tc>
          <w:tcPr>
            <w:tcW w:w="1020" w:type="dxa"/>
            <w:tcBorders>
              <w:top w:val="nil"/>
              <w:left w:val="nil"/>
              <w:bottom w:val="single" w:sz="8" w:space="0" w:color="auto"/>
              <w:right w:val="nil"/>
            </w:tcBorders>
            <w:shd w:val="clear" w:color="auto" w:fill="auto"/>
            <w:noWrap/>
            <w:vAlign w:val="center"/>
            <w:hideMark/>
          </w:tcPr>
          <w:p w14:paraId="3FC28AB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w:t>
            </w:r>
          </w:p>
        </w:tc>
        <w:tc>
          <w:tcPr>
            <w:tcW w:w="1184" w:type="dxa"/>
            <w:tcBorders>
              <w:top w:val="nil"/>
              <w:left w:val="nil"/>
              <w:bottom w:val="single" w:sz="8" w:space="0" w:color="auto"/>
              <w:right w:val="nil"/>
            </w:tcBorders>
            <w:shd w:val="clear" w:color="auto" w:fill="auto"/>
            <w:noWrap/>
            <w:vAlign w:val="center"/>
            <w:hideMark/>
          </w:tcPr>
          <w:p w14:paraId="25503B3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w:t>
            </w:r>
          </w:p>
        </w:tc>
        <w:tc>
          <w:tcPr>
            <w:tcW w:w="6248" w:type="dxa"/>
            <w:vMerge/>
            <w:tcBorders>
              <w:bottom w:val="single" w:sz="4" w:space="0" w:color="auto"/>
            </w:tcBorders>
            <w:vAlign w:val="center"/>
            <w:hideMark/>
          </w:tcPr>
          <w:p w14:paraId="11FC715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r>
      <w:tr w:rsidR="00172ED8" w:rsidRPr="00172ED8" w14:paraId="3DF80382" w14:textId="77777777" w:rsidTr="00273733">
        <w:trPr>
          <w:trHeight w:val="260"/>
        </w:trPr>
        <w:tc>
          <w:tcPr>
            <w:tcW w:w="14152" w:type="dxa"/>
            <w:gridSpan w:val="7"/>
            <w:tcBorders>
              <w:top w:val="nil"/>
              <w:left w:val="nil"/>
              <w:bottom w:val="nil"/>
              <w:right w:val="nil"/>
            </w:tcBorders>
            <w:shd w:val="clear" w:color="auto" w:fill="auto"/>
            <w:vAlign w:val="center"/>
            <w:hideMark/>
          </w:tcPr>
          <w:p w14:paraId="7460BB2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See appendix for definition of disease states. Percentages listed for disease states included all patients with that disease state. Abbreviations: UTI = urinary tract infection; SSTI = skin and soft tissue infection; ID = Infectious Disease.</w:t>
            </w:r>
          </w:p>
        </w:tc>
      </w:tr>
      <w:tr w:rsidR="00172ED8" w:rsidRPr="00172ED8" w14:paraId="4140DB24" w14:textId="77777777" w:rsidTr="00273733">
        <w:trPr>
          <w:trHeight w:val="260"/>
        </w:trPr>
        <w:tc>
          <w:tcPr>
            <w:tcW w:w="14152" w:type="dxa"/>
            <w:gridSpan w:val="7"/>
            <w:tcBorders>
              <w:top w:val="nil"/>
              <w:left w:val="nil"/>
              <w:bottom w:val="nil"/>
              <w:right w:val="nil"/>
            </w:tcBorders>
            <w:shd w:val="clear" w:color="auto" w:fill="auto"/>
            <w:vAlign w:val="center"/>
            <w:hideMark/>
          </w:tcPr>
          <w:p w14:paraId="6EAB6B50" w14:textId="075EB635" w:rsidR="00172ED8" w:rsidRPr="00172ED8" w:rsidRDefault="55C8311A" w:rsidP="00172ED8">
            <w:pPr>
              <w:spacing w:line="240" w:lineRule="auto"/>
              <w:rPr>
                <w:rFonts w:ascii="Times New Roman" w:eastAsia="Times New Roman" w:hAnsi="Times New Roman" w:cs="Times New Roman"/>
                <w:color w:val="000000"/>
                <w:sz w:val="16"/>
                <w:szCs w:val="16"/>
                <w:lang w:val="en-US"/>
              </w:rPr>
            </w:pPr>
            <w:r w:rsidRPr="55C8311A">
              <w:rPr>
                <w:rFonts w:ascii="Times New Roman" w:eastAsia="Times New Roman" w:hAnsi="Times New Roman" w:cs="Times New Roman"/>
                <w:color w:val="000000" w:themeColor="text1"/>
                <w:sz w:val="16"/>
                <w:szCs w:val="16"/>
                <w:vertAlign w:val="superscript"/>
                <w:lang w:val="en-US"/>
              </w:rPr>
              <w:t>a</w:t>
            </w:r>
            <w:r w:rsidRPr="55C8311A">
              <w:rPr>
                <w:rFonts w:ascii="Times New Roman" w:eastAsia="Times New Roman" w:hAnsi="Times New Roman" w:cs="Times New Roman"/>
                <w:color w:val="000000" w:themeColor="text1"/>
                <w:sz w:val="16"/>
                <w:szCs w:val="16"/>
                <w:lang w:val="en-US"/>
              </w:rPr>
              <w:t xml:space="preserve"> Slow to respond was defined as documentation by providers of delayed clinical improvement despite a patient having received less than 48-72 hours of appropriate therapy</w:t>
            </w:r>
          </w:p>
        </w:tc>
      </w:tr>
      <w:tr w:rsidR="00172ED8" w:rsidRPr="00172ED8" w14:paraId="28FB7DE8" w14:textId="77777777" w:rsidTr="00273733">
        <w:trPr>
          <w:trHeight w:val="260"/>
        </w:trPr>
        <w:tc>
          <w:tcPr>
            <w:tcW w:w="14152" w:type="dxa"/>
            <w:gridSpan w:val="7"/>
            <w:tcBorders>
              <w:top w:val="nil"/>
              <w:left w:val="nil"/>
              <w:bottom w:val="nil"/>
              <w:right w:val="nil"/>
            </w:tcBorders>
            <w:shd w:val="clear" w:color="auto" w:fill="auto"/>
            <w:vAlign w:val="center"/>
            <w:hideMark/>
          </w:tcPr>
          <w:p w14:paraId="7023D050" w14:textId="50C66435" w:rsidR="00172ED8" w:rsidRPr="00172ED8" w:rsidRDefault="55C8311A" w:rsidP="00172ED8">
            <w:pPr>
              <w:spacing w:line="240" w:lineRule="auto"/>
              <w:rPr>
                <w:rFonts w:ascii="Times New Roman" w:eastAsia="Times New Roman" w:hAnsi="Times New Roman" w:cs="Times New Roman"/>
                <w:color w:val="000000"/>
                <w:sz w:val="16"/>
                <w:szCs w:val="16"/>
                <w:lang w:val="en-US"/>
              </w:rPr>
            </w:pPr>
            <w:r w:rsidRPr="55C8311A">
              <w:rPr>
                <w:rFonts w:ascii="Times New Roman" w:eastAsia="Times New Roman" w:hAnsi="Times New Roman" w:cs="Times New Roman"/>
                <w:color w:val="000000" w:themeColor="text1"/>
                <w:sz w:val="16"/>
                <w:szCs w:val="16"/>
                <w:vertAlign w:val="superscript"/>
                <w:lang w:val="en-US"/>
              </w:rPr>
              <w:t xml:space="preserve">b </w:t>
            </w:r>
            <w:r w:rsidRPr="55C8311A">
              <w:rPr>
                <w:rFonts w:ascii="Times New Roman" w:eastAsia="Times New Roman" w:hAnsi="Times New Roman" w:cs="Times New Roman"/>
                <w:color w:val="000000" w:themeColor="text1"/>
                <w:sz w:val="16"/>
                <w:szCs w:val="16"/>
                <w:lang w:val="en-US"/>
              </w:rPr>
              <w:t>Failure of outpatient therapy was defined as documentation by providers of a patient not clinically improving on preceding outpatient antibiotics despite the patient having previously received an inappropriate regimen or less than 72 hours of an appropriate regimen.</w:t>
            </w:r>
          </w:p>
        </w:tc>
      </w:tr>
      <w:tr w:rsidR="00172ED8" w:rsidRPr="00172ED8" w14:paraId="26009F6C" w14:textId="77777777" w:rsidTr="00273733">
        <w:trPr>
          <w:trHeight w:val="520"/>
        </w:trPr>
        <w:tc>
          <w:tcPr>
            <w:tcW w:w="14152" w:type="dxa"/>
            <w:gridSpan w:val="7"/>
            <w:tcBorders>
              <w:top w:val="nil"/>
              <w:left w:val="nil"/>
              <w:bottom w:val="nil"/>
              <w:right w:val="nil"/>
            </w:tcBorders>
            <w:shd w:val="clear" w:color="auto" w:fill="auto"/>
            <w:vAlign w:val="center"/>
            <w:hideMark/>
          </w:tcPr>
          <w:p w14:paraId="5319F60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vertAlign w:val="superscript"/>
                <w:lang w:val="en-US"/>
              </w:rPr>
              <w:t>c</w:t>
            </w:r>
            <w:r w:rsidRPr="00172ED8">
              <w:rPr>
                <w:rFonts w:ascii="Times New Roman" w:eastAsia="Times New Roman" w:hAnsi="Times New Roman" w:cs="Times New Roman"/>
                <w:color w:val="000000"/>
                <w:sz w:val="16"/>
                <w:szCs w:val="16"/>
                <w:lang w:val="en-US"/>
              </w:rPr>
              <w:t xml:space="preserve"> Miscalculation of duration was defined as stating a total duration in the discharge summary that did not match actual duration of prescribed antibiotics or prescribing guideline-recommended days of outpatient therapy but not including inpatient days of therapy already received.</w:t>
            </w:r>
          </w:p>
        </w:tc>
      </w:tr>
      <w:tr w:rsidR="00172ED8" w:rsidRPr="00172ED8" w14:paraId="2DD528FA" w14:textId="77777777" w:rsidTr="00273733">
        <w:trPr>
          <w:trHeight w:val="260"/>
        </w:trPr>
        <w:tc>
          <w:tcPr>
            <w:tcW w:w="14152" w:type="dxa"/>
            <w:gridSpan w:val="7"/>
            <w:tcBorders>
              <w:top w:val="nil"/>
              <w:left w:val="nil"/>
              <w:bottom w:val="single" w:sz="8" w:space="0" w:color="auto"/>
              <w:right w:val="nil"/>
            </w:tcBorders>
            <w:shd w:val="clear" w:color="auto" w:fill="auto"/>
            <w:vAlign w:val="center"/>
            <w:hideMark/>
          </w:tcPr>
          <w:p w14:paraId="00F0B82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vertAlign w:val="superscript"/>
                <w:lang w:val="en-US"/>
              </w:rPr>
              <w:t>d</w:t>
            </w:r>
            <w:r w:rsidRPr="00172ED8">
              <w:rPr>
                <w:rFonts w:ascii="Times New Roman" w:eastAsia="Times New Roman" w:hAnsi="Times New Roman" w:cs="Times New Roman"/>
                <w:color w:val="000000"/>
                <w:sz w:val="16"/>
                <w:szCs w:val="16"/>
                <w:lang w:val="en-US"/>
              </w:rPr>
              <w:t xml:space="preserve"> For culture data, antibiotic overuse row only includes instances where antibiotics were not appropriately changed as a result of culture data. </w:t>
            </w:r>
          </w:p>
        </w:tc>
      </w:tr>
    </w:tbl>
    <w:p w14:paraId="1DBC15E7" w14:textId="53A0F3E4" w:rsidR="008D6B4C" w:rsidRPr="00407DC7" w:rsidRDefault="008D6B4C" w:rsidP="00AD02B9">
      <w:pPr>
        <w:spacing w:line="240" w:lineRule="auto"/>
        <w:rPr>
          <w:rFonts w:ascii="Times New Roman" w:eastAsia="Times New Roman" w:hAnsi="Times New Roman" w:cs="Times New Roman"/>
          <w:sz w:val="24"/>
          <w:szCs w:val="24"/>
          <w:highlight w:val="white"/>
        </w:rPr>
      </w:pPr>
    </w:p>
    <w:p w14:paraId="7F065FC2" w14:textId="77777777" w:rsidR="00795E33" w:rsidRDefault="00795E33" w:rsidP="00AD02B9">
      <w:pPr>
        <w:spacing w:line="240" w:lineRule="auto"/>
        <w:rPr>
          <w:rFonts w:ascii="Times New Roman" w:eastAsia="Times New Roman" w:hAnsi="Times New Roman" w:cs="Times New Roman"/>
          <w:sz w:val="24"/>
          <w:szCs w:val="24"/>
          <w:highlight w:val="white"/>
        </w:rPr>
      </w:pPr>
    </w:p>
    <w:tbl>
      <w:tblPr>
        <w:tblW w:w="11898" w:type="dxa"/>
        <w:tblLook w:val="04A0" w:firstRow="1" w:lastRow="0" w:firstColumn="1" w:lastColumn="0" w:noHBand="0" w:noVBand="1"/>
      </w:tblPr>
      <w:tblGrid>
        <w:gridCol w:w="1388"/>
        <w:gridCol w:w="2842"/>
        <w:gridCol w:w="1289"/>
        <w:gridCol w:w="1280"/>
        <w:gridCol w:w="1266"/>
        <w:gridCol w:w="1289"/>
        <w:gridCol w:w="1278"/>
        <w:gridCol w:w="1266"/>
      </w:tblGrid>
      <w:tr w:rsidR="00172ED8" w:rsidRPr="00172ED8" w14:paraId="6C4A13F6" w14:textId="77777777" w:rsidTr="55C8311A">
        <w:trPr>
          <w:trHeight w:val="280"/>
        </w:trPr>
        <w:tc>
          <w:tcPr>
            <w:tcW w:w="11898" w:type="dxa"/>
            <w:gridSpan w:val="8"/>
            <w:tcBorders>
              <w:top w:val="nil"/>
              <w:left w:val="nil"/>
              <w:bottom w:val="double" w:sz="6" w:space="0" w:color="auto"/>
              <w:right w:val="nil"/>
            </w:tcBorders>
            <w:shd w:val="clear" w:color="auto" w:fill="auto"/>
            <w:vAlign w:val="center"/>
            <w:hideMark/>
          </w:tcPr>
          <w:p w14:paraId="28DAC87C" w14:textId="2214D5BA" w:rsidR="00172ED8" w:rsidRPr="00172ED8" w:rsidRDefault="00AF3428" w:rsidP="00172ED8">
            <w:pPr>
              <w:spacing w:line="240" w:lineRule="auto"/>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e</w:t>
            </w:r>
            <w:r w:rsidR="00172ED8" w:rsidRPr="00172ED8">
              <w:rPr>
                <w:rFonts w:ascii="Times New Roman" w:eastAsia="Times New Roman" w:hAnsi="Times New Roman" w:cs="Times New Roman"/>
                <w:b/>
                <w:bCs/>
                <w:color w:val="000000"/>
                <w:sz w:val="18"/>
                <w:szCs w:val="18"/>
                <w:lang w:val="en-US"/>
              </w:rPr>
              <w:t>Table 2. Comparing Characteristics of Discharge Antibiotic Cases by Appropriateness Category, Bivariable Analyses</w:t>
            </w:r>
          </w:p>
        </w:tc>
      </w:tr>
      <w:tr w:rsidR="00172ED8" w:rsidRPr="00172ED8" w14:paraId="59AECD64" w14:textId="77777777" w:rsidTr="55C8311A">
        <w:trPr>
          <w:trHeight w:val="40"/>
        </w:trPr>
        <w:tc>
          <w:tcPr>
            <w:tcW w:w="4230" w:type="dxa"/>
            <w:gridSpan w:val="2"/>
            <w:tcBorders>
              <w:top w:val="double" w:sz="6" w:space="0" w:color="auto"/>
              <w:left w:val="nil"/>
              <w:bottom w:val="nil"/>
              <w:right w:val="nil"/>
            </w:tcBorders>
            <w:shd w:val="clear" w:color="auto" w:fill="auto"/>
            <w:vAlign w:val="center"/>
            <w:hideMark/>
          </w:tcPr>
          <w:p w14:paraId="70ECB92E"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 </w:t>
            </w:r>
          </w:p>
        </w:tc>
        <w:tc>
          <w:tcPr>
            <w:tcW w:w="3835" w:type="dxa"/>
            <w:gridSpan w:val="3"/>
            <w:tcBorders>
              <w:top w:val="double" w:sz="6" w:space="0" w:color="auto"/>
              <w:left w:val="nil"/>
              <w:bottom w:val="nil"/>
              <w:right w:val="nil"/>
            </w:tcBorders>
            <w:shd w:val="clear" w:color="auto" w:fill="auto"/>
            <w:vAlign w:val="center"/>
            <w:hideMark/>
          </w:tcPr>
          <w:p w14:paraId="4488FA72"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 </w:t>
            </w:r>
          </w:p>
        </w:tc>
        <w:tc>
          <w:tcPr>
            <w:tcW w:w="3833" w:type="dxa"/>
            <w:gridSpan w:val="3"/>
            <w:tcBorders>
              <w:top w:val="double" w:sz="6" w:space="0" w:color="auto"/>
              <w:left w:val="nil"/>
              <w:bottom w:val="nil"/>
              <w:right w:val="nil"/>
            </w:tcBorders>
            <w:shd w:val="clear" w:color="auto" w:fill="auto"/>
            <w:vAlign w:val="center"/>
            <w:hideMark/>
          </w:tcPr>
          <w:p w14:paraId="55FCAE12"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 </w:t>
            </w:r>
          </w:p>
        </w:tc>
      </w:tr>
      <w:tr w:rsidR="00172ED8" w:rsidRPr="00172ED8" w14:paraId="0B31B223" w14:textId="77777777" w:rsidTr="55C8311A">
        <w:trPr>
          <w:trHeight w:val="260"/>
        </w:trPr>
        <w:tc>
          <w:tcPr>
            <w:tcW w:w="4230" w:type="dxa"/>
            <w:gridSpan w:val="2"/>
            <w:tcBorders>
              <w:top w:val="nil"/>
              <w:left w:val="nil"/>
              <w:bottom w:val="nil"/>
              <w:right w:val="nil"/>
            </w:tcBorders>
            <w:shd w:val="clear" w:color="auto" w:fill="auto"/>
            <w:vAlign w:val="center"/>
            <w:hideMark/>
          </w:tcPr>
          <w:p w14:paraId="220A61E7"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CHARACTERISTIC</w:t>
            </w:r>
          </w:p>
        </w:tc>
        <w:tc>
          <w:tcPr>
            <w:tcW w:w="3835" w:type="dxa"/>
            <w:gridSpan w:val="3"/>
            <w:tcBorders>
              <w:top w:val="nil"/>
              <w:left w:val="nil"/>
              <w:bottom w:val="nil"/>
              <w:right w:val="nil"/>
            </w:tcBorders>
            <w:shd w:val="clear" w:color="auto" w:fill="auto"/>
            <w:vAlign w:val="center"/>
            <w:hideMark/>
          </w:tcPr>
          <w:p w14:paraId="035A95F7"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OVERALL APPROPRIATENESS</w:t>
            </w:r>
          </w:p>
        </w:tc>
        <w:tc>
          <w:tcPr>
            <w:tcW w:w="3833" w:type="dxa"/>
            <w:gridSpan w:val="3"/>
            <w:tcBorders>
              <w:top w:val="nil"/>
              <w:left w:val="nil"/>
              <w:bottom w:val="nil"/>
              <w:right w:val="nil"/>
            </w:tcBorders>
            <w:shd w:val="clear" w:color="auto" w:fill="auto"/>
            <w:vAlign w:val="center"/>
            <w:hideMark/>
          </w:tcPr>
          <w:p w14:paraId="4537DD4D"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 xml:space="preserve">DURATION </w:t>
            </w:r>
            <w:r w:rsidRPr="00172ED8">
              <w:rPr>
                <w:rFonts w:ascii="Times New Roman" w:eastAsia="Times New Roman" w:hAnsi="Times New Roman" w:cs="Times New Roman"/>
                <w:b/>
                <w:bCs/>
                <w:color w:val="000000"/>
                <w:sz w:val="16"/>
                <w:szCs w:val="16"/>
                <w:vertAlign w:val="superscript"/>
                <w:lang w:val="en-US"/>
              </w:rPr>
              <w:t>a</w:t>
            </w:r>
          </w:p>
        </w:tc>
      </w:tr>
      <w:tr w:rsidR="00172ED8" w:rsidRPr="00172ED8" w14:paraId="1905CFB6" w14:textId="77777777" w:rsidTr="55C8311A">
        <w:trPr>
          <w:trHeight w:val="40"/>
        </w:trPr>
        <w:tc>
          <w:tcPr>
            <w:tcW w:w="4230" w:type="dxa"/>
            <w:gridSpan w:val="2"/>
            <w:tcBorders>
              <w:top w:val="nil"/>
              <w:left w:val="nil"/>
              <w:bottom w:val="nil"/>
              <w:right w:val="nil"/>
            </w:tcBorders>
            <w:shd w:val="clear" w:color="auto" w:fill="auto"/>
            <w:vAlign w:val="center"/>
            <w:hideMark/>
          </w:tcPr>
          <w:p w14:paraId="0C8B900E"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c>
          <w:tcPr>
            <w:tcW w:w="3835" w:type="dxa"/>
            <w:gridSpan w:val="3"/>
            <w:tcBorders>
              <w:top w:val="nil"/>
              <w:left w:val="nil"/>
              <w:bottom w:val="nil"/>
              <w:right w:val="nil"/>
            </w:tcBorders>
            <w:shd w:val="clear" w:color="auto" w:fill="auto"/>
            <w:vAlign w:val="center"/>
            <w:hideMark/>
          </w:tcPr>
          <w:p w14:paraId="61222A6C"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c>
          <w:tcPr>
            <w:tcW w:w="3833" w:type="dxa"/>
            <w:gridSpan w:val="3"/>
            <w:tcBorders>
              <w:top w:val="nil"/>
              <w:left w:val="nil"/>
              <w:bottom w:val="nil"/>
              <w:right w:val="nil"/>
            </w:tcBorders>
            <w:shd w:val="clear" w:color="auto" w:fill="auto"/>
            <w:vAlign w:val="center"/>
            <w:hideMark/>
          </w:tcPr>
          <w:p w14:paraId="76C25A0E" w14:textId="77777777" w:rsidR="00172ED8" w:rsidRPr="00172ED8" w:rsidRDefault="00172ED8" w:rsidP="00172ED8">
            <w:pPr>
              <w:spacing w:line="240" w:lineRule="auto"/>
              <w:rPr>
                <w:rFonts w:ascii="Times New Roman" w:eastAsia="Times New Roman" w:hAnsi="Times New Roman" w:cs="Times New Roman"/>
                <w:sz w:val="20"/>
                <w:szCs w:val="20"/>
                <w:lang w:val="en-US"/>
              </w:rPr>
            </w:pPr>
          </w:p>
        </w:tc>
      </w:tr>
      <w:tr w:rsidR="00172ED8" w:rsidRPr="00172ED8" w14:paraId="6A492DB2" w14:textId="77777777" w:rsidTr="55C8311A">
        <w:trPr>
          <w:trHeight w:val="500"/>
        </w:trPr>
        <w:tc>
          <w:tcPr>
            <w:tcW w:w="1388" w:type="dxa"/>
            <w:vMerge w:val="restart"/>
            <w:tcBorders>
              <w:top w:val="nil"/>
              <w:left w:val="nil"/>
              <w:bottom w:val="single" w:sz="8" w:space="0" w:color="000000" w:themeColor="text1"/>
              <w:right w:val="nil"/>
            </w:tcBorders>
            <w:shd w:val="clear" w:color="auto" w:fill="auto"/>
            <w:vAlign w:val="center"/>
            <w:hideMark/>
          </w:tcPr>
          <w:p w14:paraId="0EFE4014"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 </w:t>
            </w:r>
          </w:p>
        </w:tc>
        <w:tc>
          <w:tcPr>
            <w:tcW w:w="2842" w:type="dxa"/>
            <w:vMerge w:val="restart"/>
            <w:tcBorders>
              <w:top w:val="nil"/>
              <w:left w:val="nil"/>
              <w:bottom w:val="single" w:sz="8" w:space="0" w:color="000000" w:themeColor="text1"/>
              <w:right w:val="nil"/>
            </w:tcBorders>
            <w:shd w:val="clear" w:color="auto" w:fill="auto"/>
            <w:vAlign w:val="center"/>
            <w:hideMark/>
          </w:tcPr>
          <w:p w14:paraId="4AECF344"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 </w:t>
            </w:r>
          </w:p>
        </w:tc>
        <w:tc>
          <w:tcPr>
            <w:tcW w:w="1289" w:type="dxa"/>
            <w:vMerge w:val="restart"/>
            <w:tcBorders>
              <w:top w:val="nil"/>
              <w:left w:val="nil"/>
              <w:bottom w:val="single" w:sz="8" w:space="0" w:color="000000" w:themeColor="text1"/>
              <w:right w:val="nil"/>
            </w:tcBorders>
            <w:shd w:val="clear" w:color="auto" w:fill="auto"/>
            <w:vAlign w:val="center"/>
            <w:hideMark/>
          </w:tcPr>
          <w:p w14:paraId="7F3D53C9"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Appropriate</w:t>
            </w:r>
          </w:p>
        </w:tc>
        <w:tc>
          <w:tcPr>
            <w:tcW w:w="1280" w:type="dxa"/>
            <w:vMerge w:val="restart"/>
            <w:tcBorders>
              <w:top w:val="nil"/>
              <w:left w:val="nil"/>
              <w:bottom w:val="single" w:sz="8" w:space="0" w:color="000000" w:themeColor="text1"/>
              <w:right w:val="nil"/>
            </w:tcBorders>
            <w:shd w:val="clear" w:color="auto" w:fill="auto"/>
            <w:vAlign w:val="center"/>
            <w:hideMark/>
          </w:tcPr>
          <w:p w14:paraId="6EC44F49"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Antibiotic Overuse</w:t>
            </w:r>
          </w:p>
        </w:tc>
        <w:tc>
          <w:tcPr>
            <w:tcW w:w="1266" w:type="dxa"/>
            <w:vMerge w:val="restart"/>
            <w:tcBorders>
              <w:top w:val="nil"/>
              <w:left w:val="nil"/>
              <w:bottom w:val="single" w:sz="8" w:space="0" w:color="000000" w:themeColor="text1"/>
              <w:right w:val="nil"/>
            </w:tcBorders>
            <w:shd w:val="clear" w:color="auto" w:fill="auto"/>
            <w:vAlign w:val="center"/>
            <w:hideMark/>
          </w:tcPr>
          <w:p w14:paraId="7C229ABA"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P-value</w:t>
            </w:r>
          </w:p>
        </w:tc>
        <w:tc>
          <w:tcPr>
            <w:tcW w:w="1289" w:type="dxa"/>
            <w:vMerge w:val="restart"/>
            <w:tcBorders>
              <w:top w:val="nil"/>
              <w:left w:val="nil"/>
              <w:bottom w:val="single" w:sz="8" w:space="0" w:color="000000" w:themeColor="text1"/>
              <w:right w:val="nil"/>
            </w:tcBorders>
            <w:shd w:val="clear" w:color="auto" w:fill="auto"/>
            <w:vAlign w:val="center"/>
            <w:hideMark/>
          </w:tcPr>
          <w:p w14:paraId="5696D179"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Appropriate Duration</w:t>
            </w:r>
          </w:p>
        </w:tc>
        <w:tc>
          <w:tcPr>
            <w:tcW w:w="1278" w:type="dxa"/>
            <w:vMerge w:val="restart"/>
            <w:tcBorders>
              <w:top w:val="nil"/>
              <w:left w:val="nil"/>
              <w:bottom w:val="single" w:sz="8" w:space="0" w:color="000000" w:themeColor="text1"/>
              <w:right w:val="nil"/>
            </w:tcBorders>
            <w:shd w:val="clear" w:color="auto" w:fill="auto"/>
            <w:vAlign w:val="center"/>
            <w:hideMark/>
          </w:tcPr>
          <w:p w14:paraId="72EEEB31"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Excess Duration</w:t>
            </w:r>
          </w:p>
        </w:tc>
        <w:tc>
          <w:tcPr>
            <w:tcW w:w="1266" w:type="dxa"/>
            <w:vMerge w:val="restart"/>
            <w:tcBorders>
              <w:top w:val="nil"/>
              <w:left w:val="nil"/>
              <w:bottom w:val="single" w:sz="8" w:space="0" w:color="000000" w:themeColor="text1"/>
              <w:right w:val="nil"/>
            </w:tcBorders>
            <w:shd w:val="clear" w:color="auto" w:fill="auto"/>
            <w:vAlign w:val="center"/>
            <w:hideMark/>
          </w:tcPr>
          <w:p w14:paraId="52C1A7A4"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r w:rsidRPr="00172ED8">
              <w:rPr>
                <w:rFonts w:ascii="Times New Roman" w:eastAsia="Times New Roman" w:hAnsi="Times New Roman" w:cs="Times New Roman"/>
                <w:b/>
                <w:bCs/>
                <w:color w:val="000000"/>
                <w:sz w:val="16"/>
                <w:szCs w:val="16"/>
                <w:lang w:val="en-US"/>
              </w:rPr>
              <w:t>P-value</w:t>
            </w:r>
          </w:p>
        </w:tc>
      </w:tr>
      <w:tr w:rsidR="00172ED8" w:rsidRPr="00172ED8" w14:paraId="3A191FFD" w14:textId="77777777" w:rsidTr="55C8311A">
        <w:trPr>
          <w:trHeight w:val="280"/>
        </w:trPr>
        <w:tc>
          <w:tcPr>
            <w:tcW w:w="1388" w:type="dxa"/>
            <w:vMerge/>
            <w:vAlign w:val="center"/>
            <w:hideMark/>
          </w:tcPr>
          <w:p w14:paraId="146AEDD1"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c>
          <w:tcPr>
            <w:tcW w:w="2842" w:type="dxa"/>
            <w:vMerge/>
            <w:vAlign w:val="center"/>
            <w:hideMark/>
          </w:tcPr>
          <w:p w14:paraId="653230D5"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c>
          <w:tcPr>
            <w:tcW w:w="1289" w:type="dxa"/>
            <w:vMerge/>
            <w:vAlign w:val="center"/>
            <w:hideMark/>
          </w:tcPr>
          <w:p w14:paraId="51884746"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c>
          <w:tcPr>
            <w:tcW w:w="1280" w:type="dxa"/>
            <w:vMerge/>
            <w:vAlign w:val="center"/>
            <w:hideMark/>
          </w:tcPr>
          <w:p w14:paraId="742337D8"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c>
          <w:tcPr>
            <w:tcW w:w="1266" w:type="dxa"/>
            <w:vMerge/>
            <w:vAlign w:val="center"/>
            <w:hideMark/>
          </w:tcPr>
          <w:p w14:paraId="06225D7F"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c>
          <w:tcPr>
            <w:tcW w:w="1289" w:type="dxa"/>
            <w:vMerge/>
            <w:vAlign w:val="center"/>
            <w:hideMark/>
          </w:tcPr>
          <w:p w14:paraId="6F6986B5"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c>
          <w:tcPr>
            <w:tcW w:w="1278" w:type="dxa"/>
            <w:vMerge/>
            <w:vAlign w:val="center"/>
            <w:hideMark/>
          </w:tcPr>
          <w:p w14:paraId="3E61C916"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c>
          <w:tcPr>
            <w:tcW w:w="1266" w:type="dxa"/>
            <w:vMerge/>
            <w:vAlign w:val="center"/>
            <w:hideMark/>
          </w:tcPr>
          <w:p w14:paraId="486C2A3B" w14:textId="77777777" w:rsidR="00172ED8" w:rsidRPr="00172ED8" w:rsidRDefault="00172ED8" w:rsidP="00172ED8">
            <w:pPr>
              <w:spacing w:line="240" w:lineRule="auto"/>
              <w:rPr>
                <w:rFonts w:ascii="Times New Roman" w:eastAsia="Times New Roman" w:hAnsi="Times New Roman" w:cs="Times New Roman"/>
                <w:b/>
                <w:bCs/>
                <w:color w:val="000000"/>
                <w:sz w:val="16"/>
                <w:szCs w:val="16"/>
                <w:lang w:val="en-US"/>
              </w:rPr>
            </w:pPr>
          </w:p>
        </w:tc>
      </w:tr>
      <w:tr w:rsidR="00172ED8" w:rsidRPr="00172ED8" w14:paraId="69D21616" w14:textId="77777777" w:rsidTr="55C8311A">
        <w:trPr>
          <w:trHeight w:val="260"/>
        </w:trPr>
        <w:tc>
          <w:tcPr>
            <w:tcW w:w="1388" w:type="dxa"/>
            <w:vMerge w:val="restart"/>
            <w:tcBorders>
              <w:top w:val="nil"/>
              <w:left w:val="nil"/>
              <w:bottom w:val="single" w:sz="8" w:space="0" w:color="000000" w:themeColor="text1"/>
              <w:right w:val="nil"/>
            </w:tcBorders>
            <w:shd w:val="clear" w:color="auto" w:fill="auto"/>
            <w:vAlign w:val="center"/>
            <w:hideMark/>
          </w:tcPr>
          <w:p w14:paraId="70ECF83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Demographics </w:t>
            </w:r>
          </w:p>
        </w:tc>
        <w:tc>
          <w:tcPr>
            <w:tcW w:w="2842" w:type="dxa"/>
            <w:tcBorders>
              <w:top w:val="nil"/>
              <w:left w:val="nil"/>
              <w:bottom w:val="nil"/>
              <w:right w:val="nil"/>
            </w:tcBorders>
            <w:shd w:val="clear" w:color="auto" w:fill="auto"/>
            <w:vAlign w:val="center"/>
            <w:hideMark/>
          </w:tcPr>
          <w:p w14:paraId="4DFB1E8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n</w:t>
            </w:r>
          </w:p>
        </w:tc>
        <w:tc>
          <w:tcPr>
            <w:tcW w:w="1289" w:type="dxa"/>
            <w:tcBorders>
              <w:top w:val="nil"/>
              <w:left w:val="nil"/>
              <w:bottom w:val="nil"/>
              <w:right w:val="nil"/>
            </w:tcBorders>
            <w:shd w:val="clear" w:color="auto" w:fill="auto"/>
            <w:vAlign w:val="center"/>
            <w:hideMark/>
          </w:tcPr>
          <w:p w14:paraId="35CE5AD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22</w:t>
            </w:r>
          </w:p>
        </w:tc>
        <w:tc>
          <w:tcPr>
            <w:tcW w:w="1280" w:type="dxa"/>
            <w:tcBorders>
              <w:top w:val="nil"/>
              <w:left w:val="nil"/>
              <w:bottom w:val="nil"/>
              <w:right w:val="nil"/>
            </w:tcBorders>
            <w:shd w:val="clear" w:color="auto" w:fill="auto"/>
            <w:vAlign w:val="center"/>
            <w:hideMark/>
          </w:tcPr>
          <w:p w14:paraId="487F960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78</w:t>
            </w:r>
          </w:p>
        </w:tc>
        <w:tc>
          <w:tcPr>
            <w:tcW w:w="1266" w:type="dxa"/>
            <w:tcBorders>
              <w:top w:val="nil"/>
              <w:left w:val="nil"/>
              <w:bottom w:val="nil"/>
              <w:right w:val="nil"/>
            </w:tcBorders>
            <w:shd w:val="clear" w:color="auto" w:fill="auto"/>
            <w:vAlign w:val="center"/>
            <w:hideMark/>
          </w:tcPr>
          <w:p w14:paraId="61AADBD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N/A</w:t>
            </w:r>
          </w:p>
        </w:tc>
        <w:tc>
          <w:tcPr>
            <w:tcW w:w="1289" w:type="dxa"/>
            <w:tcBorders>
              <w:top w:val="nil"/>
              <w:left w:val="nil"/>
              <w:bottom w:val="nil"/>
              <w:right w:val="nil"/>
            </w:tcBorders>
            <w:shd w:val="clear" w:color="auto" w:fill="auto"/>
            <w:vAlign w:val="center"/>
            <w:hideMark/>
          </w:tcPr>
          <w:p w14:paraId="72C180E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44</w:t>
            </w:r>
          </w:p>
        </w:tc>
        <w:tc>
          <w:tcPr>
            <w:tcW w:w="1278" w:type="dxa"/>
            <w:tcBorders>
              <w:top w:val="nil"/>
              <w:left w:val="nil"/>
              <w:bottom w:val="nil"/>
              <w:right w:val="nil"/>
            </w:tcBorders>
            <w:shd w:val="clear" w:color="auto" w:fill="auto"/>
            <w:vAlign w:val="center"/>
            <w:hideMark/>
          </w:tcPr>
          <w:p w14:paraId="047B130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54</w:t>
            </w:r>
          </w:p>
        </w:tc>
        <w:tc>
          <w:tcPr>
            <w:tcW w:w="1266" w:type="dxa"/>
            <w:tcBorders>
              <w:top w:val="nil"/>
              <w:left w:val="nil"/>
              <w:bottom w:val="nil"/>
              <w:right w:val="nil"/>
            </w:tcBorders>
            <w:shd w:val="clear" w:color="auto" w:fill="auto"/>
            <w:vAlign w:val="center"/>
            <w:hideMark/>
          </w:tcPr>
          <w:p w14:paraId="0095F02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N/A</w:t>
            </w:r>
          </w:p>
        </w:tc>
      </w:tr>
      <w:tr w:rsidR="00172ED8" w:rsidRPr="00172ED8" w14:paraId="399DFB51" w14:textId="77777777" w:rsidTr="55C8311A">
        <w:trPr>
          <w:trHeight w:val="260"/>
        </w:trPr>
        <w:tc>
          <w:tcPr>
            <w:tcW w:w="1388" w:type="dxa"/>
            <w:vMerge/>
            <w:vAlign w:val="center"/>
            <w:hideMark/>
          </w:tcPr>
          <w:p w14:paraId="3BA6381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72C3010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Age, mean years (SD)</w:t>
            </w:r>
          </w:p>
        </w:tc>
        <w:tc>
          <w:tcPr>
            <w:tcW w:w="1289" w:type="dxa"/>
            <w:tcBorders>
              <w:top w:val="nil"/>
              <w:left w:val="nil"/>
              <w:bottom w:val="nil"/>
              <w:right w:val="nil"/>
            </w:tcBorders>
            <w:shd w:val="clear" w:color="auto" w:fill="auto"/>
            <w:vAlign w:val="center"/>
            <w:hideMark/>
          </w:tcPr>
          <w:p w14:paraId="3E0B639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53.1 (17.0)</w:t>
            </w:r>
          </w:p>
        </w:tc>
        <w:tc>
          <w:tcPr>
            <w:tcW w:w="1280" w:type="dxa"/>
            <w:tcBorders>
              <w:top w:val="nil"/>
              <w:left w:val="nil"/>
              <w:bottom w:val="nil"/>
              <w:right w:val="nil"/>
            </w:tcBorders>
            <w:shd w:val="clear" w:color="auto" w:fill="auto"/>
            <w:vAlign w:val="center"/>
            <w:hideMark/>
          </w:tcPr>
          <w:p w14:paraId="55F8E0B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61.5 (18.8)</w:t>
            </w:r>
          </w:p>
        </w:tc>
        <w:tc>
          <w:tcPr>
            <w:tcW w:w="1266" w:type="dxa"/>
            <w:tcBorders>
              <w:top w:val="nil"/>
              <w:left w:val="nil"/>
              <w:bottom w:val="nil"/>
              <w:right w:val="nil"/>
            </w:tcBorders>
            <w:shd w:val="clear" w:color="auto" w:fill="auto"/>
            <w:vAlign w:val="center"/>
            <w:hideMark/>
          </w:tcPr>
          <w:p w14:paraId="47D28BA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0.063</w:t>
            </w:r>
          </w:p>
        </w:tc>
        <w:tc>
          <w:tcPr>
            <w:tcW w:w="1289" w:type="dxa"/>
            <w:tcBorders>
              <w:top w:val="nil"/>
              <w:left w:val="nil"/>
              <w:bottom w:val="nil"/>
              <w:right w:val="nil"/>
            </w:tcBorders>
            <w:shd w:val="clear" w:color="auto" w:fill="auto"/>
            <w:vAlign w:val="center"/>
            <w:hideMark/>
          </w:tcPr>
          <w:p w14:paraId="73453D9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57.3 (19.7)</w:t>
            </w:r>
          </w:p>
        </w:tc>
        <w:tc>
          <w:tcPr>
            <w:tcW w:w="1278" w:type="dxa"/>
            <w:tcBorders>
              <w:top w:val="nil"/>
              <w:left w:val="nil"/>
              <w:bottom w:val="nil"/>
              <w:right w:val="nil"/>
            </w:tcBorders>
            <w:shd w:val="clear" w:color="auto" w:fill="auto"/>
            <w:vAlign w:val="center"/>
            <w:hideMark/>
          </w:tcPr>
          <w:p w14:paraId="4258D09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61.4 (17.9)</w:t>
            </w:r>
          </w:p>
        </w:tc>
        <w:tc>
          <w:tcPr>
            <w:tcW w:w="1266" w:type="dxa"/>
            <w:tcBorders>
              <w:top w:val="nil"/>
              <w:left w:val="nil"/>
              <w:bottom w:val="nil"/>
              <w:right w:val="nil"/>
            </w:tcBorders>
            <w:shd w:val="clear" w:color="auto" w:fill="auto"/>
            <w:vAlign w:val="center"/>
            <w:hideMark/>
          </w:tcPr>
          <w:p w14:paraId="6446880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0.283</w:t>
            </w:r>
          </w:p>
        </w:tc>
      </w:tr>
      <w:tr w:rsidR="00172ED8" w:rsidRPr="00172ED8" w14:paraId="6F4752E0" w14:textId="77777777" w:rsidTr="55C8311A">
        <w:trPr>
          <w:trHeight w:val="260"/>
        </w:trPr>
        <w:tc>
          <w:tcPr>
            <w:tcW w:w="1388" w:type="dxa"/>
            <w:vMerge/>
            <w:vAlign w:val="center"/>
            <w:hideMark/>
          </w:tcPr>
          <w:p w14:paraId="7CBF1F7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4B267FF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Gender, # Female (%)</w:t>
            </w:r>
          </w:p>
        </w:tc>
        <w:tc>
          <w:tcPr>
            <w:tcW w:w="1289" w:type="dxa"/>
            <w:tcBorders>
              <w:top w:val="nil"/>
              <w:left w:val="nil"/>
              <w:bottom w:val="nil"/>
              <w:right w:val="nil"/>
            </w:tcBorders>
            <w:shd w:val="clear" w:color="auto" w:fill="auto"/>
            <w:vAlign w:val="center"/>
            <w:hideMark/>
          </w:tcPr>
          <w:p w14:paraId="1F07932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16 (73%)</w:t>
            </w:r>
          </w:p>
        </w:tc>
        <w:tc>
          <w:tcPr>
            <w:tcW w:w="1280" w:type="dxa"/>
            <w:tcBorders>
              <w:top w:val="nil"/>
              <w:left w:val="nil"/>
              <w:bottom w:val="nil"/>
              <w:right w:val="nil"/>
            </w:tcBorders>
            <w:shd w:val="clear" w:color="auto" w:fill="auto"/>
            <w:vAlign w:val="center"/>
            <w:hideMark/>
          </w:tcPr>
          <w:p w14:paraId="00A5EF8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41 (53%)</w:t>
            </w:r>
          </w:p>
        </w:tc>
        <w:tc>
          <w:tcPr>
            <w:tcW w:w="1266" w:type="dxa"/>
            <w:tcBorders>
              <w:top w:val="nil"/>
              <w:left w:val="nil"/>
              <w:bottom w:val="nil"/>
              <w:right w:val="nil"/>
            </w:tcBorders>
            <w:shd w:val="clear" w:color="auto" w:fill="auto"/>
            <w:vAlign w:val="center"/>
            <w:hideMark/>
          </w:tcPr>
          <w:p w14:paraId="78E2E12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0.092</w:t>
            </w:r>
          </w:p>
        </w:tc>
        <w:tc>
          <w:tcPr>
            <w:tcW w:w="1289" w:type="dxa"/>
            <w:tcBorders>
              <w:top w:val="nil"/>
              <w:left w:val="nil"/>
              <w:bottom w:val="nil"/>
              <w:right w:val="nil"/>
            </w:tcBorders>
            <w:shd w:val="clear" w:color="auto" w:fill="auto"/>
            <w:vAlign w:val="center"/>
            <w:hideMark/>
          </w:tcPr>
          <w:p w14:paraId="32E3E66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29 (66%)</w:t>
            </w:r>
          </w:p>
        </w:tc>
        <w:tc>
          <w:tcPr>
            <w:tcW w:w="1278" w:type="dxa"/>
            <w:tcBorders>
              <w:top w:val="nil"/>
              <w:left w:val="nil"/>
              <w:bottom w:val="nil"/>
              <w:right w:val="nil"/>
            </w:tcBorders>
            <w:shd w:val="clear" w:color="auto" w:fill="auto"/>
            <w:vAlign w:val="center"/>
            <w:hideMark/>
          </w:tcPr>
          <w:p w14:paraId="6C0B48B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28 (52%)</w:t>
            </w:r>
          </w:p>
        </w:tc>
        <w:tc>
          <w:tcPr>
            <w:tcW w:w="1266" w:type="dxa"/>
            <w:tcBorders>
              <w:top w:val="nil"/>
              <w:left w:val="nil"/>
              <w:bottom w:val="nil"/>
              <w:right w:val="nil"/>
            </w:tcBorders>
            <w:shd w:val="clear" w:color="auto" w:fill="auto"/>
            <w:vAlign w:val="center"/>
            <w:hideMark/>
          </w:tcPr>
          <w:p w14:paraId="07F0CCD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0.161</w:t>
            </w:r>
          </w:p>
        </w:tc>
      </w:tr>
      <w:tr w:rsidR="00172ED8" w:rsidRPr="00172ED8" w14:paraId="3292F552" w14:textId="77777777" w:rsidTr="55C8311A">
        <w:trPr>
          <w:trHeight w:val="260"/>
        </w:trPr>
        <w:tc>
          <w:tcPr>
            <w:tcW w:w="1388" w:type="dxa"/>
            <w:vMerge/>
            <w:vAlign w:val="center"/>
            <w:hideMark/>
          </w:tcPr>
          <w:p w14:paraId="1E434E3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171D658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Race, # White (%)</w:t>
            </w:r>
          </w:p>
        </w:tc>
        <w:tc>
          <w:tcPr>
            <w:tcW w:w="1289" w:type="dxa"/>
            <w:tcBorders>
              <w:top w:val="nil"/>
              <w:left w:val="nil"/>
              <w:bottom w:val="nil"/>
              <w:right w:val="nil"/>
            </w:tcBorders>
            <w:shd w:val="clear" w:color="auto" w:fill="auto"/>
            <w:vAlign w:val="center"/>
            <w:hideMark/>
          </w:tcPr>
          <w:p w14:paraId="5DCCF76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12 (55%)</w:t>
            </w:r>
          </w:p>
        </w:tc>
        <w:tc>
          <w:tcPr>
            <w:tcW w:w="1280" w:type="dxa"/>
            <w:tcBorders>
              <w:top w:val="nil"/>
              <w:left w:val="nil"/>
              <w:bottom w:val="nil"/>
              <w:right w:val="nil"/>
            </w:tcBorders>
            <w:shd w:val="clear" w:color="auto" w:fill="auto"/>
            <w:vAlign w:val="center"/>
            <w:hideMark/>
          </w:tcPr>
          <w:p w14:paraId="1B3C4B4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68 (87%)</w:t>
            </w:r>
          </w:p>
        </w:tc>
        <w:tc>
          <w:tcPr>
            <w:tcW w:w="1266" w:type="dxa"/>
            <w:tcBorders>
              <w:top w:val="nil"/>
              <w:left w:val="nil"/>
              <w:bottom w:val="nil"/>
              <w:right w:val="nil"/>
            </w:tcBorders>
            <w:shd w:val="clear" w:color="auto" w:fill="auto"/>
            <w:vAlign w:val="center"/>
            <w:hideMark/>
          </w:tcPr>
          <w:p w14:paraId="73212F0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0.001</w:t>
            </w:r>
          </w:p>
        </w:tc>
        <w:tc>
          <w:tcPr>
            <w:tcW w:w="1289" w:type="dxa"/>
            <w:tcBorders>
              <w:top w:val="nil"/>
              <w:left w:val="nil"/>
              <w:bottom w:val="nil"/>
              <w:right w:val="nil"/>
            </w:tcBorders>
            <w:shd w:val="clear" w:color="auto" w:fill="auto"/>
            <w:vAlign w:val="center"/>
            <w:hideMark/>
          </w:tcPr>
          <w:p w14:paraId="5B16BF0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32 (73%)</w:t>
            </w:r>
          </w:p>
        </w:tc>
        <w:tc>
          <w:tcPr>
            <w:tcW w:w="1278" w:type="dxa"/>
            <w:tcBorders>
              <w:top w:val="nil"/>
              <w:left w:val="nil"/>
              <w:bottom w:val="nil"/>
              <w:right w:val="nil"/>
            </w:tcBorders>
            <w:shd w:val="clear" w:color="auto" w:fill="auto"/>
            <w:vAlign w:val="center"/>
            <w:hideMark/>
          </w:tcPr>
          <w:p w14:paraId="12ABE13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46 (85%)</w:t>
            </w:r>
          </w:p>
        </w:tc>
        <w:tc>
          <w:tcPr>
            <w:tcW w:w="1266" w:type="dxa"/>
            <w:tcBorders>
              <w:top w:val="nil"/>
              <w:left w:val="nil"/>
              <w:bottom w:val="nil"/>
              <w:right w:val="nil"/>
            </w:tcBorders>
            <w:shd w:val="clear" w:color="auto" w:fill="auto"/>
            <w:vAlign w:val="center"/>
            <w:hideMark/>
          </w:tcPr>
          <w:p w14:paraId="66EAC04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0.128</w:t>
            </w:r>
          </w:p>
        </w:tc>
      </w:tr>
      <w:tr w:rsidR="00172ED8" w:rsidRPr="00172ED8" w14:paraId="4705287B" w14:textId="77777777" w:rsidTr="55C8311A">
        <w:trPr>
          <w:trHeight w:val="280"/>
        </w:trPr>
        <w:tc>
          <w:tcPr>
            <w:tcW w:w="1388" w:type="dxa"/>
            <w:vMerge/>
            <w:vAlign w:val="center"/>
            <w:hideMark/>
          </w:tcPr>
          <w:p w14:paraId="4ADA174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single" w:sz="8" w:space="0" w:color="auto"/>
              <w:right w:val="nil"/>
            </w:tcBorders>
            <w:shd w:val="clear" w:color="auto" w:fill="auto"/>
            <w:vAlign w:val="center"/>
            <w:hideMark/>
          </w:tcPr>
          <w:p w14:paraId="2BBC5D2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Median Charlson score (IQR)</w:t>
            </w:r>
          </w:p>
        </w:tc>
        <w:tc>
          <w:tcPr>
            <w:tcW w:w="1289" w:type="dxa"/>
            <w:tcBorders>
              <w:top w:val="nil"/>
              <w:left w:val="nil"/>
              <w:bottom w:val="single" w:sz="8" w:space="0" w:color="auto"/>
              <w:right w:val="nil"/>
            </w:tcBorders>
            <w:shd w:val="clear" w:color="auto" w:fill="auto"/>
            <w:vAlign w:val="center"/>
            <w:hideMark/>
          </w:tcPr>
          <w:p w14:paraId="744F8BB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 (1, 4)</w:t>
            </w:r>
          </w:p>
        </w:tc>
        <w:tc>
          <w:tcPr>
            <w:tcW w:w="1280" w:type="dxa"/>
            <w:tcBorders>
              <w:top w:val="nil"/>
              <w:left w:val="nil"/>
              <w:bottom w:val="single" w:sz="8" w:space="0" w:color="auto"/>
              <w:right w:val="nil"/>
            </w:tcBorders>
            <w:shd w:val="clear" w:color="auto" w:fill="auto"/>
            <w:vAlign w:val="center"/>
            <w:hideMark/>
          </w:tcPr>
          <w:p w14:paraId="2AB0F6A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 (1, 8)</w:t>
            </w:r>
          </w:p>
        </w:tc>
        <w:tc>
          <w:tcPr>
            <w:tcW w:w="1266" w:type="dxa"/>
            <w:tcBorders>
              <w:top w:val="nil"/>
              <w:left w:val="nil"/>
              <w:bottom w:val="single" w:sz="8" w:space="0" w:color="auto"/>
              <w:right w:val="nil"/>
            </w:tcBorders>
            <w:shd w:val="clear" w:color="auto" w:fill="auto"/>
            <w:vAlign w:val="center"/>
            <w:hideMark/>
          </w:tcPr>
          <w:p w14:paraId="61F33D9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0.058</w:t>
            </w:r>
          </w:p>
        </w:tc>
        <w:tc>
          <w:tcPr>
            <w:tcW w:w="1289" w:type="dxa"/>
            <w:tcBorders>
              <w:top w:val="nil"/>
              <w:left w:val="nil"/>
              <w:bottom w:val="single" w:sz="8" w:space="0" w:color="auto"/>
              <w:right w:val="nil"/>
            </w:tcBorders>
            <w:shd w:val="clear" w:color="auto" w:fill="auto"/>
            <w:vAlign w:val="center"/>
            <w:hideMark/>
          </w:tcPr>
          <w:p w14:paraId="4B8F547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 (1, 8)</w:t>
            </w:r>
          </w:p>
        </w:tc>
        <w:tc>
          <w:tcPr>
            <w:tcW w:w="1278" w:type="dxa"/>
            <w:tcBorders>
              <w:top w:val="nil"/>
              <w:left w:val="nil"/>
              <w:bottom w:val="single" w:sz="8" w:space="0" w:color="auto"/>
              <w:right w:val="nil"/>
            </w:tcBorders>
            <w:shd w:val="clear" w:color="auto" w:fill="auto"/>
            <w:vAlign w:val="center"/>
            <w:hideMark/>
          </w:tcPr>
          <w:p w14:paraId="54A7A44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 (1, 7)</w:t>
            </w:r>
          </w:p>
        </w:tc>
        <w:tc>
          <w:tcPr>
            <w:tcW w:w="1266" w:type="dxa"/>
            <w:tcBorders>
              <w:top w:val="nil"/>
              <w:left w:val="nil"/>
              <w:bottom w:val="single" w:sz="8" w:space="0" w:color="auto"/>
              <w:right w:val="nil"/>
            </w:tcBorders>
            <w:shd w:val="clear" w:color="auto" w:fill="auto"/>
            <w:vAlign w:val="center"/>
            <w:hideMark/>
          </w:tcPr>
          <w:p w14:paraId="3E5541B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0.939</w:t>
            </w:r>
          </w:p>
        </w:tc>
      </w:tr>
      <w:tr w:rsidR="00172ED8" w:rsidRPr="00172ED8" w14:paraId="1DD51FE3" w14:textId="77777777" w:rsidTr="55C8311A">
        <w:trPr>
          <w:trHeight w:val="260"/>
        </w:trPr>
        <w:tc>
          <w:tcPr>
            <w:tcW w:w="1388" w:type="dxa"/>
            <w:vMerge w:val="restart"/>
            <w:tcBorders>
              <w:top w:val="nil"/>
              <w:left w:val="nil"/>
              <w:bottom w:val="single" w:sz="8" w:space="0" w:color="000000" w:themeColor="text1"/>
              <w:right w:val="nil"/>
            </w:tcBorders>
            <w:shd w:val="clear" w:color="auto" w:fill="auto"/>
            <w:vAlign w:val="center"/>
            <w:hideMark/>
          </w:tcPr>
          <w:p w14:paraId="2BEEC11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Disease State </w:t>
            </w:r>
          </w:p>
        </w:tc>
        <w:tc>
          <w:tcPr>
            <w:tcW w:w="2842" w:type="dxa"/>
            <w:tcBorders>
              <w:top w:val="nil"/>
              <w:left w:val="nil"/>
              <w:bottom w:val="nil"/>
              <w:right w:val="nil"/>
            </w:tcBorders>
            <w:shd w:val="clear" w:color="auto" w:fill="auto"/>
            <w:vAlign w:val="center"/>
            <w:hideMark/>
          </w:tcPr>
          <w:p w14:paraId="017250F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Pneumonia (n = 22), n (%)</w:t>
            </w:r>
          </w:p>
        </w:tc>
        <w:tc>
          <w:tcPr>
            <w:tcW w:w="1289" w:type="dxa"/>
            <w:tcBorders>
              <w:top w:val="nil"/>
              <w:left w:val="nil"/>
              <w:bottom w:val="nil"/>
              <w:right w:val="nil"/>
            </w:tcBorders>
            <w:shd w:val="clear" w:color="auto" w:fill="auto"/>
            <w:vAlign w:val="center"/>
            <w:hideMark/>
          </w:tcPr>
          <w:p w14:paraId="1999FE9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(36%)</w:t>
            </w:r>
          </w:p>
        </w:tc>
        <w:tc>
          <w:tcPr>
            <w:tcW w:w="1280" w:type="dxa"/>
            <w:tcBorders>
              <w:top w:val="nil"/>
              <w:left w:val="nil"/>
              <w:bottom w:val="nil"/>
              <w:right w:val="nil"/>
            </w:tcBorders>
            <w:shd w:val="clear" w:color="auto" w:fill="auto"/>
            <w:vAlign w:val="center"/>
            <w:hideMark/>
          </w:tcPr>
          <w:p w14:paraId="43C9747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14 (18%)</w:t>
            </w:r>
          </w:p>
        </w:tc>
        <w:tc>
          <w:tcPr>
            <w:tcW w:w="1266" w:type="dxa"/>
            <w:tcBorders>
              <w:top w:val="nil"/>
              <w:left w:val="nil"/>
              <w:bottom w:val="nil"/>
              <w:right w:val="nil"/>
            </w:tcBorders>
            <w:shd w:val="clear" w:color="auto" w:fill="auto"/>
            <w:vAlign w:val="center"/>
            <w:hideMark/>
          </w:tcPr>
          <w:p w14:paraId="2285339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0.066</w:t>
            </w:r>
          </w:p>
        </w:tc>
        <w:tc>
          <w:tcPr>
            <w:tcW w:w="1289" w:type="dxa"/>
            <w:tcBorders>
              <w:top w:val="nil"/>
              <w:left w:val="nil"/>
              <w:bottom w:val="nil"/>
              <w:right w:val="nil"/>
            </w:tcBorders>
            <w:shd w:val="clear" w:color="auto" w:fill="auto"/>
            <w:vAlign w:val="center"/>
            <w:hideMark/>
          </w:tcPr>
          <w:p w14:paraId="6B18CE8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14 (32%)</w:t>
            </w:r>
          </w:p>
        </w:tc>
        <w:tc>
          <w:tcPr>
            <w:tcW w:w="1278" w:type="dxa"/>
            <w:tcBorders>
              <w:top w:val="nil"/>
              <w:left w:val="nil"/>
              <w:bottom w:val="nil"/>
              <w:right w:val="nil"/>
            </w:tcBorders>
            <w:shd w:val="clear" w:color="auto" w:fill="auto"/>
            <w:vAlign w:val="center"/>
            <w:hideMark/>
          </w:tcPr>
          <w:p w14:paraId="31B793A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(15%)</w:t>
            </w:r>
          </w:p>
        </w:tc>
        <w:tc>
          <w:tcPr>
            <w:tcW w:w="1266" w:type="dxa"/>
            <w:tcBorders>
              <w:top w:val="nil"/>
              <w:left w:val="nil"/>
              <w:bottom w:val="nil"/>
              <w:right w:val="nil"/>
            </w:tcBorders>
            <w:shd w:val="clear" w:color="auto" w:fill="auto"/>
            <w:vAlign w:val="center"/>
            <w:hideMark/>
          </w:tcPr>
          <w:p w14:paraId="6AA8C86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0.045</w:t>
            </w:r>
          </w:p>
        </w:tc>
      </w:tr>
      <w:tr w:rsidR="00172ED8" w:rsidRPr="00172ED8" w14:paraId="0BD436E2" w14:textId="77777777" w:rsidTr="55C8311A">
        <w:trPr>
          <w:trHeight w:val="260"/>
        </w:trPr>
        <w:tc>
          <w:tcPr>
            <w:tcW w:w="1388" w:type="dxa"/>
            <w:vMerge/>
            <w:vAlign w:val="center"/>
            <w:hideMark/>
          </w:tcPr>
          <w:p w14:paraId="14350DE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5263008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UTI (n = 21), n (%)</w:t>
            </w:r>
          </w:p>
        </w:tc>
        <w:tc>
          <w:tcPr>
            <w:tcW w:w="1289" w:type="dxa"/>
            <w:tcBorders>
              <w:top w:val="nil"/>
              <w:left w:val="nil"/>
              <w:bottom w:val="nil"/>
              <w:right w:val="nil"/>
            </w:tcBorders>
            <w:shd w:val="clear" w:color="auto" w:fill="auto"/>
            <w:vAlign w:val="center"/>
            <w:hideMark/>
          </w:tcPr>
          <w:p w14:paraId="3B17276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4 (18%)</w:t>
            </w:r>
          </w:p>
        </w:tc>
        <w:tc>
          <w:tcPr>
            <w:tcW w:w="1280" w:type="dxa"/>
            <w:tcBorders>
              <w:top w:val="nil"/>
              <w:left w:val="nil"/>
              <w:bottom w:val="nil"/>
              <w:right w:val="nil"/>
            </w:tcBorders>
            <w:shd w:val="clear" w:color="auto" w:fill="auto"/>
            <w:vAlign w:val="center"/>
            <w:hideMark/>
          </w:tcPr>
          <w:p w14:paraId="0250AD9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17 (22%)</w:t>
            </w:r>
          </w:p>
        </w:tc>
        <w:tc>
          <w:tcPr>
            <w:tcW w:w="1266" w:type="dxa"/>
            <w:tcBorders>
              <w:top w:val="nil"/>
              <w:left w:val="nil"/>
              <w:bottom w:val="nil"/>
              <w:right w:val="nil"/>
            </w:tcBorders>
            <w:shd w:val="clear" w:color="auto" w:fill="auto"/>
            <w:vAlign w:val="center"/>
            <w:hideMark/>
          </w:tcPr>
          <w:p w14:paraId="6C20FCC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0.713</w:t>
            </w:r>
          </w:p>
        </w:tc>
        <w:tc>
          <w:tcPr>
            <w:tcW w:w="1289" w:type="dxa"/>
            <w:tcBorders>
              <w:top w:val="nil"/>
              <w:left w:val="nil"/>
              <w:bottom w:val="nil"/>
              <w:right w:val="nil"/>
            </w:tcBorders>
            <w:shd w:val="clear" w:color="auto" w:fill="auto"/>
            <w:vAlign w:val="center"/>
            <w:hideMark/>
          </w:tcPr>
          <w:p w14:paraId="488F617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12 (27%)</w:t>
            </w:r>
          </w:p>
        </w:tc>
        <w:tc>
          <w:tcPr>
            <w:tcW w:w="1278" w:type="dxa"/>
            <w:tcBorders>
              <w:top w:val="nil"/>
              <w:left w:val="nil"/>
              <w:bottom w:val="nil"/>
              <w:right w:val="nil"/>
            </w:tcBorders>
            <w:shd w:val="clear" w:color="auto" w:fill="auto"/>
            <w:vAlign w:val="center"/>
            <w:hideMark/>
          </w:tcPr>
          <w:p w14:paraId="3F9A57D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9 (17%)</w:t>
            </w:r>
          </w:p>
        </w:tc>
        <w:tc>
          <w:tcPr>
            <w:tcW w:w="1266" w:type="dxa"/>
            <w:tcBorders>
              <w:top w:val="nil"/>
              <w:left w:val="nil"/>
              <w:bottom w:val="nil"/>
              <w:right w:val="nil"/>
            </w:tcBorders>
            <w:shd w:val="clear" w:color="auto" w:fill="auto"/>
            <w:vAlign w:val="center"/>
            <w:hideMark/>
          </w:tcPr>
          <w:p w14:paraId="1F29800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0.203</w:t>
            </w:r>
          </w:p>
        </w:tc>
      </w:tr>
      <w:tr w:rsidR="00172ED8" w:rsidRPr="00172ED8" w14:paraId="30F61A56" w14:textId="77777777" w:rsidTr="55C8311A">
        <w:trPr>
          <w:trHeight w:val="260"/>
        </w:trPr>
        <w:tc>
          <w:tcPr>
            <w:tcW w:w="1388" w:type="dxa"/>
            <w:vMerge/>
            <w:vAlign w:val="center"/>
            <w:hideMark/>
          </w:tcPr>
          <w:p w14:paraId="674A378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2540C4B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SSTI (n = 47), n (%)</w:t>
            </w:r>
          </w:p>
        </w:tc>
        <w:tc>
          <w:tcPr>
            <w:tcW w:w="1289" w:type="dxa"/>
            <w:tcBorders>
              <w:top w:val="nil"/>
              <w:left w:val="nil"/>
              <w:bottom w:val="nil"/>
              <w:right w:val="nil"/>
            </w:tcBorders>
            <w:shd w:val="clear" w:color="auto" w:fill="auto"/>
            <w:vAlign w:val="center"/>
            <w:hideMark/>
          </w:tcPr>
          <w:p w14:paraId="40C8047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(36%)</w:t>
            </w:r>
          </w:p>
        </w:tc>
        <w:tc>
          <w:tcPr>
            <w:tcW w:w="1280" w:type="dxa"/>
            <w:tcBorders>
              <w:top w:val="nil"/>
              <w:left w:val="nil"/>
              <w:bottom w:val="nil"/>
              <w:right w:val="nil"/>
            </w:tcBorders>
            <w:shd w:val="clear" w:color="auto" w:fill="auto"/>
            <w:vAlign w:val="center"/>
            <w:hideMark/>
          </w:tcPr>
          <w:p w14:paraId="5460FEF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39 (50%)</w:t>
            </w:r>
          </w:p>
        </w:tc>
        <w:tc>
          <w:tcPr>
            <w:tcW w:w="1266" w:type="dxa"/>
            <w:tcBorders>
              <w:top w:val="nil"/>
              <w:left w:val="nil"/>
              <w:bottom w:val="nil"/>
              <w:right w:val="nil"/>
            </w:tcBorders>
            <w:shd w:val="clear" w:color="auto" w:fill="auto"/>
            <w:vAlign w:val="center"/>
            <w:hideMark/>
          </w:tcPr>
          <w:p w14:paraId="2822DFA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0.258</w:t>
            </w:r>
          </w:p>
        </w:tc>
        <w:tc>
          <w:tcPr>
            <w:tcW w:w="1289" w:type="dxa"/>
            <w:tcBorders>
              <w:top w:val="nil"/>
              <w:left w:val="nil"/>
              <w:bottom w:val="nil"/>
              <w:right w:val="nil"/>
            </w:tcBorders>
            <w:shd w:val="clear" w:color="auto" w:fill="auto"/>
            <w:vAlign w:val="center"/>
            <w:hideMark/>
          </w:tcPr>
          <w:p w14:paraId="5CEA651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15 (34%)</w:t>
            </w:r>
          </w:p>
        </w:tc>
        <w:tc>
          <w:tcPr>
            <w:tcW w:w="1278" w:type="dxa"/>
            <w:tcBorders>
              <w:top w:val="nil"/>
              <w:left w:val="nil"/>
              <w:bottom w:val="nil"/>
              <w:right w:val="nil"/>
            </w:tcBorders>
            <w:shd w:val="clear" w:color="auto" w:fill="auto"/>
            <w:vAlign w:val="center"/>
            <w:hideMark/>
          </w:tcPr>
          <w:p w14:paraId="27357E1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32 (59%)</w:t>
            </w:r>
          </w:p>
        </w:tc>
        <w:tc>
          <w:tcPr>
            <w:tcW w:w="1266" w:type="dxa"/>
            <w:tcBorders>
              <w:top w:val="nil"/>
              <w:left w:val="nil"/>
              <w:bottom w:val="nil"/>
              <w:right w:val="nil"/>
            </w:tcBorders>
            <w:shd w:val="clear" w:color="auto" w:fill="auto"/>
            <w:vAlign w:val="center"/>
            <w:hideMark/>
          </w:tcPr>
          <w:p w14:paraId="4A325A6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0.013</w:t>
            </w:r>
          </w:p>
        </w:tc>
      </w:tr>
      <w:tr w:rsidR="00172ED8" w:rsidRPr="00172ED8" w14:paraId="0703B507" w14:textId="77777777" w:rsidTr="55C8311A">
        <w:trPr>
          <w:trHeight w:val="280"/>
        </w:trPr>
        <w:tc>
          <w:tcPr>
            <w:tcW w:w="1388" w:type="dxa"/>
            <w:vMerge/>
            <w:vAlign w:val="center"/>
            <w:hideMark/>
          </w:tcPr>
          <w:p w14:paraId="6C5D253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single" w:sz="8" w:space="0" w:color="auto"/>
              <w:right w:val="nil"/>
            </w:tcBorders>
            <w:shd w:val="clear" w:color="auto" w:fill="auto"/>
            <w:vAlign w:val="center"/>
            <w:hideMark/>
          </w:tcPr>
          <w:p w14:paraId="4C689B5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Other (n = 10), n (%)</w:t>
            </w:r>
          </w:p>
        </w:tc>
        <w:tc>
          <w:tcPr>
            <w:tcW w:w="1289" w:type="dxa"/>
            <w:tcBorders>
              <w:top w:val="nil"/>
              <w:left w:val="nil"/>
              <w:bottom w:val="single" w:sz="8" w:space="0" w:color="auto"/>
              <w:right w:val="nil"/>
            </w:tcBorders>
            <w:shd w:val="clear" w:color="auto" w:fill="auto"/>
            <w:vAlign w:val="center"/>
            <w:hideMark/>
          </w:tcPr>
          <w:p w14:paraId="641D6BF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 (9%)</w:t>
            </w:r>
          </w:p>
        </w:tc>
        <w:tc>
          <w:tcPr>
            <w:tcW w:w="1280" w:type="dxa"/>
            <w:tcBorders>
              <w:top w:val="nil"/>
              <w:left w:val="nil"/>
              <w:bottom w:val="single" w:sz="8" w:space="0" w:color="auto"/>
              <w:right w:val="nil"/>
            </w:tcBorders>
            <w:shd w:val="clear" w:color="auto" w:fill="auto"/>
            <w:vAlign w:val="center"/>
            <w:hideMark/>
          </w:tcPr>
          <w:p w14:paraId="57C2F3F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(10%)</w:t>
            </w:r>
          </w:p>
        </w:tc>
        <w:tc>
          <w:tcPr>
            <w:tcW w:w="1266" w:type="dxa"/>
            <w:tcBorders>
              <w:top w:val="nil"/>
              <w:left w:val="nil"/>
              <w:bottom w:val="single" w:sz="8" w:space="0" w:color="auto"/>
              <w:right w:val="nil"/>
            </w:tcBorders>
            <w:shd w:val="clear" w:color="auto" w:fill="auto"/>
            <w:vAlign w:val="center"/>
            <w:hideMark/>
          </w:tcPr>
          <w:p w14:paraId="6D16F8E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0.872</w:t>
            </w:r>
          </w:p>
        </w:tc>
        <w:tc>
          <w:tcPr>
            <w:tcW w:w="1289" w:type="dxa"/>
            <w:tcBorders>
              <w:top w:val="nil"/>
              <w:left w:val="nil"/>
              <w:bottom w:val="single" w:sz="8" w:space="0" w:color="auto"/>
              <w:right w:val="nil"/>
            </w:tcBorders>
            <w:shd w:val="clear" w:color="auto" w:fill="auto"/>
            <w:vAlign w:val="center"/>
            <w:hideMark/>
          </w:tcPr>
          <w:p w14:paraId="2558183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 (7%)</w:t>
            </w:r>
          </w:p>
        </w:tc>
        <w:tc>
          <w:tcPr>
            <w:tcW w:w="1278" w:type="dxa"/>
            <w:tcBorders>
              <w:top w:val="nil"/>
              <w:left w:val="nil"/>
              <w:bottom w:val="single" w:sz="8" w:space="0" w:color="auto"/>
              <w:right w:val="nil"/>
            </w:tcBorders>
            <w:shd w:val="clear" w:color="auto" w:fill="auto"/>
            <w:vAlign w:val="center"/>
            <w:hideMark/>
          </w:tcPr>
          <w:p w14:paraId="3FA54BA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5 (9%)</w:t>
            </w:r>
          </w:p>
        </w:tc>
        <w:tc>
          <w:tcPr>
            <w:tcW w:w="1266" w:type="dxa"/>
            <w:tcBorders>
              <w:top w:val="nil"/>
              <w:left w:val="nil"/>
              <w:bottom w:val="single" w:sz="8" w:space="0" w:color="auto"/>
              <w:right w:val="nil"/>
            </w:tcBorders>
            <w:shd w:val="clear" w:color="auto" w:fill="auto"/>
            <w:vAlign w:val="center"/>
            <w:hideMark/>
          </w:tcPr>
          <w:p w14:paraId="4353E11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0.661</w:t>
            </w:r>
          </w:p>
        </w:tc>
      </w:tr>
      <w:tr w:rsidR="00172ED8" w:rsidRPr="00172ED8" w14:paraId="6BD0619F" w14:textId="77777777" w:rsidTr="55C8311A">
        <w:trPr>
          <w:trHeight w:val="260"/>
        </w:trPr>
        <w:tc>
          <w:tcPr>
            <w:tcW w:w="1388" w:type="dxa"/>
            <w:vMerge w:val="restart"/>
            <w:tcBorders>
              <w:top w:val="nil"/>
              <w:left w:val="nil"/>
              <w:bottom w:val="single" w:sz="8" w:space="0" w:color="000000" w:themeColor="text1"/>
              <w:right w:val="nil"/>
            </w:tcBorders>
            <w:shd w:val="clear" w:color="auto" w:fill="auto"/>
            <w:vAlign w:val="center"/>
            <w:hideMark/>
          </w:tcPr>
          <w:p w14:paraId="3444703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Clinical Data &amp; Admission Details</w:t>
            </w:r>
          </w:p>
        </w:tc>
        <w:tc>
          <w:tcPr>
            <w:tcW w:w="2842" w:type="dxa"/>
            <w:tcBorders>
              <w:top w:val="nil"/>
              <w:left w:val="nil"/>
              <w:bottom w:val="nil"/>
              <w:right w:val="nil"/>
            </w:tcBorders>
            <w:shd w:val="clear" w:color="auto" w:fill="auto"/>
            <w:vAlign w:val="center"/>
            <w:hideMark/>
          </w:tcPr>
          <w:p w14:paraId="40928B7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Length of stay, median days (IQR)</w:t>
            </w:r>
          </w:p>
        </w:tc>
        <w:tc>
          <w:tcPr>
            <w:tcW w:w="1289" w:type="dxa"/>
            <w:tcBorders>
              <w:top w:val="nil"/>
              <w:left w:val="nil"/>
              <w:bottom w:val="nil"/>
              <w:right w:val="nil"/>
            </w:tcBorders>
            <w:shd w:val="clear" w:color="auto" w:fill="auto"/>
            <w:vAlign w:val="center"/>
            <w:hideMark/>
          </w:tcPr>
          <w:p w14:paraId="50FCE34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2.3 (1.5, 4.0)</w:t>
            </w:r>
          </w:p>
        </w:tc>
        <w:tc>
          <w:tcPr>
            <w:tcW w:w="1280" w:type="dxa"/>
            <w:tcBorders>
              <w:top w:val="nil"/>
              <w:left w:val="nil"/>
              <w:bottom w:val="nil"/>
              <w:right w:val="nil"/>
            </w:tcBorders>
            <w:shd w:val="clear" w:color="auto" w:fill="auto"/>
            <w:vAlign w:val="center"/>
            <w:hideMark/>
          </w:tcPr>
          <w:p w14:paraId="10A87B4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3.0 (1.9, 4.2)</w:t>
            </w:r>
          </w:p>
        </w:tc>
        <w:tc>
          <w:tcPr>
            <w:tcW w:w="1266" w:type="dxa"/>
            <w:tcBorders>
              <w:top w:val="nil"/>
              <w:left w:val="nil"/>
              <w:bottom w:val="nil"/>
              <w:right w:val="nil"/>
            </w:tcBorders>
            <w:shd w:val="clear" w:color="auto" w:fill="auto"/>
            <w:vAlign w:val="center"/>
            <w:hideMark/>
          </w:tcPr>
          <w:p w14:paraId="2A8E342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0.341</w:t>
            </w:r>
          </w:p>
        </w:tc>
        <w:tc>
          <w:tcPr>
            <w:tcW w:w="1289" w:type="dxa"/>
            <w:tcBorders>
              <w:top w:val="nil"/>
              <w:left w:val="nil"/>
              <w:bottom w:val="nil"/>
              <w:right w:val="nil"/>
            </w:tcBorders>
            <w:shd w:val="clear" w:color="auto" w:fill="auto"/>
            <w:vAlign w:val="center"/>
            <w:hideMark/>
          </w:tcPr>
          <w:p w14:paraId="2C72879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2.2 (1.7, 4.1)</w:t>
            </w:r>
          </w:p>
        </w:tc>
        <w:tc>
          <w:tcPr>
            <w:tcW w:w="1278" w:type="dxa"/>
            <w:tcBorders>
              <w:top w:val="nil"/>
              <w:left w:val="nil"/>
              <w:bottom w:val="nil"/>
              <w:right w:val="nil"/>
            </w:tcBorders>
            <w:shd w:val="clear" w:color="auto" w:fill="auto"/>
            <w:vAlign w:val="center"/>
            <w:hideMark/>
          </w:tcPr>
          <w:p w14:paraId="40C88F2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3.0 (2.6, 4.6)</w:t>
            </w:r>
          </w:p>
        </w:tc>
        <w:tc>
          <w:tcPr>
            <w:tcW w:w="1266" w:type="dxa"/>
            <w:tcBorders>
              <w:top w:val="nil"/>
              <w:left w:val="nil"/>
              <w:bottom w:val="nil"/>
              <w:right w:val="nil"/>
            </w:tcBorders>
            <w:shd w:val="clear" w:color="auto" w:fill="auto"/>
            <w:vAlign w:val="center"/>
            <w:hideMark/>
          </w:tcPr>
          <w:p w14:paraId="6927FF0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0.423</w:t>
            </w:r>
          </w:p>
        </w:tc>
      </w:tr>
      <w:tr w:rsidR="00172ED8" w:rsidRPr="00172ED8" w14:paraId="58ED331D" w14:textId="77777777" w:rsidTr="55C8311A">
        <w:trPr>
          <w:trHeight w:val="260"/>
        </w:trPr>
        <w:tc>
          <w:tcPr>
            <w:tcW w:w="1388" w:type="dxa"/>
            <w:vMerge/>
            <w:vAlign w:val="center"/>
            <w:hideMark/>
          </w:tcPr>
          <w:p w14:paraId="343E138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4C7F611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Culture data available, n (%)</w:t>
            </w:r>
          </w:p>
        </w:tc>
        <w:tc>
          <w:tcPr>
            <w:tcW w:w="1289" w:type="dxa"/>
            <w:tcBorders>
              <w:top w:val="nil"/>
              <w:left w:val="nil"/>
              <w:bottom w:val="nil"/>
              <w:right w:val="nil"/>
            </w:tcBorders>
            <w:shd w:val="clear" w:color="auto" w:fill="auto"/>
            <w:vAlign w:val="center"/>
            <w:hideMark/>
          </w:tcPr>
          <w:p w14:paraId="4DBC29F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10 (46%)</w:t>
            </w:r>
          </w:p>
        </w:tc>
        <w:tc>
          <w:tcPr>
            <w:tcW w:w="1280" w:type="dxa"/>
            <w:tcBorders>
              <w:top w:val="nil"/>
              <w:left w:val="nil"/>
              <w:bottom w:val="nil"/>
              <w:right w:val="nil"/>
            </w:tcBorders>
            <w:shd w:val="clear" w:color="auto" w:fill="auto"/>
            <w:vAlign w:val="center"/>
            <w:hideMark/>
          </w:tcPr>
          <w:p w14:paraId="46A2993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35 (45%)</w:t>
            </w:r>
          </w:p>
        </w:tc>
        <w:tc>
          <w:tcPr>
            <w:tcW w:w="1266" w:type="dxa"/>
            <w:tcBorders>
              <w:top w:val="nil"/>
              <w:left w:val="nil"/>
              <w:bottom w:val="nil"/>
              <w:right w:val="nil"/>
            </w:tcBorders>
            <w:shd w:val="clear" w:color="auto" w:fill="auto"/>
            <w:vAlign w:val="center"/>
            <w:hideMark/>
          </w:tcPr>
          <w:p w14:paraId="66DC741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0.961</w:t>
            </w:r>
          </w:p>
        </w:tc>
        <w:tc>
          <w:tcPr>
            <w:tcW w:w="1289" w:type="dxa"/>
            <w:tcBorders>
              <w:top w:val="nil"/>
              <w:left w:val="nil"/>
              <w:bottom w:val="nil"/>
              <w:right w:val="nil"/>
            </w:tcBorders>
            <w:shd w:val="clear" w:color="auto" w:fill="auto"/>
            <w:vAlign w:val="center"/>
            <w:hideMark/>
          </w:tcPr>
          <w:p w14:paraId="325EC7D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24 (55%)</w:t>
            </w:r>
          </w:p>
        </w:tc>
        <w:tc>
          <w:tcPr>
            <w:tcW w:w="1278" w:type="dxa"/>
            <w:tcBorders>
              <w:top w:val="nil"/>
              <w:left w:val="nil"/>
              <w:bottom w:val="nil"/>
              <w:right w:val="nil"/>
            </w:tcBorders>
            <w:shd w:val="clear" w:color="auto" w:fill="auto"/>
            <w:vAlign w:val="center"/>
            <w:hideMark/>
          </w:tcPr>
          <w:p w14:paraId="7926288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21 (39%)</w:t>
            </w:r>
          </w:p>
        </w:tc>
        <w:tc>
          <w:tcPr>
            <w:tcW w:w="1266" w:type="dxa"/>
            <w:tcBorders>
              <w:top w:val="nil"/>
              <w:left w:val="nil"/>
              <w:bottom w:val="nil"/>
              <w:right w:val="nil"/>
            </w:tcBorders>
            <w:shd w:val="clear" w:color="auto" w:fill="auto"/>
            <w:vAlign w:val="center"/>
            <w:hideMark/>
          </w:tcPr>
          <w:p w14:paraId="47ED823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0.122</w:t>
            </w:r>
          </w:p>
        </w:tc>
      </w:tr>
      <w:tr w:rsidR="00172ED8" w:rsidRPr="00172ED8" w14:paraId="1FBADE25" w14:textId="77777777" w:rsidTr="55C8311A">
        <w:trPr>
          <w:trHeight w:val="260"/>
        </w:trPr>
        <w:tc>
          <w:tcPr>
            <w:tcW w:w="1388" w:type="dxa"/>
            <w:vMerge/>
            <w:vAlign w:val="center"/>
            <w:hideMark/>
          </w:tcPr>
          <w:p w14:paraId="1ECEBDD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7C56E1C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ID consultant involved, n (%)</w:t>
            </w:r>
          </w:p>
        </w:tc>
        <w:tc>
          <w:tcPr>
            <w:tcW w:w="1289" w:type="dxa"/>
            <w:tcBorders>
              <w:top w:val="nil"/>
              <w:left w:val="nil"/>
              <w:bottom w:val="nil"/>
              <w:right w:val="nil"/>
            </w:tcBorders>
            <w:shd w:val="clear" w:color="auto" w:fill="auto"/>
            <w:vAlign w:val="center"/>
            <w:hideMark/>
          </w:tcPr>
          <w:p w14:paraId="2C20CAB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 (9%)</w:t>
            </w:r>
          </w:p>
        </w:tc>
        <w:tc>
          <w:tcPr>
            <w:tcW w:w="1280" w:type="dxa"/>
            <w:tcBorders>
              <w:top w:val="nil"/>
              <w:left w:val="nil"/>
              <w:bottom w:val="nil"/>
              <w:right w:val="nil"/>
            </w:tcBorders>
            <w:shd w:val="clear" w:color="auto" w:fill="auto"/>
            <w:vAlign w:val="center"/>
            <w:hideMark/>
          </w:tcPr>
          <w:p w14:paraId="010CA6B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16 (21%)</w:t>
            </w:r>
          </w:p>
        </w:tc>
        <w:tc>
          <w:tcPr>
            <w:tcW w:w="1266" w:type="dxa"/>
            <w:tcBorders>
              <w:top w:val="nil"/>
              <w:left w:val="nil"/>
              <w:bottom w:val="nil"/>
              <w:right w:val="nil"/>
            </w:tcBorders>
            <w:shd w:val="clear" w:color="auto" w:fill="auto"/>
            <w:vAlign w:val="center"/>
            <w:hideMark/>
          </w:tcPr>
          <w:p w14:paraId="5D64A01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0.218</w:t>
            </w:r>
          </w:p>
        </w:tc>
        <w:tc>
          <w:tcPr>
            <w:tcW w:w="1289" w:type="dxa"/>
            <w:tcBorders>
              <w:top w:val="nil"/>
              <w:left w:val="nil"/>
              <w:bottom w:val="nil"/>
              <w:right w:val="nil"/>
            </w:tcBorders>
            <w:shd w:val="clear" w:color="auto" w:fill="auto"/>
            <w:vAlign w:val="center"/>
            <w:hideMark/>
          </w:tcPr>
          <w:p w14:paraId="785E2B2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 (7%)</w:t>
            </w:r>
          </w:p>
        </w:tc>
        <w:tc>
          <w:tcPr>
            <w:tcW w:w="1278" w:type="dxa"/>
            <w:tcBorders>
              <w:top w:val="nil"/>
              <w:left w:val="nil"/>
              <w:bottom w:val="nil"/>
              <w:right w:val="nil"/>
            </w:tcBorders>
            <w:shd w:val="clear" w:color="auto" w:fill="auto"/>
            <w:vAlign w:val="center"/>
            <w:hideMark/>
          </w:tcPr>
          <w:p w14:paraId="4FAA878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15 (28%)</w:t>
            </w:r>
          </w:p>
        </w:tc>
        <w:tc>
          <w:tcPr>
            <w:tcW w:w="1266" w:type="dxa"/>
            <w:tcBorders>
              <w:top w:val="nil"/>
              <w:left w:val="nil"/>
              <w:bottom w:val="nil"/>
              <w:right w:val="nil"/>
            </w:tcBorders>
            <w:shd w:val="clear" w:color="auto" w:fill="auto"/>
            <w:vAlign w:val="center"/>
            <w:hideMark/>
          </w:tcPr>
          <w:p w14:paraId="5C1F2D5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0.008</w:t>
            </w:r>
          </w:p>
        </w:tc>
      </w:tr>
      <w:tr w:rsidR="00172ED8" w:rsidRPr="00172ED8" w14:paraId="6CAF8972" w14:textId="77777777" w:rsidTr="55C8311A">
        <w:trPr>
          <w:trHeight w:val="260"/>
        </w:trPr>
        <w:tc>
          <w:tcPr>
            <w:tcW w:w="1388" w:type="dxa"/>
            <w:vMerge/>
            <w:vAlign w:val="center"/>
            <w:hideMark/>
          </w:tcPr>
          <w:p w14:paraId="5EE9042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2C51871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Any consultant involved, n (%)</w:t>
            </w:r>
          </w:p>
        </w:tc>
        <w:tc>
          <w:tcPr>
            <w:tcW w:w="1289" w:type="dxa"/>
            <w:tcBorders>
              <w:top w:val="nil"/>
              <w:left w:val="nil"/>
              <w:bottom w:val="nil"/>
              <w:right w:val="nil"/>
            </w:tcBorders>
            <w:shd w:val="clear" w:color="auto" w:fill="auto"/>
            <w:vAlign w:val="center"/>
            <w:hideMark/>
          </w:tcPr>
          <w:p w14:paraId="4EB944C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6 (27%)</w:t>
            </w:r>
          </w:p>
        </w:tc>
        <w:tc>
          <w:tcPr>
            <w:tcW w:w="1280" w:type="dxa"/>
            <w:tcBorders>
              <w:top w:val="nil"/>
              <w:left w:val="nil"/>
              <w:bottom w:val="nil"/>
              <w:right w:val="nil"/>
            </w:tcBorders>
            <w:shd w:val="clear" w:color="auto" w:fill="auto"/>
            <w:vAlign w:val="center"/>
            <w:hideMark/>
          </w:tcPr>
          <w:p w14:paraId="3490F0B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27 (35%)</w:t>
            </w:r>
          </w:p>
        </w:tc>
        <w:tc>
          <w:tcPr>
            <w:tcW w:w="1266" w:type="dxa"/>
            <w:tcBorders>
              <w:top w:val="nil"/>
              <w:left w:val="nil"/>
              <w:bottom w:val="nil"/>
              <w:right w:val="nil"/>
            </w:tcBorders>
            <w:shd w:val="clear" w:color="auto" w:fill="auto"/>
            <w:vAlign w:val="center"/>
            <w:hideMark/>
          </w:tcPr>
          <w:p w14:paraId="3770906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0.518</w:t>
            </w:r>
          </w:p>
        </w:tc>
        <w:tc>
          <w:tcPr>
            <w:tcW w:w="1289" w:type="dxa"/>
            <w:tcBorders>
              <w:top w:val="nil"/>
              <w:left w:val="nil"/>
              <w:bottom w:val="nil"/>
              <w:right w:val="nil"/>
            </w:tcBorders>
            <w:shd w:val="clear" w:color="auto" w:fill="auto"/>
            <w:vAlign w:val="center"/>
            <w:hideMark/>
          </w:tcPr>
          <w:p w14:paraId="7461728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9 (21%)</w:t>
            </w:r>
          </w:p>
        </w:tc>
        <w:tc>
          <w:tcPr>
            <w:tcW w:w="1278" w:type="dxa"/>
            <w:tcBorders>
              <w:top w:val="nil"/>
              <w:left w:val="nil"/>
              <w:bottom w:val="nil"/>
              <w:right w:val="nil"/>
            </w:tcBorders>
            <w:shd w:val="clear" w:color="auto" w:fill="auto"/>
            <w:vAlign w:val="center"/>
            <w:hideMark/>
          </w:tcPr>
          <w:p w14:paraId="5974539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22 (41%)</w:t>
            </w:r>
          </w:p>
        </w:tc>
        <w:tc>
          <w:tcPr>
            <w:tcW w:w="1266" w:type="dxa"/>
            <w:tcBorders>
              <w:top w:val="nil"/>
              <w:left w:val="nil"/>
              <w:bottom w:val="nil"/>
              <w:right w:val="nil"/>
            </w:tcBorders>
            <w:shd w:val="clear" w:color="auto" w:fill="auto"/>
            <w:vAlign w:val="center"/>
            <w:hideMark/>
          </w:tcPr>
          <w:p w14:paraId="5EB826C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0.032</w:t>
            </w:r>
          </w:p>
        </w:tc>
      </w:tr>
      <w:tr w:rsidR="00172ED8" w:rsidRPr="00172ED8" w14:paraId="1700A9D0" w14:textId="77777777" w:rsidTr="55C8311A">
        <w:trPr>
          <w:trHeight w:val="260"/>
        </w:trPr>
        <w:tc>
          <w:tcPr>
            <w:tcW w:w="1388" w:type="dxa"/>
            <w:vMerge/>
            <w:vAlign w:val="center"/>
            <w:hideMark/>
          </w:tcPr>
          <w:p w14:paraId="2538DC3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11640E5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Source control procedure, n (%)</w:t>
            </w:r>
          </w:p>
        </w:tc>
        <w:tc>
          <w:tcPr>
            <w:tcW w:w="1289" w:type="dxa"/>
            <w:tcBorders>
              <w:top w:val="nil"/>
              <w:left w:val="nil"/>
              <w:bottom w:val="nil"/>
              <w:right w:val="nil"/>
            </w:tcBorders>
            <w:shd w:val="clear" w:color="auto" w:fill="auto"/>
            <w:vAlign w:val="center"/>
            <w:hideMark/>
          </w:tcPr>
          <w:p w14:paraId="468788A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5 (23%)</w:t>
            </w:r>
          </w:p>
        </w:tc>
        <w:tc>
          <w:tcPr>
            <w:tcW w:w="1280" w:type="dxa"/>
            <w:tcBorders>
              <w:top w:val="nil"/>
              <w:left w:val="nil"/>
              <w:bottom w:val="nil"/>
              <w:right w:val="nil"/>
            </w:tcBorders>
            <w:shd w:val="clear" w:color="auto" w:fill="auto"/>
            <w:vAlign w:val="center"/>
            <w:hideMark/>
          </w:tcPr>
          <w:p w14:paraId="589184F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16 (21%)</w:t>
            </w:r>
          </w:p>
        </w:tc>
        <w:tc>
          <w:tcPr>
            <w:tcW w:w="1266" w:type="dxa"/>
            <w:tcBorders>
              <w:top w:val="nil"/>
              <w:left w:val="nil"/>
              <w:bottom w:val="nil"/>
              <w:right w:val="nil"/>
            </w:tcBorders>
            <w:shd w:val="clear" w:color="auto" w:fill="auto"/>
            <w:vAlign w:val="center"/>
            <w:hideMark/>
          </w:tcPr>
          <w:p w14:paraId="61A6067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0.822</w:t>
            </w:r>
          </w:p>
        </w:tc>
        <w:tc>
          <w:tcPr>
            <w:tcW w:w="1289" w:type="dxa"/>
            <w:tcBorders>
              <w:top w:val="nil"/>
              <w:left w:val="nil"/>
              <w:bottom w:val="nil"/>
              <w:right w:val="nil"/>
            </w:tcBorders>
            <w:shd w:val="clear" w:color="auto" w:fill="auto"/>
            <w:vAlign w:val="center"/>
            <w:hideMark/>
          </w:tcPr>
          <w:p w14:paraId="3951DE50"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7 (16%)</w:t>
            </w:r>
          </w:p>
        </w:tc>
        <w:tc>
          <w:tcPr>
            <w:tcW w:w="1278" w:type="dxa"/>
            <w:tcBorders>
              <w:top w:val="nil"/>
              <w:left w:val="nil"/>
              <w:bottom w:val="nil"/>
              <w:right w:val="nil"/>
            </w:tcBorders>
            <w:shd w:val="clear" w:color="auto" w:fill="auto"/>
            <w:vAlign w:val="center"/>
            <w:hideMark/>
          </w:tcPr>
          <w:p w14:paraId="14CA84EC"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14 (26%)</w:t>
            </w:r>
          </w:p>
        </w:tc>
        <w:tc>
          <w:tcPr>
            <w:tcW w:w="1266" w:type="dxa"/>
            <w:tcBorders>
              <w:top w:val="nil"/>
              <w:left w:val="nil"/>
              <w:bottom w:val="nil"/>
              <w:right w:val="nil"/>
            </w:tcBorders>
            <w:shd w:val="clear" w:color="auto" w:fill="auto"/>
            <w:vAlign w:val="center"/>
            <w:hideMark/>
          </w:tcPr>
          <w:p w14:paraId="385A0DC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0.229</w:t>
            </w:r>
          </w:p>
        </w:tc>
      </w:tr>
      <w:tr w:rsidR="00172ED8" w:rsidRPr="00172ED8" w14:paraId="11C27054" w14:textId="77777777" w:rsidTr="55C8311A">
        <w:trPr>
          <w:trHeight w:val="260"/>
        </w:trPr>
        <w:tc>
          <w:tcPr>
            <w:tcW w:w="1388" w:type="dxa"/>
            <w:vMerge/>
            <w:vAlign w:val="center"/>
            <w:hideMark/>
          </w:tcPr>
          <w:p w14:paraId="0F7F3CD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1F4E11B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"Slow to respond" </w:t>
            </w:r>
            <w:r w:rsidRPr="00172ED8">
              <w:rPr>
                <w:rFonts w:ascii="Times New Roman" w:eastAsia="Times New Roman" w:hAnsi="Times New Roman" w:cs="Times New Roman"/>
                <w:color w:val="000000"/>
                <w:sz w:val="16"/>
                <w:szCs w:val="16"/>
                <w:vertAlign w:val="superscript"/>
                <w:lang w:val="en-US"/>
              </w:rPr>
              <w:t>b</w:t>
            </w:r>
            <w:r w:rsidRPr="00172ED8">
              <w:rPr>
                <w:rFonts w:ascii="Times New Roman" w:eastAsia="Times New Roman" w:hAnsi="Times New Roman" w:cs="Times New Roman"/>
                <w:color w:val="000000"/>
                <w:sz w:val="16"/>
                <w:szCs w:val="16"/>
                <w:lang w:val="en-US"/>
              </w:rPr>
              <w:t>, n (%)</w:t>
            </w:r>
          </w:p>
        </w:tc>
        <w:tc>
          <w:tcPr>
            <w:tcW w:w="1289" w:type="dxa"/>
            <w:tcBorders>
              <w:top w:val="nil"/>
              <w:left w:val="nil"/>
              <w:bottom w:val="nil"/>
              <w:right w:val="nil"/>
            </w:tcBorders>
            <w:shd w:val="clear" w:color="auto" w:fill="auto"/>
            <w:vAlign w:val="center"/>
            <w:hideMark/>
          </w:tcPr>
          <w:p w14:paraId="110AA53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 (5%)</w:t>
            </w:r>
          </w:p>
        </w:tc>
        <w:tc>
          <w:tcPr>
            <w:tcW w:w="1280" w:type="dxa"/>
            <w:tcBorders>
              <w:top w:val="nil"/>
              <w:left w:val="nil"/>
              <w:bottom w:val="nil"/>
              <w:right w:val="nil"/>
            </w:tcBorders>
            <w:shd w:val="clear" w:color="auto" w:fill="auto"/>
            <w:vAlign w:val="center"/>
            <w:hideMark/>
          </w:tcPr>
          <w:p w14:paraId="60714C54"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(10%)</w:t>
            </w:r>
          </w:p>
        </w:tc>
        <w:tc>
          <w:tcPr>
            <w:tcW w:w="1266" w:type="dxa"/>
            <w:tcBorders>
              <w:top w:val="nil"/>
              <w:left w:val="nil"/>
              <w:bottom w:val="nil"/>
              <w:right w:val="nil"/>
            </w:tcBorders>
            <w:shd w:val="clear" w:color="auto" w:fill="auto"/>
            <w:vAlign w:val="center"/>
            <w:hideMark/>
          </w:tcPr>
          <w:p w14:paraId="758A1D6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0.408</w:t>
            </w:r>
          </w:p>
        </w:tc>
        <w:tc>
          <w:tcPr>
            <w:tcW w:w="1289" w:type="dxa"/>
            <w:tcBorders>
              <w:top w:val="nil"/>
              <w:left w:val="nil"/>
              <w:bottom w:val="nil"/>
              <w:right w:val="nil"/>
            </w:tcBorders>
            <w:shd w:val="clear" w:color="auto" w:fill="auto"/>
            <w:vAlign w:val="center"/>
            <w:hideMark/>
          </w:tcPr>
          <w:p w14:paraId="4E98333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 (5%)</w:t>
            </w:r>
          </w:p>
        </w:tc>
        <w:tc>
          <w:tcPr>
            <w:tcW w:w="1278" w:type="dxa"/>
            <w:tcBorders>
              <w:top w:val="nil"/>
              <w:left w:val="nil"/>
              <w:bottom w:val="nil"/>
              <w:right w:val="nil"/>
            </w:tcBorders>
            <w:shd w:val="clear" w:color="auto" w:fill="auto"/>
            <w:vAlign w:val="center"/>
            <w:hideMark/>
          </w:tcPr>
          <w:p w14:paraId="3FF2BE8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7 (13%)</w:t>
            </w:r>
          </w:p>
        </w:tc>
        <w:tc>
          <w:tcPr>
            <w:tcW w:w="1266" w:type="dxa"/>
            <w:tcBorders>
              <w:top w:val="nil"/>
              <w:left w:val="nil"/>
              <w:bottom w:val="nil"/>
              <w:right w:val="nil"/>
            </w:tcBorders>
            <w:shd w:val="clear" w:color="auto" w:fill="auto"/>
            <w:vAlign w:val="center"/>
            <w:hideMark/>
          </w:tcPr>
          <w:p w14:paraId="5E84BF5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0.151</w:t>
            </w:r>
          </w:p>
        </w:tc>
      </w:tr>
      <w:tr w:rsidR="00172ED8" w:rsidRPr="00172ED8" w14:paraId="0BA849C4" w14:textId="77777777" w:rsidTr="55C8311A">
        <w:trPr>
          <w:trHeight w:val="260"/>
        </w:trPr>
        <w:tc>
          <w:tcPr>
            <w:tcW w:w="1388" w:type="dxa"/>
            <w:vMerge/>
            <w:vAlign w:val="center"/>
            <w:hideMark/>
          </w:tcPr>
          <w:p w14:paraId="6B5BFF16"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4355CE2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 xml:space="preserve">"Failed outpatient therapy" </w:t>
            </w:r>
            <w:r w:rsidRPr="00172ED8">
              <w:rPr>
                <w:rFonts w:ascii="Times New Roman" w:eastAsia="Times New Roman" w:hAnsi="Times New Roman" w:cs="Times New Roman"/>
                <w:color w:val="000000"/>
                <w:sz w:val="16"/>
                <w:szCs w:val="16"/>
                <w:vertAlign w:val="superscript"/>
                <w:lang w:val="en-US"/>
              </w:rPr>
              <w:t>c</w:t>
            </w:r>
            <w:r w:rsidRPr="00172ED8">
              <w:rPr>
                <w:rFonts w:ascii="Times New Roman" w:eastAsia="Times New Roman" w:hAnsi="Times New Roman" w:cs="Times New Roman"/>
                <w:color w:val="000000"/>
                <w:sz w:val="16"/>
                <w:szCs w:val="16"/>
                <w:lang w:val="en-US"/>
              </w:rPr>
              <w:t>, n (%)</w:t>
            </w:r>
          </w:p>
        </w:tc>
        <w:tc>
          <w:tcPr>
            <w:tcW w:w="1289" w:type="dxa"/>
            <w:tcBorders>
              <w:top w:val="nil"/>
              <w:left w:val="nil"/>
              <w:bottom w:val="nil"/>
              <w:right w:val="nil"/>
            </w:tcBorders>
            <w:shd w:val="clear" w:color="auto" w:fill="auto"/>
            <w:vAlign w:val="center"/>
            <w:hideMark/>
          </w:tcPr>
          <w:p w14:paraId="4DD27C0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4 (18%)</w:t>
            </w:r>
          </w:p>
        </w:tc>
        <w:tc>
          <w:tcPr>
            <w:tcW w:w="1280" w:type="dxa"/>
            <w:tcBorders>
              <w:top w:val="nil"/>
              <w:left w:val="nil"/>
              <w:bottom w:val="nil"/>
              <w:right w:val="nil"/>
            </w:tcBorders>
            <w:shd w:val="clear" w:color="auto" w:fill="auto"/>
            <w:vAlign w:val="center"/>
            <w:hideMark/>
          </w:tcPr>
          <w:p w14:paraId="1EEC9B18"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8 (10%)</w:t>
            </w:r>
          </w:p>
        </w:tc>
        <w:tc>
          <w:tcPr>
            <w:tcW w:w="1266" w:type="dxa"/>
            <w:tcBorders>
              <w:top w:val="nil"/>
              <w:left w:val="nil"/>
              <w:bottom w:val="nil"/>
              <w:right w:val="nil"/>
            </w:tcBorders>
            <w:shd w:val="clear" w:color="auto" w:fill="auto"/>
            <w:vAlign w:val="center"/>
            <w:hideMark/>
          </w:tcPr>
          <w:p w14:paraId="7606A1E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0.312</w:t>
            </w:r>
          </w:p>
        </w:tc>
        <w:tc>
          <w:tcPr>
            <w:tcW w:w="1289" w:type="dxa"/>
            <w:tcBorders>
              <w:top w:val="nil"/>
              <w:left w:val="nil"/>
              <w:bottom w:val="nil"/>
              <w:right w:val="nil"/>
            </w:tcBorders>
            <w:shd w:val="clear" w:color="auto" w:fill="auto"/>
            <w:vAlign w:val="center"/>
            <w:hideMark/>
          </w:tcPr>
          <w:p w14:paraId="777F533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5 (11%)</w:t>
            </w:r>
          </w:p>
        </w:tc>
        <w:tc>
          <w:tcPr>
            <w:tcW w:w="1278" w:type="dxa"/>
            <w:tcBorders>
              <w:top w:val="nil"/>
              <w:left w:val="nil"/>
              <w:bottom w:val="nil"/>
              <w:right w:val="nil"/>
            </w:tcBorders>
            <w:shd w:val="clear" w:color="auto" w:fill="auto"/>
            <w:vAlign w:val="center"/>
            <w:hideMark/>
          </w:tcPr>
          <w:p w14:paraId="6AA78B4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6 (11%)</w:t>
            </w:r>
          </w:p>
        </w:tc>
        <w:tc>
          <w:tcPr>
            <w:tcW w:w="1266" w:type="dxa"/>
            <w:tcBorders>
              <w:top w:val="nil"/>
              <w:left w:val="nil"/>
              <w:bottom w:val="nil"/>
              <w:right w:val="nil"/>
            </w:tcBorders>
            <w:shd w:val="clear" w:color="auto" w:fill="auto"/>
            <w:vAlign w:val="center"/>
            <w:hideMark/>
          </w:tcPr>
          <w:p w14:paraId="389785E7"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0.969</w:t>
            </w:r>
          </w:p>
        </w:tc>
      </w:tr>
      <w:tr w:rsidR="00172ED8" w:rsidRPr="00172ED8" w14:paraId="20B7EDC3" w14:textId="77777777" w:rsidTr="55C8311A">
        <w:trPr>
          <w:trHeight w:val="260"/>
        </w:trPr>
        <w:tc>
          <w:tcPr>
            <w:tcW w:w="1388" w:type="dxa"/>
            <w:vMerge/>
            <w:vAlign w:val="center"/>
            <w:hideMark/>
          </w:tcPr>
          <w:p w14:paraId="5222AE3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nil"/>
              <w:right w:val="nil"/>
            </w:tcBorders>
            <w:shd w:val="clear" w:color="auto" w:fill="auto"/>
            <w:vAlign w:val="center"/>
            <w:hideMark/>
          </w:tcPr>
          <w:p w14:paraId="1782F8F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roofErr w:type="spellStart"/>
            <w:r w:rsidRPr="00172ED8">
              <w:rPr>
                <w:rFonts w:ascii="Times New Roman" w:eastAsia="Times New Roman" w:hAnsi="Times New Roman" w:cs="Times New Roman"/>
                <w:color w:val="000000"/>
                <w:sz w:val="16"/>
                <w:szCs w:val="16"/>
                <w:lang w:val="en-US"/>
              </w:rPr>
              <w:t>Flouroquinolone</w:t>
            </w:r>
            <w:proofErr w:type="spellEnd"/>
            <w:r w:rsidRPr="00172ED8">
              <w:rPr>
                <w:rFonts w:ascii="Times New Roman" w:eastAsia="Times New Roman" w:hAnsi="Times New Roman" w:cs="Times New Roman"/>
                <w:color w:val="000000"/>
                <w:sz w:val="16"/>
                <w:szCs w:val="16"/>
                <w:lang w:val="en-US"/>
              </w:rPr>
              <w:t xml:space="preserve"> use, n (%)</w:t>
            </w:r>
          </w:p>
        </w:tc>
        <w:tc>
          <w:tcPr>
            <w:tcW w:w="1289" w:type="dxa"/>
            <w:tcBorders>
              <w:top w:val="nil"/>
              <w:left w:val="nil"/>
              <w:bottom w:val="nil"/>
              <w:right w:val="nil"/>
            </w:tcBorders>
            <w:shd w:val="clear" w:color="auto" w:fill="auto"/>
            <w:vAlign w:val="center"/>
            <w:hideMark/>
          </w:tcPr>
          <w:p w14:paraId="16959B95"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 (0%)</w:t>
            </w:r>
          </w:p>
        </w:tc>
        <w:tc>
          <w:tcPr>
            <w:tcW w:w="1280" w:type="dxa"/>
            <w:tcBorders>
              <w:top w:val="nil"/>
              <w:left w:val="nil"/>
              <w:bottom w:val="nil"/>
              <w:right w:val="nil"/>
            </w:tcBorders>
            <w:shd w:val="clear" w:color="auto" w:fill="auto"/>
            <w:vAlign w:val="center"/>
            <w:hideMark/>
          </w:tcPr>
          <w:p w14:paraId="047E6F0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9 (12%)</w:t>
            </w:r>
          </w:p>
        </w:tc>
        <w:tc>
          <w:tcPr>
            <w:tcW w:w="1266" w:type="dxa"/>
            <w:tcBorders>
              <w:top w:val="nil"/>
              <w:left w:val="nil"/>
              <w:bottom w:val="nil"/>
              <w:right w:val="nil"/>
            </w:tcBorders>
            <w:shd w:val="clear" w:color="auto" w:fill="auto"/>
            <w:vAlign w:val="center"/>
            <w:hideMark/>
          </w:tcPr>
          <w:p w14:paraId="01765FD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0.095</w:t>
            </w:r>
          </w:p>
        </w:tc>
        <w:tc>
          <w:tcPr>
            <w:tcW w:w="1289" w:type="dxa"/>
            <w:tcBorders>
              <w:top w:val="nil"/>
              <w:left w:val="nil"/>
              <w:bottom w:val="nil"/>
              <w:right w:val="nil"/>
            </w:tcBorders>
            <w:shd w:val="clear" w:color="auto" w:fill="auto"/>
            <w:vAlign w:val="center"/>
            <w:hideMark/>
          </w:tcPr>
          <w:p w14:paraId="3546D3E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5 (11%)</w:t>
            </w:r>
          </w:p>
        </w:tc>
        <w:tc>
          <w:tcPr>
            <w:tcW w:w="1278" w:type="dxa"/>
            <w:tcBorders>
              <w:top w:val="nil"/>
              <w:left w:val="nil"/>
              <w:bottom w:val="nil"/>
              <w:right w:val="nil"/>
            </w:tcBorders>
            <w:shd w:val="clear" w:color="auto" w:fill="auto"/>
            <w:vAlign w:val="center"/>
            <w:hideMark/>
          </w:tcPr>
          <w:p w14:paraId="793D26BA"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4 (7%)</w:t>
            </w:r>
          </w:p>
        </w:tc>
        <w:tc>
          <w:tcPr>
            <w:tcW w:w="1266" w:type="dxa"/>
            <w:tcBorders>
              <w:top w:val="nil"/>
              <w:left w:val="nil"/>
              <w:bottom w:val="nil"/>
              <w:right w:val="nil"/>
            </w:tcBorders>
            <w:shd w:val="clear" w:color="auto" w:fill="auto"/>
            <w:vAlign w:val="center"/>
            <w:hideMark/>
          </w:tcPr>
          <w:p w14:paraId="3A03AE0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0.500</w:t>
            </w:r>
          </w:p>
        </w:tc>
      </w:tr>
      <w:tr w:rsidR="00172ED8" w:rsidRPr="00172ED8" w14:paraId="37519F87" w14:textId="77777777" w:rsidTr="55C8311A">
        <w:trPr>
          <w:trHeight w:val="280"/>
        </w:trPr>
        <w:tc>
          <w:tcPr>
            <w:tcW w:w="1388" w:type="dxa"/>
            <w:vMerge/>
            <w:vAlign w:val="center"/>
            <w:hideMark/>
          </w:tcPr>
          <w:p w14:paraId="4B290803"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p>
        </w:tc>
        <w:tc>
          <w:tcPr>
            <w:tcW w:w="2842" w:type="dxa"/>
            <w:tcBorders>
              <w:top w:val="nil"/>
              <w:left w:val="nil"/>
              <w:bottom w:val="single" w:sz="8" w:space="0" w:color="auto"/>
              <w:right w:val="nil"/>
            </w:tcBorders>
            <w:shd w:val="clear" w:color="auto" w:fill="auto"/>
            <w:vAlign w:val="center"/>
            <w:hideMark/>
          </w:tcPr>
          <w:p w14:paraId="00254172"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Beta-lactam use, n (%)</w:t>
            </w:r>
          </w:p>
        </w:tc>
        <w:tc>
          <w:tcPr>
            <w:tcW w:w="1289" w:type="dxa"/>
            <w:tcBorders>
              <w:top w:val="nil"/>
              <w:left w:val="nil"/>
              <w:bottom w:val="single" w:sz="8" w:space="0" w:color="auto"/>
              <w:right w:val="nil"/>
            </w:tcBorders>
            <w:shd w:val="clear" w:color="auto" w:fill="auto"/>
            <w:vAlign w:val="center"/>
            <w:hideMark/>
          </w:tcPr>
          <w:p w14:paraId="304C6A8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15 (68%)</w:t>
            </w:r>
          </w:p>
        </w:tc>
        <w:tc>
          <w:tcPr>
            <w:tcW w:w="1280" w:type="dxa"/>
            <w:tcBorders>
              <w:top w:val="nil"/>
              <w:left w:val="nil"/>
              <w:bottom w:val="single" w:sz="8" w:space="0" w:color="auto"/>
              <w:right w:val="nil"/>
            </w:tcBorders>
            <w:shd w:val="clear" w:color="auto" w:fill="auto"/>
            <w:vAlign w:val="center"/>
            <w:hideMark/>
          </w:tcPr>
          <w:p w14:paraId="7E9FE57B"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43 (55%)</w:t>
            </w:r>
          </w:p>
        </w:tc>
        <w:tc>
          <w:tcPr>
            <w:tcW w:w="1266" w:type="dxa"/>
            <w:tcBorders>
              <w:top w:val="nil"/>
              <w:left w:val="nil"/>
              <w:bottom w:val="single" w:sz="8" w:space="0" w:color="auto"/>
              <w:right w:val="nil"/>
            </w:tcBorders>
            <w:shd w:val="clear" w:color="auto" w:fill="auto"/>
            <w:vAlign w:val="center"/>
            <w:hideMark/>
          </w:tcPr>
          <w:p w14:paraId="5733947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0.273</w:t>
            </w:r>
          </w:p>
        </w:tc>
        <w:tc>
          <w:tcPr>
            <w:tcW w:w="1289" w:type="dxa"/>
            <w:tcBorders>
              <w:top w:val="nil"/>
              <w:left w:val="nil"/>
              <w:bottom w:val="single" w:sz="8" w:space="0" w:color="auto"/>
              <w:right w:val="nil"/>
            </w:tcBorders>
            <w:shd w:val="clear" w:color="auto" w:fill="auto"/>
            <w:vAlign w:val="center"/>
            <w:hideMark/>
          </w:tcPr>
          <w:p w14:paraId="70D4ACDE"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24 (55%)</w:t>
            </w:r>
          </w:p>
        </w:tc>
        <w:tc>
          <w:tcPr>
            <w:tcW w:w="1278" w:type="dxa"/>
            <w:tcBorders>
              <w:top w:val="nil"/>
              <w:left w:val="nil"/>
              <w:bottom w:val="single" w:sz="8" w:space="0" w:color="auto"/>
              <w:right w:val="nil"/>
            </w:tcBorders>
            <w:shd w:val="clear" w:color="auto" w:fill="auto"/>
            <w:vAlign w:val="center"/>
            <w:hideMark/>
          </w:tcPr>
          <w:p w14:paraId="29F8AD99"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33 (61%)</w:t>
            </w:r>
          </w:p>
        </w:tc>
        <w:tc>
          <w:tcPr>
            <w:tcW w:w="1266" w:type="dxa"/>
            <w:tcBorders>
              <w:top w:val="nil"/>
              <w:left w:val="nil"/>
              <w:bottom w:val="single" w:sz="8" w:space="0" w:color="auto"/>
              <w:right w:val="nil"/>
            </w:tcBorders>
            <w:shd w:val="clear" w:color="auto" w:fill="auto"/>
            <w:vAlign w:val="center"/>
            <w:hideMark/>
          </w:tcPr>
          <w:p w14:paraId="44287E41"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0.512</w:t>
            </w:r>
          </w:p>
        </w:tc>
      </w:tr>
      <w:tr w:rsidR="00172ED8" w:rsidRPr="00172ED8" w14:paraId="4C089BA7" w14:textId="77777777" w:rsidTr="55C8311A">
        <w:trPr>
          <w:trHeight w:val="780"/>
        </w:trPr>
        <w:tc>
          <w:tcPr>
            <w:tcW w:w="11898" w:type="dxa"/>
            <w:gridSpan w:val="8"/>
            <w:tcBorders>
              <w:top w:val="nil"/>
              <w:left w:val="nil"/>
              <w:bottom w:val="nil"/>
              <w:right w:val="nil"/>
            </w:tcBorders>
            <w:shd w:val="clear" w:color="auto" w:fill="auto"/>
            <w:vAlign w:val="center"/>
            <w:hideMark/>
          </w:tcPr>
          <w:p w14:paraId="5161E13F"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lang w:val="en-US"/>
              </w:rPr>
              <w:t>P-values calculated using Chi-squared, Fisher exact, or two-sided t-tests, as appropriate. * next to p-value indicates p &lt; 0.05, which was considered significant. Percentages listed are using N of that appropriateness category. Abbreviations</w:t>
            </w:r>
            <w:r w:rsidRPr="00172ED8">
              <w:rPr>
                <w:rFonts w:ascii="Times New Roman" w:eastAsia="Times New Roman" w:hAnsi="Times New Roman" w:cs="Times New Roman"/>
                <w:b/>
                <w:bCs/>
                <w:color w:val="000000"/>
                <w:sz w:val="16"/>
                <w:szCs w:val="16"/>
                <w:lang w:val="en-US"/>
              </w:rPr>
              <w:t xml:space="preserve">: </w:t>
            </w:r>
            <w:r w:rsidRPr="00172ED8">
              <w:rPr>
                <w:rFonts w:ascii="Times New Roman" w:eastAsia="Times New Roman" w:hAnsi="Times New Roman" w:cs="Times New Roman"/>
                <w:color w:val="000000"/>
                <w:sz w:val="16"/>
                <w:szCs w:val="16"/>
                <w:lang w:val="en-US"/>
              </w:rPr>
              <w:t>SD = standard deviation; IQR = interquartile range; PCP = primary care physician; UTI = urinary tract infection; SSTI = skin and soft tissue infection; ID = Infectious Disease; ED = emergency department. N/A indicates not applicable because values were 0.</w:t>
            </w:r>
          </w:p>
        </w:tc>
      </w:tr>
      <w:tr w:rsidR="00172ED8" w:rsidRPr="00172ED8" w14:paraId="0705748B" w14:textId="77777777" w:rsidTr="55C8311A">
        <w:trPr>
          <w:trHeight w:val="260"/>
        </w:trPr>
        <w:tc>
          <w:tcPr>
            <w:tcW w:w="11898" w:type="dxa"/>
            <w:gridSpan w:val="8"/>
            <w:tcBorders>
              <w:top w:val="nil"/>
              <w:left w:val="nil"/>
              <w:bottom w:val="nil"/>
              <w:right w:val="nil"/>
            </w:tcBorders>
            <w:shd w:val="clear" w:color="auto" w:fill="auto"/>
            <w:vAlign w:val="center"/>
            <w:hideMark/>
          </w:tcPr>
          <w:p w14:paraId="01482C5D" w14:textId="77777777" w:rsidR="00172ED8" w:rsidRPr="00172ED8" w:rsidRDefault="00172ED8" w:rsidP="00172ED8">
            <w:pPr>
              <w:spacing w:line="240" w:lineRule="auto"/>
              <w:rPr>
                <w:rFonts w:ascii="Times New Roman" w:eastAsia="Times New Roman" w:hAnsi="Times New Roman" w:cs="Times New Roman"/>
                <w:color w:val="000000"/>
                <w:sz w:val="16"/>
                <w:szCs w:val="16"/>
                <w:lang w:val="en-US"/>
              </w:rPr>
            </w:pPr>
            <w:r w:rsidRPr="00172ED8">
              <w:rPr>
                <w:rFonts w:ascii="Times New Roman" w:eastAsia="Times New Roman" w:hAnsi="Times New Roman" w:cs="Times New Roman"/>
                <w:color w:val="000000"/>
                <w:sz w:val="16"/>
                <w:szCs w:val="16"/>
                <w:vertAlign w:val="superscript"/>
                <w:lang w:val="en-US"/>
              </w:rPr>
              <w:t>a</w:t>
            </w:r>
            <w:r w:rsidRPr="00172ED8">
              <w:rPr>
                <w:rFonts w:ascii="Times New Roman" w:eastAsia="Times New Roman" w:hAnsi="Times New Roman" w:cs="Times New Roman"/>
                <w:color w:val="000000"/>
                <w:sz w:val="16"/>
                <w:szCs w:val="16"/>
                <w:lang w:val="en-US"/>
              </w:rPr>
              <w:t xml:space="preserve"> Total n = 98 for Duration characteristic as 2 cases were characterized as “too short duration” and not shown here. </w:t>
            </w:r>
          </w:p>
        </w:tc>
      </w:tr>
      <w:tr w:rsidR="00172ED8" w:rsidRPr="00172ED8" w14:paraId="63BDB7B5" w14:textId="77777777" w:rsidTr="55C8311A">
        <w:trPr>
          <w:trHeight w:val="260"/>
        </w:trPr>
        <w:tc>
          <w:tcPr>
            <w:tcW w:w="11898" w:type="dxa"/>
            <w:gridSpan w:val="8"/>
            <w:tcBorders>
              <w:top w:val="nil"/>
              <w:left w:val="nil"/>
              <w:bottom w:val="nil"/>
              <w:right w:val="nil"/>
            </w:tcBorders>
            <w:shd w:val="clear" w:color="auto" w:fill="auto"/>
            <w:vAlign w:val="center"/>
            <w:hideMark/>
          </w:tcPr>
          <w:p w14:paraId="77549C16" w14:textId="4932BB29" w:rsidR="00172ED8" w:rsidRPr="00172ED8" w:rsidRDefault="55C8311A" w:rsidP="00172ED8">
            <w:pPr>
              <w:spacing w:line="240" w:lineRule="auto"/>
              <w:rPr>
                <w:rFonts w:ascii="Times New Roman" w:eastAsia="Times New Roman" w:hAnsi="Times New Roman" w:cs="Times New Roman"/>
                <w:color w:val="000000"/>
                <w:sz w:val="16"/>
                <w:szCs w:val="16"/>
                <w:lang w:val="en-US"/>
              </w:rPr>
            </w:pPr>
            <w:r w:rsidRPr="55C8311A">
              <w:rPr>
                <w:rFonts w:ascii="Times New Roman" w:eastAsia="Times New Roman" w:hAnsi="Times New Roman" w:cs="Times New Roman"/>
                <w:color w:val="000000" w:themeColor="text1"/>
                <w:sz w:val="16"/>
                <w:szCs w:val="16"/>
                <w:vertAlign w:val="superscript"/>
                <w:lang w:val="en-US"/>
              </w:rPr>
              <w:t>b</w:t>
            </w:r>
            <w:r w:rsidRPr="55C8311A">
              <w:rPr>
                <w:rFonts w:ascii="Times New Roman" w:eastAsia="Times New Roman" w:hAnsi="Times New Roman" w:cs="Times New Roman"/>
                <w:color w:val="000000" w:themeColor="text1"/>
                <w:sz w:val="16"/>
                <w:szCs w:val="16"/>
                <w:lang w:val="en-US"/>
              </w:rPr>
              <w:t xml:space="preserve"> “Slow to respond” was defined as the presence of documentation or data reflecting minimal clinical improvement within the first 24 or 48 hours of appropriate therapy.</w:t>
            </w:r>
          </w:p>
        </w:tc>
      </w:tr>
      <w:tr w:rsidR="00172ED8" w:rsidRPr="00172ED8" w14:paraId="33313EC4" w14:textId="77777777" w:rsidTr="55C8311A">
        <w:trPr>
          <w:trHeight w:val="260"/>
        </w:trPr>
        <w:tc>
          <w:tcPr>
            <w:tcW w:w="11898" w:type="dxa"/>
            <w:gridSpan w:val="8"/>
            <w:tcBorders>
              <w:top w:val="nil"/>
              <w:left w:val="nil"/>
              <w:bottom w:val="single" w:sz="8" w:space="0" w:color="auto"/>
              <w:right w:val="nil"/>
            </w:tcBorders>
            <w:shd w:val="clear" w:color="auto" w:fill="auto"/>
            <w:vAlign w:val="center"/>
            <w:hideMark/>
          </w:tcPr>
          <w:p w14:paraId="003D7439" w14:textId="54F09827" w:rsidR="00172ED8" w:rsidRPr="00172ED8" w:rsidRDefault="55C8311A" w:rsidP="00172ED8">
            <w:pPr>
              <w:spacing w:line="240" w:lineRule="auto"/>
              <w:rPr>
                <w:rFonts w:ascii="Times New Roman" w:eastAsia="Times New Roman" w:hAnsi="Times New Roman" w:cs="Times New Roman"/>
                <w:color w:val="000000"/>
                <w:sz w:val="16"/>
                <w:szCs w:val="16"/>
                <w:lang w:val="en-US"/>
              </w:rPr>
            </w:pPr>
            <w:r w:rsidRPr="55C8311A">
              <w:rPr>
                <w:rFonts w:ascii="Times New Roman" w:eastAsia="Times New Roman" w:hAnsi="Times New Roman" w:cs="Times New Roman"/>
                <w:color w:val="000000" w:themeColor="text1"/>
                <w:sz w:val="16"/>
                <w:szCs w:val="16"/>
                <w:vertAlign w:val="superscript"/>
                <w:lang w:val="en-US"/>
              </w:rPr>
              <w:t>c “</w:t>
            </w:r>
            <w:r w:rsidRPr="55C8311A">
              <w:rPr>
                <w:rFonts w:ascii="Times New Roman" w:eastAsia="Times New Roman" w:hAnsi="Times New Roman" w:cs="Times New Roman"/>
                <w:color w:val="000000" w:themeColor="text1"/>
                <w:sz w:val="16"/>
                <w:szCs w:val="16"/>
                <w:lang w:val="en-US"/>
              </w:rPr>
              <w:t>Failure of outpatient therapy” was defined as the lack of clinical improvement despite at least 72 hours of preceding outpatient antibiotics.</w:t>
            </w:r>
          </w:p>
        </w:tc>
      </w:tr>
    </w:tbl>
    <w:p w14:paraId="5659C68A" w14:textId="77777777" w:rsidR="00172ED8" w:rsidRDefault="00172ED8" w:rsidP="00AD02B9">
      <w:pPr>
        <w:spacing w:line="240" w:lineRule="auto"/>
        <w:rPr>
          <w:rFonts w:ascii="Times New Roman" w:eastAsia="Times New Roman" w:hAnsi="Times New Roman" w:cs="Times New Roman"/>
          <w:sz w:val="24"/>
          <w:szCs w:val="24"/>
          <w:highlight w:val="white"/>
        </w:rPr>
      </w:pPr>
    </w:p>
    <w:p w14:paraId="40538944" w14:textId="77777777" w:rsidR="00172ED8" w:rsidRDefault="00172ED8" w:rsidP="00AD02B9">
      <w:pPr>
        <w:spacing w:line="240" w:lineRule="auto"/>
        <w:rPr>
          <w:rFonts w:ascii="Times New Roman" w:eastAsia="Times New Roman" w:hAnsi="Times New Roman" w:cs="Times New Roman"/>
          <w:sz w:val="24"/>
          <w:szCs w:val="24"/>
          <w:highlight w:val="white"/>
        </w:rPr>
      </w:pPr>
    </w:p>
    <w:p w14:paraId="59162929" w14:textId="5FC5BC82" w:rsidR="00172ED8" w:rsidRDefault="00172ED8" w:rsidP="00AD02B9">
      <w:pPr>
        <w:spacing w:line="240" w:lineRule="auto"/>
        <w:rPr>
          <w:rFonts w:ascii="Times New Roman" w:eastAsia="Times New Roman" w:hAnsi="Times New Roman" w:cs="Times New Roman"/>
          <w:sz w:val="24"/>
          <w:szCs w:val="24"/>
          <w:highlight w:val="white"/>
        </w:rPr>
        <w:sectPr w:rsidR="00172ED8" w:rsidSect="00795E33">
          <w:headerReference w:type="default" r:id="rId13"/>
          <w:footerReference w:type="default" r:id="rId14"/>
          <w:pgSz w:w="15840" w:h="12240" w:orient="landscape"/>
          <w:pgMar w:top="1440" w:right="1440" w:bottom="1440" w:left="1440" w:header="720" w:footer="720" w:gutter="0"/>
          <w:pgNumType w:start="1"/>
          <w:cols w:space="720"/>
          <w:docGrid w:linePitch="299"/>
        </w:sectPr>
      </w:pPr>
    </w:p>
    <w:p w14:paraId="7598912A" w14:textId="77777777" w:rsidR="00795E33" w:rsidRPr="00795E33" w:rsidRDefault="00795E33" w:rsidP="00AD02B9">
      <w:pPr>
        <w:spacing w:line="240" w:lineRule="auto"/>
        <w:rPr>
          <w:rFonts w:ascii="Times New Roman" w:eastAsia="Times New Roman" w:hAnsi="Times New Roman" w:cs="Times New Roman"/>
          <w:sz w:val="24"/>
          <w:szCs w:val="24"/>
          <w:highlight w:val="white"/>
        </w:rPr>
      </w:pPr>
    </w:p>
    <w:p w14:paraId="229EBABD" w14:textId="6F548560" w:rsidR="00795E33" w:rsidRPr="004B2452" w:rsidRDefault="00785A6B" w:rsidP="00AD02B9">
      <w:pPr>
        <w:numPr>
          <w:ilvl w:val="0"/>
          <w:numId w:val="3"/>
        </w:num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Appendix</w:t>
      </w:r>
      <w:r w:rsidR="00795E33" w:rsidRPr="004B2452">
        <w:rPr>
          <w:rFonts w:ascii="Times New Roman" w:eastAsia="Times New Roman" w:hAnsi="Times New Roman" w:cs="Times New Roman"/>
          <w:b/>
          <w:bCs/>
          <w:sz w:val="24"/>
          <w:szCs w:val="24"/>
          <w:highlight w:val="white"/>
        </w:rPr>
        <w:t xml:space="preserve"> References</w:t>
      </w:r>
    </w:p>
    <w:p w14:paraId="769733E9" w14:textId="77777777" w:rsidR="00AD02B9" w:rsidRDefault="00AD02B9" w:rsidP="00AD02B9">
      <w:pPr>
        <w:spacing w:line="240" w:lineRule="auto"/>
        <w:rPr>
          <w:rFonts w:ascii="Times New Roman" w:eastAsia="Times New Roman" w:hAnsi="Times New Roman" w:cs="Times New Roman"/>
          <w:sz w:val="24"/>
          <w:szCs w:val="24"/>
          <w:highlight w:val="white"/>
        </w:rPr>
      </w:pPr>
    </w:p>
    <w:p w14:paraId="20559544" w14:textId="4F3FA2F0" w:rsidR="00407DC7" w:rsidRPr="00407DC7" w:rsidRDefault="00407DC7" w:rsidP="00407DC7">
      <w:pPr>
        <w:pStyle w:val="ListParagraph"/>
        <w:numPr>
          <w:ilvl w:val="0"/>
          <w:numId w:val="1"/>
        </w:numPr>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Gandhi TN, Vaughn VM, Petty LA. The Michigan Hospital Medicine Safety Consortium: Improving Patient Care by Reducing Excessive Antibiotic Use in Patients Hospitalized with Community-Acquired Pneumonia</w:t>
      </w:r>
      <w:r>
        <w:rPr>
          <w:rFonts w:ascii="Times New Roman" w:eastAsia="Times New Roman" w:hAnsi="Times New Roman" w:cs="Times New Roman"/>
          <w:sz w:val="24"/>
          <w:szCs w:val="24"/>
        </w:rPr>
        <w:t xml:space="preserve">. </w:t>
      </w:r>
      <w:r w:rsidRPr="00407DC7">
        <w:rPr>
          <w:rFonts w:ascii="Times New Roman" w:eastAsia="Times New Roman" w:hAnsi="Times New Roman" w:cs="Times New Roman"/>
          <w:i/>
          <w:iCs/>
          <w:sz w:val="24"/>
          <w:szCs w:val="24"/>
        </w:rPr>
        <w:t>Open Forum Infectious Diseases</w:t>
      </w:r>
      <w:r>
        <w:rPr>
          <w:rFonts w:ascii="Times New Roman" w:eastAsia="Times New Roman" w:hAnsi="Times New Roman" w:cs="Times New Roman"/>
          <w:sz w:val="24"/>
          <w:szCs w:val="24"/>
        </w:rPr>
        <w:t>.</w:t>
      </w:r>
      <w:r w:rsidRPr="00407D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2019;6(2):</w:t>
      </w:r>
      <w:r w:rsidRPr="00407DC7">
        <w:rPr>
          <w:rFonts w:ascii="Times New Roman" w:eastAsia="Times New Roman" w:hAnsi="Times New Roman" w:cs="Times New Roman"/>
          <w:sz w:val="24"/>
          <w:szCs w:val="24"/>
        </w:rPr>
        <w:t xml:space="preserve"> S80–S81</w:t>
      </w:r>
      <w:r>
        <w:rPr>
          <w:rFonts w:ascii="Times New Roman" w:eastAsia="Times New Roman" w:hAnsi="Times New Roman" w:cs="Times New Roman"/>
          <w:sz w:val="24"/>
          <w:szCs w:val="24"/>
        </w:rPr>
        <w:t>.</w:t>
      </w:r>
      <w:r w:rsidRPr="00407DC7">
        <w:rPr>
          <w:rFonts w:ascii="Times New Roman" w:eastAsia="Times New Roman" w:hAnsi="Times New Roman" w:cs="Times New Roman"/>
          <w:sz w:val="24"/>
          <w:szCs w:val="24"/>
        </w:rPr>
        <w:t xml:space="preserve"> </w:t>
      </w:r>
    </w:p>
    <w:p w14:paraId="780CF497" w14:textId="77777777" w:rsidR="00407DC7" w:rsidRPr="00407DC7" w:rsidRDefault="00407DC7" w:rsidP="00407DC7">
      <w:pPr>
        <w:pStyle w:val="ListParagraph"/>
        <w:rPr>
          <w:rFonts w:ascii="Times New Roman" w:eastAsia="Times New Roman" w:hAnsi="Times New Roman" w:cs="Times New Roman"/>
          <w:sz w:val="24"/>
          <w:szCs w:val="24"/>
        </w:rPr>
      </w:pPr>
    </w:p>
    <w:p w14:paraId="4610C5C1" w14:textId="575ABDAF" w:rsidR="00407DC7" w:rsidRDefault="00407DC7" w:rsidP="00407DC7">
      <w:pPr>
        <w:pStyle w:val="ListParagraph"/>
        <w:numPr>
          <w:ilvl w:val="0"/>
          <w:numId w:val="1"/>
        </w:num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 xml:space="preserve">Vaughn VM, Flanders SA, Snyder A, et al. Excess Antibiotic Treatment Duration and Adverse Events in Patients Hospitalized With Pneumonia: A Multihospital Cohort Study. </w:t>
      </w:r>
      <w:r w:rsidRPr="00407DC7">
        <w:rPr>
          <w:rFonts w:ascii="Times New Roman" w:eastAsia="Times New Roman" w:hAnsi="Times New Roman" w:cs="Times New Roman"/>
          <w:i/>
          <w:iCs/>
          <w:sz w:val="24"/>
          <w:szCs w:val="24"/>
        </w:rPr>
        <w:t>Ann Intern Med</w:t>
      </w:r>
      <w:r w:rsidRPr="00407DC7">
        <w:rPr>
          <w:rFonts w:ascii="Times New Roman" w:eastAsia="Times New Roman" w:hAnsi="Times New Roman" w:cs="Times New Roman"/>
          <w:sz w:val="24"/>
          <w:szCs w:val="24"/>
        </w:rPr>
        <w:t>. 2019;171(3):153-163</w:t>
      </w:r>
      <w:r>
        <w:rPr>
          <w:rFonts w:ascii="Times New Roman" w:eastAsia="Times New Roman" w:hAnsi="Times New Roman" w:cs="Times New Roman"/>
          <w:sz w:val="24"/>
          <w:szCs w:val="24"/>
        </w:rPr>
        <w:t>.</w:t>
      </w:r>
    </w:p>
    <w:p w14:paraId="4F2BBD03" w14:textId="77777777" w:rsidR="00407DC7" w:rsidRPr="00407DC7" w:rsidRDefault="00407DC7" w:rsidP="00407DC7">
      <w:pPr>
        <w:spacing w:line="240" w:lineRule="auto"/>
        <w:rPr>
          <w:rFonts w:ascii="Times New Roman" w:eastAsia="Times New Roman" w:hAnsi="Times New Roman" w:cs="Times New Roman"/>
          <w:sz w:val="24"/>
          <w:szCs w:val="24"/>
        </w:rPr>
      </w:pPr>
    </w:p>
    <w:p w14:paraId="0C7F4832" w14:textId="3378CF88" w:rsidR="00407DC7" w:rsidRPr="00407DC7" w:rsidRDefault="00407DC7" w:rsidP="00CA25D5">
      <w:pPr>
        <w:pStyle w:val="ListParagraph"/>
        <w:numPr>
          <w:ilvl w:val="0"/>
          <w:numId w:val="1"/>
        </w:numPr>
        <w:spacing w:line="240" w:lineRule="auto"/>
        <w:rPr>
          <w:rFonts w:ascii="Times New Roman" w:eastAsia="Times New Roman" w:hAnsi="Times New Roman" w:cs="Times New Roman"/>
          <w:sz w:val="24"/>
          <w:szCs w:val="24"/>
          <w:highlight w:val="white"/>
        </w:rPr>
      </w:pPr>
      <w:r w:rsidRPr="00407DC7">
        <w:rPr>
          <w:rFonts w:ascii="Times New Roman" w:eastAsia="Times New Roman" w:hAnsi="Times New Roman" w:cs="Times New Roman"/>
          <w:sz w:val="24"/>
          <w:szCs w:val="24"/>
        </w:rPr>
        <w:t xml:space="preserve">Vaughn VM, Gandhi TN, Chopra V, et al. Antibiotic Overuse after Hospital Discharge: A Multi-Hospital Cohort Study. </w:t>
      </w:r>
      <w:r w:rsidRPr="00407DC7">
        <w:rPr>
          <w:rFonts w:ascii="Times New Roman" w:eastAsia="Times New Roman" w:hAnsi="Times New Roman" w:cs="Times New Roman"/>
          <w:i/>
          <w:iCs/>
          <w:sz w:val="24"/>
          <w:szCs w:val="24"/>
        </w:rPr>
        <w:t>Clin Infect Dis</w:t>
      </w:r>
      <w:r w:rsidRPr="00407DC7">
        <w:rPr>
          <w:rFonts w:ascii="Times New Roman" w:eastAsia="Times New Roman" w:hAnsi="Times New Roman" w:cs="Times New Roman"/>
          <w:sz w:val="24"/>
          <w:szCs w:val="24"/>
        </w:rPr>
        <w:t xml:space="preserve">. 2020:ciaa1372. </w:t>
      </w:r>
    </w:p>
    <w:p w14:paraId="6C62490E" w14:textId="77777777" w:rsidR="00407DC7" w:rsidRPr="00407DC7" w:rsidRDefault="00407DC7" w:rsidP="00407DC7">
      <w:pPr>
        <w:pStyle w:val="ListParagraph"/>
        <w:rPr>
          <w:rFonts w:ascii="Times New Roman" w:eastAsia="Times New Roman" w:hAnsi="Times New Roman" w:cs="Times New Roman"/>
          <w:sz w:val="24"/>
          <w:szCs w:val="24"/>
          <w:highlight w:val="white"/>
        </w:rPr>
      </w:pPr>
    </w:p>
    <w:p w14:paraId="66755874" w14:textId="793309B1" w:rsidR="00407DC7" w:rsidRDefault="00407DC7" w:rsidP="00407DC7">
      <w:pPr>
        <w:pStyle w:val="ListParagraph"/>
        <w:numPr>
          <w:ilvl w:val="0"/>
          <w:numId w:val="1"/>
        </w:numPr>
        <w:spacing w:line="240" w:lineRule="auto"/>
        <w:rPr>
          <w:rFonts w:ascii="Times New Roman" w:eastAsia="Times New Roman" w:hAnsi="Times New Roman" w:cs="Times New Roman"/>
          <w:sz w:val="24"/>
          <w:szCs w:val="24"/>
        </w:rPr>
      </w:pPr>
      <w:proofErr w:type="spellStart"/>
      <w:r w:rsidRPr="00407DC7">
        <w:rPr>
          <w:rFonts w:ascii="Times New Roman" w:eastAsia="Times New Roman" w:hAnsi="Times New Roman" w:cs="Times New Roman"/>
          <w:sz w:val="24"/>
          <w:szCs w:val="24"/>
        </w:rPr>
        <w:t>Metlay</w:t>
      </w:r>
      <w:proofErr w:type="spellEnd"/>
      <w:r w:rsidRPr="00407DC7">
        <w:rPr>
          <w:rFonts w:ascii="Times New Roman" w:eastAsia="Times New Roman" w:hAnsi="Times New Roman" w:cs="Times New Roman"/>
          <w:sz w:val="24"/>
          <w:szCs w:val="24"/>
        </w:rPr>
        <w:t xml:space="preserve"> JP, Waterer GW, Long AC, et al. Diagnosis and Treatment of Adults with Community-acquired Pneumonia. An Official Clinical Practice Guideline of the American Thoracic Society and Infectious Diseases Society of America. </w:t>
      </w:r>
      <w:r w:rsidRPr="00407DC7">
        <w:rPr>
          <w:rFonts w:ascii="Times New Roman" w:eastAsia="Times New Roman" w:hAnsi="Times New Roman" w:cs="Times New Roman"/>
          <w:i/>
          <w:iCs/>
          <w:sz w:val="24"/>
          <w:szCs w:val="24"/>
        </w:rPr>
        <w:t>Am J Respir Crit Care Med</w:t>
      </w:r>
      <w:r w:rsidRPr="00407DC7">
        <w:rPr>
          <w:rFonts w:ascii="Times New Roman" w:eastAsia="Times New Roman" w:hAnsi="Times New Roman" w:cs="Times New Roman"/>
          <w:sz w:val="24"/>
          <w:szCs w:val="24"/>
        </w:rPr>
        <w:t xml:space="preserve">. 2019;200(7):e45-e67. </w:t>
      </w:r>
    </w:p>
    <w:p w14:paraId="3607C429" w14:textId="77777777" w:rsidR="00407DC7" w:rsidRPr="00407DC7" w:rsidRDefault="00407DC7" w:rsidP="00407DC7">
      <w:pPr>
        <w:spacing w:line="240" w:lineRule="auto"/>
        <w:rPr>
          <w:rFonts w:ascii="Times New Roman" w:eastAsia="Times New Roman" w:hAnsi="Times New Roman" w:cs="Times New Roman"/>
          <w:sz w:val="24"/>
          <w:szCs w:val="24"/>
        </w:rPr>
      </w:pPr>
    </w:p>
    <w:p w14:paraId="3CBE5226" w14:textId="674E4210" w:rsidR="00407DC7" w:rsidRPr="00407DC7" w:rsidRDefault="00407DC7" w:rsidP="00407DC7">
      <w:pPr>
        <w:pStyle w:val="ListParagraph"/>
        <w:numPr>
          <w:ilvl w:val="0"/>
          <w:numId w:val="1"/>
        </w:numPr>
        <w:spacing w:line="240" w:lineRule="auto"/>
        <w:rPr>
          <w:rFonts w:ascii="Times New Roman" w:eastAsia="Times New Roman" w:hAnsi="Times New Roman" w:cs="Times New Roman"/>
          <w:sz w:val="24"/>
          <w:szCs w:val="24"/>
        </w:rPr>
      </w:pPr>
      <w:r w:rsidRPr="00407DC7">
        <w:rPr>
          <w:rFonts w:ascii="Times New Roman" w:eastAsia="Times New Roman" w:hAnsi="Times New Roman" w:cs="Times New Roman"/>
          <w:sz w:val="24"/>
          <w:szCs w:val="24"/>
        </w:rPr>
        <w:t xml:space="preserve">American Thoracic Surgery, Infectious Diseases Society of America. Guidelines for the management of adults with hospital-acquired, ventilator-associated, and healthcare-associated pneumonia. </w:t>
      </w:r>
      <w:r w:rsidRPr="00407DC7">
        <w:rPr>
          <w:rFonts w:ascii="Times New Roman" w:eastAsia="Times New Roman" w:hAnsi="Times New Roman" w:cs="Times New Roman"/>
          <w:i/>
          <w:iCs/>
          <w:sz w:val="24"/>
          <w:szCs w:val="24"/>
        </w:rPr>
        <w:t>Am J Respir Crit Care Med</w:t>
      </w:r>
      <w:r w:rsidRPr="00407DC7">
        <w:rPr>
          <w:rFonts w:ascii="Times New Roman" w:eastAsia="Times New Roman" w:hAnsi="Times New Roman" w:cs="Times New Roman"/>
          <w:sz w:val="24"/>
          <w:szCs w:val="24"/>
        </w:rPr>
        <w:t>. 2005;171(4):388-416.</w:t>
      </w:r>
    </w:p>
    <w:p w14:paraId="1F29A164" w14:textId="77777777" w:rsidR="00407DC7" w:rsidRPr="00407DC7" w:rsidRDefault="00407DC7" w:rsidP="00407DC7">
      <w:pPr>
        <w:spacing w:line="240" w:lineRule="auto"/>
        <w:ind w:left="360"/>
        <w:rPr>
          <w:rFonts w:ascii="Times New Roman" w:eastAsia="Times New Roman" w:hAnsi="Times New Roman" w:cs="Times New Roman"/>
          <w:sz w:val="24"/>
          <w:szCs w:val="24"/>
          <w:highlight w:val="white"/>
        </w:rPr>
      </w:pPr>
    </w:p>
    <w:p w14:paraId="3E6EA2C7" w14:textId="053C6771" w:rsidR="00795E33" w:rsidRDefault="00795E33" w:rsidP="00AD02B9">
      <w:pPr>
        <w:numPr>
          <w:ilvl w:val="0"/>
          <w:numId w:val="1"/>
        </w:numPr>
        <w:spacing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Yogo</w:t>
      </w:r>
      <w:proofErr w:type="spellEnd"/>
      <w:r>
        <w:rPr>
          <w:rFonts w:ascii="Times New Roman" w:eastAsia="Times New Roman" w:hAnsi="Times New Roman" w:cs="Times New Roman"/>
          <w:sz w:val="24"/>
          <w:szCs w:val="24"/>
          <w:highlight w:val="white"/>
        </w:rPr>
        <w:t xml:space="preserve"> N, Haas MK, Knepper BC, Burman WJ, </w:t>
      </w:r>
      <w:proofErr w:type="spellStart"/>
      <w:r>
        <w:rPr>
          <w:rFonts w:ascii="Times New Roman" w:eastAsia="Times New Roman" w:hAnsi="Times New Roman" w:cs="Times New Roman"/>
          <w:sz w:val="24"/>
          <w:szCs w:val="24"/>
          <w:highlight w:val="white"/>
        </w:rPr>
        <w:t>Mehler</w:t>
      </w:r>
      <w:proofErr w:type="spellEnd"/>
      <w:r>
        <w:rPr>
          <w:rFonts w:ascii="Times New Roman" w:eastAsia="Times New Roman" w:hAnsi="Times New Roman" w:cs="Times New Roman"/>
          <w:sz w:val="24"/>
          <w:szCs w:val="24"/>
          <w:highlight w:val="white"/>
        </w:rPr>
        <w:t xml:space="preserve"> PS, Jenkins TC. Antibiotic prescribing at the transition from hospitalization to discharge: a target for antibiotic stewardship. </w:t>
      </w:r>
      <w:r>
        <w:rPr>
          <w:rFonts w:ascii="Times New Roman" w:eastAsia="Times New Roman" w:hAnsi="Times New Roman" w:cs="Times New Roman"/>
          <w:i/>
          <w:sz w:val="24"/>
          <w:szCs w:val="24"/>
          <w:highlight w:val="white"/>
        </w:rPr>
        <w:t xml:space="preserve">Infect Control Hosp Epidemiol. </w:t>
      </w:r>
      <w:r>
        <w:rPr>
          <w:rFonts w:ascii="Times New Roman" w:eastAsia="Times New Roman" w:hAnsi="Times New Roman" w:cs="Times New Roman"/>
          <w:sz w:val="24"/>
          <w:szCs w:val="24"/>
          <w:highlight w:val="white"/>
        </w:rPr>
        <w:t>2015;36(4):474-478.</w:t>
      </w:r>
    </w:p>
    <w:p w14:paraId="79591CA4" w14:textId="77777777" w:rsidR="00407DC7" w:rsidRDefault="00407DC7" w:rsidP="00407DC7">
      <w:pPr>
        <w:spacing w:line="240" w:lineRule="auto"/>
        <w:rPr>
          <w:rFonts w:ascii="Times New Roman" w:eastAsia="Times New Roman" w:hAnsi="Times New Roman" w:cs="Times New Roman"/>
          <w:sz w:val="24"/>
          <w:szCs w:val="24"/>
          <w:highlight w:val="white"/>
        </w:rPr>
      </w:pPr>
    </w:p>
    <w:p w14:paraId="35677606" w14:textId="7E73CA54" w:rsidR="00795E33" w:rsidRDefault="00795E33" w:rsidP="00AD02B9">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Suzuki H, </w:t>
      </w:r>
      <w:proofErr w:type="spellStart"/>
      <w:r>
        <w:rPr>
          <w:rFonts w:ascii="Times New Roman" w:eastAsia="Times New Roman" w:hAnsi="Times New Roman" w:cs="Times New Roman"/>
          <w:sz w:val="24"/>
          <w:szCs w:val="24"/>
          <w:highlight w:val="white"/>
        </w:rPr>
        <w:t>Perencevich</w:t>
      </w:r>
      <w:proofErr w:type="spellEnd"/>
      <w:r>
        <w:rPr>
          <w:rFonts w:ascii="Times New Roman" w:eastAsia="Times New Roman" w:hAnsi="Times New Roman" w:cs="Times New Roman"/>
          <w:sz w:val="24"/>
          <w:szCs w:val="24"/>
          <w:highlight w:val="white"/>
        </w:rPr>
        <w:t xml:space="preserve"> EN, Alexander B, et al. Inpatient Fluoroquinolone Stewardship Improves the Quantity and Quality of Fluoroquinolone-prescribing at Hospital Discharge: A Retrospective Analysis among 122 Veterans Health Administration Hospitals. </w:t>
      </w:r>
      <w:r>
        <w:rPr>
          <w:rFonts w:ascii="Times New Roman" w:eastAsia="Times New Roman" w:hAnsi="Times New Roman" w:cs="Times New Roman"/>
          <w:i/>
          <w:sz w:val="24"/>
          <w:szCs w:val="24"/>
          <w:highlight w:val="white"/>
        </w:rPr>
        <w:t xml:space="preserve">Clinical infectious diseases: an official publication of the Infectious Diseases Society of America. </w:t>
      </w:r>
      <w:r>
        <w:rPr>
          <w:rFonts w:ascii="Times New Roman" w:eastAsia="Times New Roman" w:hAnsi="Times New Roman" w:cs="Times New Roman"/>
          <w:sz w:val="24"/>
          <w:szCs w:val="24"/>
          <w:highlight w:val="white"/>
        </w:rPr>
        <w:t>2019([Online ahead of print]).</w:t>
      </w:r>
    </w:p>
    <w:p w14:paraId="3B25E41D" w14:textId="77777777" w:rsidR="00407DC7" w:rsidRDefault="00407DC7" w:rsidP="00407DC7">
      <w:pPr>
        <w:spacing w:line="240" w:lineRule="auto"/>
        <w:rPr>
          <w:rFonts w:ascii="Times New Roman" w:eastAsia="Times New Roman" w:hAnsi="Times New Roman" w:cs="Times New Roman"/>
          <w:sz w:val="24"/>
          <w:szCs w:val="24"/>
          <w:highlight w:val="white"/>
        </w:rPr>
      </w:pPr>
    </w:p>
    <w:p w14:paraId="5D2793D4" w14:textId="625CA35F" w:rsidR="00795E33" w:rsidRDefault="00795E33" w:rsidP="00AD02B9">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Prescott HC, Rubin MA, </w:t>
      </w:r>
      <w:proofErr w:type="spellStart"/>
      <w:r>
        <w:rPr>
          <w:rFonts w:ascii="Times New Roman" w:eastAsia="Times New Roman" w:hAnsi="Times New Roman" w:cs="Times New Roman"/>
          <w:sz w:val="24"/>
          <w:szCs w:val="24"/>
          <w:highlight w:val="white"/>
        </w:rPr>
        <w:t>Wiitala</w:t>
      </w:r>
      <w:proofErr w:type="spellEnd"/>
      <w:r>
        <w:rPr>
          <w:rFonts w:ascii="Times New Roman" w:eastAsia="Times New Roman" w:hAnsi="Times New Roman" w:cs="Times New Roman"/>
          <w:sz w:val="24"/>
          <w:szCs w:val="24"/>
          <w:highlight w:val="white"/>
        </w:rPr>
        <w:t xml:space="preserve"> WL, Wang XQ, </w:t>
      </w:r>
      <w:proofErr w:type="spellStart"/>
      <w:r>
        <w:rPr>
          <w:rFonts w:ascii="Times New Roman" w:eastAsia="Times New Roman" w:hAnsi="Times New Roman" w:cs="Times New Roman"/>
          <w:sz w:val="24"/>
          <w:szCs w:val="24"/>
          <w:highlight w:val="white"/>
        </w:rPr>
        <w:t>Seelye</w:t>
      </w:r>
      <w:proofErr w:type="spellEnd"/>
      <w:r>
        <w:rPr>
          <w:rFonts w:ascii="Times New Roman" w:eastAsia="Times New Roman" w:hAnsi="Times New Roman" w:cs="Times New Roman"/>
          <w:sz w:val="24"/>
          <w:szCs w:val="24"/>
          <w:highlight w:val="white"/>
        </w:rPr>
        <w:t xml:space="preserve"> SM, Vaughn VM. Inpatient and Discharge Fluoroquinolone Prescribing in Veterans Affairs Hospitals Between 2014 and 2017. </w:t>
      </w:r>
      <w:r>
        <w:rPr>
          <w:rFonts w:ascii="Times New Roman" w:eastAsia="Times New Roman" w:hAnsi="Times New Roman" w:cs="Times New Roman"/>
          <w:i/>
          <w:sz w:val="24"/>
          <w:szCs w:val="24"/>
          <w:highlight w:val="white"/>
        </w:rPr>
        <w:t xml:space="preserve">Open Forum Infectious Diseases. </w:t>
      </w:r>
      <w:r>
        <w:rPr>
          <w:rFonts w:ascii="Times New Roman" w:eastAsia="Times New Roman" w:hAnsi="Times New Roman" w:cs="Times New Roman"/>
          <w:sz w:val="24"/>
          <w:szCs w:val="24"/>
          <w:highlight w:val="white"/>
        </w:rPr>
        <w:t>2020.</w:t>
      </w:r>
    </w:p>
    <w:p w14:paraId="0EFD1B11" w14:textId="77777777" w:rsidR="00407DC7" w:rsidRDefault="00407DC7" w:rsidP="00407DC7">
      <w:pPr>
        <w:spacing w:line="240" w:lineRule="auto"/>
        <w:rPr>
          <w:rFonts w:ascii="Times New Roman" w:eastAsia="Times New Roman" w:hAnsi="Times New Roman" w:cs="Times New Roman"/>
          <w:sz w:val="24"/>
          <w:szCs w:val="24"/>
          <w:highlight w:val="white"/>
        </w:rPr>
      </w:pPr>
    </w:p>
    <w:p w14:paraId="22EC0EAC" w14:textId="11BCF73C" w:rsidR="00795E33" w:rsidRDefault="00795E33" w:rsidP="00AD02B9">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Petty LA, Vaughn VM, Flanders SA, et al. Risk Factors and Outcomes Associated With Treatment of Asymptomatic Bacteriuria in Hospitalized Patients. </w:t>
      </w:r>
      <w:r>
        <w:rPr>
          <w:rFonts w:ascii="Times New Roman" w:eastAsia="Times New Roman" w:hAnsi="Times New Roman" w:cs="Times New Roman"/>
          <w:i/>
          <w:sz w:val="24"/>
          <w:szCs w:val="24"/>
          <w:highlight w:val="white"/>
        </w:rPr>
        <w:t xml:space="preserve">JAMA Intern Med. </w:t>
      </w:r>
      <w:r>
        <w:rPr>
          <w:rFonts w:ascii="Times New Roman" w:eastAsia="Times New Roman" w:hAnsi="Times New Roman" w:cs="Times New Roman"/>
          <w:sz w:val="24"/>
          <w:szCs w:val="24"/>
          <w:highlight w:val="white"/>
        </w:rPr>
        <w:t>2019([Online ahead of print]).</w:t>
      </w:r>
    </w:p>
    <w:p w14:paraId="1965860D" w14:textId="77777777" w:rsidR="00407DC7" w:rsidRDefault="00407DC7" w:rsidP="00407DC7">
      <w:pPr>
        <w:spacing w:line="240" w:lineRule="auto"/>
        <w:rPr>
          <w:rFonts w:ascii="Times New Roman" w:eastAsia="Times New Roman" w:hAnsi="Times New Roman" w:cs="Times New Roman"/>
          <w:sz w:val="24"/>
          <w:szCs w:val="24"/>
          <w:highlight w:val="white"/>
        </w:rPr>
      </w:pPr>
    </w:p>
    <w:p w14:paraId="54FB9E1F" w14:textId="77777777" w:rsidR="00795E33" w:rsidRDefault="00795E33" w:rsidP="00AD02B9">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Nicolle LE, Gupta K, Bradley SF, et al. Clinical Practice Guideline for the Management of Asymptomatic Bacteriuria: 2019 Update by the Infectious Diseases Society of America. </w:t>
      </w:r>
      <w:r>
        <w:rPr>
          <w:rFonts w:ascii="Times New Roman" w:eastAsia="Times New Roman" w:hAnsi="Times New Roman" w:cs="Times New Roman"/>
          <w:i/>
          <w:sz w:val="24"/>
          <w:szCs w:val="24"/>
          <w:highlight w:val="white"/>
        </w:rPr>
        <w:t xml:space="preserve">Clinical infectious diseases: an official publication of the Infectious Diseases Society of America. </w:t>
      </w:r>
      <w:r>
        <w:rPr>
          <w:rFonts w:ascii="Times New Roman" w:eastAsia="Times New Roman" w:hAnsi="Times New Roman" w:cs="Times New Roman"/>
          <w:sz w:val="24"/>
          <w:szCs w:val="24"/>
          <w:highlight w:val="white"/>
        </w:rPr>
        <w:t>2019;68(10):e83-e110.</w:t>
      </w:r>
    </w:p>
    <w:p w14:paraId="53EDE998" w14:textId="6308939E" w:rsidR="00795E33" w:rsidRDefault="00795E33" w:rsidP="00AD02B9">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Spivak ES, Cosgrove SE, Srinivasan A. Measuring Appropriate Antimicrobial Use: Attempts at Opening the Black Box. </w:t>
      </w:r>
      <w:r>
        <w:rPr>
          <w:rFonts w:ascii="Times New Roman" w:eastAsia="Times New Roman" w:hAnsi="Times New Roman" w:cs="Times New Roman"/>
          <w:i/>
          <w:sz w:val="24"/>
          <w:szCs w:val="24"/>
          <w:highlight w:val="white"/>
        </w:rPr>
        <w:t xml:space="preserve">Clinical infectious diseases: an official publication of the Infectious Diseases Society of America. </w:t>
      </w:r>
      <w:r>
        <w:rPr>
          <w:rFonts w:ascii="Times New Roman" w:eastAsia="Times New Roman" w:hAnsi="Times New Roman" w:cs="Times New Roman"/>
          <w:sz w:val="24"/>
          <w:szCs w:val="24"/>
          <w:highlight w:val="white"/>
        </w:rPr>
        <w:t>2016;63(12):1639-1644.</w:t>
      </w:r>
    </w:p>
    <w:p w14:paraId="5B13F607" w14:textId="77777777" w:rsidR="007D7FF2" w:rsidRDefault="007D7FF2" w:rsidP="007D7FF2">
      <w:pPr>
        <w:spacing w:line="240" w:lineRule="auto"/>
        <w:ind w:left="720"/>
        <w:rPr>
          <w:rFonts w:ascii="Times New Roman" w:eastAsia="Times New Roman" w:hAnsi="Times New Roman" w:cs="Times New Roman"/>
          <w:sz w:val="24"/>
          <w:szCs w:val="24"/>
          <w:highlight w:val="white"/>
        </w:rPr>
      </w:pPr>
    </w:p>
    <w:p w14:paraId="2CB66437" w14:textId="42160D49" w:rsidR="007D7FF2" w:rsidRPr="007D7FF2" w:rsidRDefault="007D7FF2" w:rsidP="007D7FF2">
      <w:pPr>
        <w:numPr>
          <w:ilvl w:val="0"/>
          <w:numId w:val="1"/>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Mandell LA, </w:t>
      </w:r>
      <w:proofErr w:type="spellStart"/>
      <w:r>
        <w:rPr>
          <w:rFonts w:ascii="Times New Roman" w:eastAsia="Times New Roman" w:hAnsi="Times New Roman" w:cs="Times New Roman"/>
          <w:sz w:val="24"/>
          <w:szCs w:val="24"/>
          <w:highlight w:val="white"/>
        </w:rPr>
        <w:t>Wunderink</w:t>
      </w:r>
      <w:proofErr w:type="spellEnd"/>
      <w:r>
        <w:rPr>
          <w:rFonts w:ascii="Times New Roman" w:eastAsia="Times New Roman" w:hAnsi="Times New Roman" w:cs="Times New Roman"/>
          <w:sz w:val="24"/>
          <w:szCs w:val="24"/>
          <w:highlight w:val="white"/>
        </w:rPr>
        <w:t xml:space="preserve"> RG, </w:t>
      </w:r>
      <w:proofErr w:type="spellStart"/>
      <w:r>
        <w:rPr>
          <w:rFonts w:ascii="Times New Roman" w:eastAsia="Times New Roman" w:hAnsi="Times New Roman" w:cs="Times New Roman"/>
          <w:sz w:val="24"/>
          <w:szCs w:val="24"/>
          <w:highlight w:val="white"/>
        </w:rPr>
        <w:t>Anzueto</w:t>
      </w:r>
      <w:proofErr w:type="spellEnd"/>
      <w:r>
        <w:rPr>
          <w:rFonts w:ascii="Times New Roman" w:eastAsia="Times New Roman" w:hAnsi="Times New Roman" w:cs="Times New Roman"/>
          <w:sz w:val="24"/>
          <w:szCs w:val="24"/>
          <w:highlight w:val="white"/>
        </w:rPr>
        <w:t xml:space="preserve"> A, et al. Infectious Diseases Society of America/American Thoracic Society consensus guidelines on the management of community-acquired pneumonia in adults. </w:t>
      </w:r>
      <w:r>
        <w:rPr>
          <w:rFonts w:ascii="Times New Roman" w:eastAsia="Times New Roman" w:hAnsi="Times New Roman" w:cs="Times New Roman"/>
          <w:i/>
          <w:sz w:val="24"/>
          <w:szCs w:val="24"/>
          <w:highlight w:val="white"/>
        </w:rPr>
        <w:t xml:space="preserve">Clinical infectious diseases: an official publication of the Infectious Diseases Society of America. </w:t>
      </w:r>
      <w:r>
        <w:rPr>
          <w:rFonts w:ascii="Times New Roman" w:eastAsia="Times New Roman" w:hAnsi="Times New Roman" w:cs="Times New Roman"/>
          <w:sz w:val="24"/>
          <w:szCs w:val="24"/>
          <w:highlight w:val="white"/>
        </w:rPr>
        <w:t>2007;44 Suppl 2:S27-72.</w:t>
      </w:r>
    </w:p>
    <w:p w14:paraId="2FF34569" w14:textId="77777777" w:rsidR="007D7FF2" w:rsidRDefault="007D7FF2" w:rsidP="007D7FF2">
      <w:pPr>
        <w:spacing w:line="240" w:lineRule="auto"/>
        <w:ind w:left="720"/>
        <w:rPr>
          <w:rFonts w:ascii="Times New Roman" w:eastAsia="Times New Roman" w:hAnsi="Times New Roman" w:cs="Times New Roman"/>
          <w:sz w:val="24"/>
          <w:szCs w:val="24"/>
          <w:highlight w:val="white"/>
        </w:rPr>
      </w:pPr>
    </w:p>
    <w:p w14:paraId="1CFA1826" w14:textId="6570B940" w:rsidR="007D7FF2" w:rsidRPr="007D7FF2" w:rsidRDefault="007D7FF2" w:rsidP="007D7FF2">
      <w:pPr>
        <w:pStyle w:val="ListParagraph"/>
        <w:numPr>
          <w:ilvl w:val="0"/>
          <w:numId w:val="1"/>
        </w:numPr>
        <w:rPr>
          <w:rFonts w:ascii="Times New Roman" w:eastAsia="Times New Roman" w:hAnsi="Times New Roman" w:cs="Times New Roman"/>
          <w:sz w:val="24"/>
          <w:szCs w:val="24"/>
        </w:rPr>
      </w:pPr>
      <w:r w:rsidRPr="007D7FF2">
        <w:rPr>
          <w:rFonts w:ascii="Times New Roman" w:eastAsia="Times New Roman" w:hAnsi="Times New Roman" w:cs="Times New Roman"/>
          <w:sz w:val="24"/>
          <w:szCs w:val="24"/>
        </w:rPr>
        <w:t xml:space="preserve">Walsh TL, Bremmer DN, </w:t>
      </w:r>
      <w:proofErr w:type="spellStart"/>
      <w:r w:rsidRPr="007D7FF2">
        <w:rPr>
          <w:rFonts w:ascii="Times New Roman" w:eastAsia="Times New Roman" w:hAnsi="Times New Roman" w:cs="Times New Roman"/>
          <w:sz w:val="24"/>
          <w:szCs w:val="24"/>
        </w:rPr>
        <w:t>Moffa</w:t>
      </w:r>
      <w:proofErr w:type="spellEnd"/>
      <w:r w:rsidRPr="007D7FF2">
        <w:rPr>
          <w:rFonts w:ascii="Times New Roman" w:eastAsia="Times New Roman" w:hAnsi="Times New Roman" w:cs="Times New Roman"/>
          <w:sz w:val="24"/>
          <w:szCs w:val="24"/>
        </w:rPr>
        <w:t xml:space="preserve"> MA, et al. Effect of Antimicrobial Stewardship Program Guidance on the Management of Uncomplicated Skin and Soft Tissue Infections in Hospitalized Adults. </w:t>
      </w:r>
      <w:r w:rsidRPr="007D7FF2">
        <w:rPr>
          <w:rFonts w:ascii="Times New Roman" w:eastAsia="Times New Roman" w:hAnsi="Times New Roman" w:cs="Times New Roman"/>
          <w:i/>
          <w:iCs/>
          <w:sz w:val="24"/>
          <w:szCs w:val="24"/>
        </w:rPr>
        <w:t xml:space="preserve">Mayo Clin Proc </w:t>
      </w:r>
      <w:proofErr w:type="spellStart"/>
      <w:r w:rsidRPr="007D7FF2">
        <w:rPr>
          <w:rFonts w:ascii="Times New Roman" w:eastAsia="Times New Roman" w:hAnsi="Times New Roman" w:cs="Times New Roman"/>
          <w:i/>
          <w:iCs/>
          <w:sz w:val="24"/>
          <w:szCs w:val="24"/>
        </w:rPr>
        <w:t>Innov</w:t>
      </w:r>
      <w:proofErr w:type="spellEnd"/>
      <w:r w:rsidRPr="007D7FF2">
        <w:rPr>
          <w:rFonts w:ascii="Times New Roman" w:eastAsia="Times New Roman" w:hAnsi="Times New Roman" w:cs="Times New Roman"/>
          <w:i/>
          <w:iCs/>
          <w:sz w:val="24"/>
          <w:szCs w:val="24"/>
        </w:rPr>
        <w:t xml:space="preserve"> Qual Outcomes</w:t>
      </w:r>
      <w:r w:rsidRPr="007D7FF2">
        <w:rPr>
          <w:rFonts w:ascii="Times New Roman" w:eastAsia="Times New Roman" w:hAnsi="Times New Roman" w:cs="Times New Roman"/>
          <w:sz w:val="24"/>
          <w:szCs w:val="24"/>
        </w:rPr>
        <w:t>. 2017;1(1):91-99. Published 2017 Apr 28. doi:10.1016/j.mayocpiqo.2017.04.002</w:t>
      </w:r>
    </w:p>
    <w:p w14:paraId="0FAA687F" w14:textId="77777777" w:rsidR="00E13772" w:rsidRDefault="00E13772" w:rsidP="00AD02B9">
      <w:pPr>
        <w:spacing w:line="240" w:lineRule="auto"/>
      </w:pPr>
    </w:p>
    <w:sectPr w:rsidR="00E13772" w:rsidSect="00795E33">
      <w:headerReference w:type="default" r:id="rId15"/>
      <w:footerReference w:type="default" r:id="rId16"/>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7CA98" w14:textId="77777777" w:rsidR="00E765AF" w:rsidRDefault="00E765AF" w:rsidP="008D6B4C">
      <w:pPr>
        <w:spacing w:line="240" w:lineRule="auto"/>
      </w:pPr>
      <w:r>
        <w:separator/>
      </w:r>
    </w:p>
  </w:endnote>
  <w:endnote w:type="continuationSeparator" w:id="0">
    <w:p w14:paraId="427BABCD" w14:textId="77777777" w:rsidR="00E765AF" w:rsidRDefault="00E765AF" w:rsidP="008D6B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F3428" w14:paraId="164FC7C3" w14:textId="77777777" w:rsidTr="55C8311A">
      <w:tc>
        <w:tcPr>
          <w:tcW w:w="3120" w:type="dxa"/>
        </w:tcPr>
        <w:p w14:paraId="36696128" w14:textId="77777777" w:rsidR="00AF3428" w:rsidRDefault="00AF3428" w:rsidP="55C8311A">
          <w:pPr>
            <w:pStyle w:val="Header"/>
            <w:ind w:left="-115"/>
          </w:pPr>
        </w:p>
      </w:tc>
      <w:tc>
        <w:tcPr>
          <w:tcW w:w="3120" w:type="dxa"/>
        </w:tcPr>
        <w:p w14:paraId="03C113CD" w14:textId="77777777" w:rsidR="00AF3428" w:rsidRDefault="00AF3428" w:rsidP="55C8311A">
          <w:pPr>
            <w:pStyle w:val="Header"/>
            <w:jc w:val="center"/>
          </w:pPr>
        </w:p>
      </w:tc>
      <w:tc>
        <w:tcPr>
          <w:tcW w:w="3120" w:type="dxa"/>
        </w:tcPr>
        <w:p w14:paraId="212151E7" w14:textId="77777777" w:rsidR="00AF3428" w:rsidRDefault="00AF3428" w:rsidP="55C8311A">
          <w:pPr>
            <w:pStyle w:val="Header"/>
            <w:ind w:right="-115"/>
            <w:jc w:val="right"/>
          </w:pPr>
        </w:p>
      </w:tc>
    </w:tr>
  </w:tbl>
  <w:p w14:paraId="0DAF4A33" w14:textId="77777777" w:rsidR="00AF3428" w:rsidRDefault="00AF3428" w:rsidP="55C83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55C8311A" w14:paraId="2C9ACB5A" w14:textId="77777777" w:rsidTr="55C8311A">
      <w:tc>
        <w:tcPr>
          <w:tcW w:w="4320" w:type="dxa"/>
        </w:tcPr>
        <w:p w14:paraId="0AE51E2F" w14:textId="5667B9E0" w:rsidR="55C8311A" w:rsidRDefault="55C8311A" w:rsidP="55C8311A">
          <w:pPr>
            <w:pStyle w:val="Header"/>
            <w:ind w:left="-115"/>
          </w:pPr>
        </w:p>
      </w:tc>
      <w:tc>
        <w:tcPr>
          <w:tcW w:w="4320" w:type="dxa"/>
        </w:tcPr>
        <w:p w14:paraId="68542C7B" w14:textId="16BB6EFB" w:rsidR="55C8311A" w:rsidRDefault="55C8311A" w:rsidP="55C8311A">
          <w:pPr>
            <w:pStyle w:val="Header"/>
            <w:jc w:val="center"/>
          </w:pPr>
        </w:p>
      </w:tc>
      <w:tc>
        <w:tcPr>
          <w:tcW w:w="4320" w:type="dxa"/>
        </w:tcPr>
        <w:p w14:paraId="5EB210B2" w14:textId="4F3B1E01" w:rsidR="55C8311A" w:rsidRDefault="55C8311A" w:rsidP="55C8311A">
          <w:pPr>
            <w:pStyle w:val="Header"/>
            <w:ind w:right="-115"/>
            <w:jc w:val="right"/>
          </w:pPr>
        </w:p>
      </w:tc>
    </w:tr>
  </w:tbl>
  <w:p w14:paraId="045688EF" w14:textId="4D94E0EC" w:rsidR="55C8311A" w:rsidRDefault="55C8311A" w:rsidP="55C831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5C8311A" w14:paraId="633AC0CC" w14:textId="77777777" w:rsidTr="55C8311A">
      <w:tc>
        <w:tcPr>
          <w:tcW w:w="3120" w:type="dxa"/>
        </w:tcPr>
        <w:p w14:paraId="512EA040" w14:textId="1C0E675C" w:rsidR="55C8311A" w:rsidRDefault="55C8311A" w:rsidP="55C8311A">
          <w:pPr>
            <w:pStyle w:val="Header"/>
            <w:ind w:left="-115"/>
          </w:pPr>
        </w:p>
      </w:tc>
      <w:tc>
        <w:tcPr>
          <w:tcW w:w="3120" w:type="dxa"/>
        </w:tcPr>
        <w:p w14:paraId="421AAFF4" w14:textId="53BE4B6D" w:rsidR="55C8311A" w:rsidRDefault="55C8311A" w:rsidP="55C8311A">
          <w:pPr>
            <w:pStyle w:val="Header"/>
            <w:jc w:val="center"/>
          </w:pPr>
        </w:p>
      </w:tc>
      <w:tc>
        <w:tcPr>
          <w:tcW w:w="3120" w:type="dxa"/>
        </w:tcPr>
        <w:p w14:paraId="116E7AD0" w14:textId="4359D0EF" w:rsidR="55C8311A" w:rsidRDefault="55C8311A" w:rsidP="55C8311A">
          <w:pPr>
            <w:pStyle w:val="Header"/>
            <w:ind w:right="-115"/>
            <w:jc w:val="right"/>
          </w:pPr>
        </w:p>
      </w:tc>
    </w:tr>
  </w:tbl>
  <w:p w14:paraId="4A39F5D1" w14:textId="4EE10BCC" w:rsidR="55C8311A" w:rsidRDefault="55C8311A" w:rsidP="55C83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9C9E6" w14:textId="77777777" w:rsidR="00E765AF" w:rsidRDefault="00E765AF" w:rsidP="008D6B4C">
      <w:pPr>
        <w:spacing w:line="240" w:lineRule="auto"/>
      </w:pPr>
      <w:r>
        <w:separator/>
      </w:r>
    </w:p>
  </w:footnote>
  <w:footnote w:type="continuationSeparator" w:id="0">
    <w:p w14:paraId="0A1E76B5" w14:textId="77777777" w:rsidR="00E765AF" w:rsidRDefault="00E765AF" w:rsidP="008D6B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F3428" w14:paraId="54503E66" w14:textId="77777777" w:rsidTr="55C8311A">
      <w:tc>
        <w:tcPr>
          <w:tcW w:w="3120" w:type="dxa"/>
        </w:tcPr>
        <w:p w14:paraId="7A5E8A11" w14:textId="77777777" w:rsidR="00AF3428" w:rsidRDefault="00AF3428" w:rsidP="55C8311A">
          <w:pPr>
            <w:pStyle w:val="Header"/>
            <w:ind w:left="-115"/>
          </w:pPr>
        </w:p>
      </w:tc>
      <w:tc>
        <w:tcPr>
          <w:tcW w:w="3120" w:type="dxa"/>
        </w:tcPr>
        <w:p w14:paraId="17E3A730" w14:textId="77777777" w:rsidR="00AF3428" w:rsidRDefault="00AF3428" w:rsidP="55C8311A">
          <w:pPr>
            <w:pStyle w:val="Header"/>
            <w:jc w:val="center"/>
          </w:pPr>
        </w:p>
      </w:tc>
      <w:tc>
        <w:tcPr>
          <w:tcW w:w="3120" w:type="dxa"/>
        </w:tcPr>
        <w:p w14:paraId="13919D67" w14:textId="77777777" w:rsidR="00AF3428" w:rsidRDefault="00AF3428" w:rsidP="55C8311A">
          <w:pPr>
            <w:pStyle w:val="Header"/>
            <w:ind w:right="-115"/>
            <w:jc w:val="right"/>
          </w:pPr>
        </w:p>
      </w:tc>
    </w:tr>
  </w:tbl>
  <w:p w14:paraId="2576C1EC" w14:textId="77777777" w:rsidR="00AF3428" w:rsidRDefault="00AF3428" w:rsidP="55C83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55C8311A" w14:paraId="40366531" w14:textId="77777777" w:rsidTr="55C8311A">
      <w:tc>
        <w:tcPr>
          <w:tcW w:w="4320" w:type="dxa"/>
        </w:tcPr>
        <w:p w14:paraId="752B518F" w14:textId="3370470D" w:rsidR="55C8311A" w:rsidRDefault="55C8311A" w:rsidP="55C8311A">
          <w:pPr>
            <w:pStyle w:val="Header"/>
            <w:ind w:left="-115"/>
          </w:pPr>
        </w:p>
      </w:tc>
      <w:tc>
        <w:tcPr>
          <w:tcW w:w="4320" w:type="dxa"/>
        </w:tcPr>
        <w:p w14:paraId="44C12746" w14:textId="1F20321F" w:rsidR="55C8311A" w:rsidRDefault="55C8311A" w:rsidP="55C8311A">
          <w:pPr>
            <w:pStyle w:val="Header"/>
            <w:jc w:val="center"/>
          </w:pPr>
        </w:p>
      </w:tc>
      <w:tc>
        <w:tcPr>
          <w:tcW w:w="4320" w:type="dxa"/>
        </w:tcPr>
        <w:p w14:paraId="6A58A682" w14:textId="67786172" w:rsidR="55C8311A" w:rsidRDefault="55C8311A" w:rsidP="55C8311A">
          <w:pPr>
            <w:pStyle w:val="Header"/>
            <w:ind w:right="-115"/>
            <w:jc w:val="right"/>
          </w:pPr>
        </w:p>
      </w:tc>
    </w:tr>
  </w:tbl>
  <w:p w14:paraId="4245A684" w14:textId="30E05E2D" w:rsidR="55C8311A" w:rsidRDefault="55C8311A" w:rsidP="55C831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5C8311A" w14:paraId="48171FE8" w14:textId="77777777" w:rsidTr="55C8311A">
      <w:tc>
        <w:tcPr>
          <w:tcW w:w="3120" w:type="dxa"/>
        </w:tcPr>
        <w:p w14:paraId="0170777F" w14:textId="40113D13" w:rsidR="55C8311A" w:rsidRDefault="55C8311A" w:rsidP="55C8311A">
          <w:pPr>
            <w:pStyle w:val="Header"/>
            <w:ind w:left="-115"/>
          </w:pPr>
        </w:p>
      </w:tc>
      <w:tc>
        <w:tcPr>
          <w:tcW w:w="3120" w:type="dxa"/>
        </w:tcPr>
        <w:p w14:paraId="672A1441" w14:textId="56B8A56D" w:rsidR="55C8311A" w:rsidRDefault="55C8311A" w:rsidP="55C8311A">
          <w:pPr>
            <w:pStyle w:val="Header"/>
            <w:jc w:val="center"/>
          </w:pPr>
        </w:p>
      </w:tc>
      <w:tc>
        <w:tcPr>
          <w:tcW w:w="3120" w:type="dxa"/>
        </w:tcPr>
        <w:p w14:paraId="48806593" w14:textId="63CBCBF8" w:rsidR="55C8311A" w:rsidRDefault="55C8311A" w:rsidP="55C8311A">
          <w:pPr>
            <w:pStyle w:val="Header"/>
            <w:ind w:right="-115"/>
            <w:jc w:val="right"/>
          </w:pPr>
        </w:p>
      </w:tc>
    </w:tr>
  </w:tbl>
  <w:p w14:paraId="6D95683F" w14:textId="2B3C940A" w:rsidR="55C8311A" w:rsidRDefault="55C8311A" w:rsidP="55C83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1184"/>
    <w:multiLevelType w:val="multilevel"/>
    <w:tmpl w:val="2F786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A428F7"/>
    <w:multiLevelType w:val="multilevel"/>
    <w:tmpl w:val="A16A0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E36ADC"/>
    <w:multiLevelType w:val="multilevel"/>
    <w:tmpl w:val="A50427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A52689"/>
    <w:multiLevelType w:val="multilevel"/>
    <w:tmpl w:val="273C8B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E33"/>
    <w:rsid w:val="00147938"/>
    <w:rsid w:val="00167CDD"/>
    <w:rsid w:val="00172ED8"/>
    <w:rsid w:val="001807C5"/>
    <w:rsid w:val="001E1368"/>
    <w:rsid w:val="001F4CF3"/>
    <w:rsid w:val="002322A5"/>
    <w:rsid w:val="00245B1E"/>
    <w:rsid w:val="00273733"/>
    <w:rsid w:val="002B2C0D"/>
    <w:rsid w:val="00360CE4"/>
    <w:rsid w:val="00377CBF"/>
    <w:rsid w:val="00407DC7"/>
    <w:rsid w:val="004438D0"/>
    <w:rsid w:val="004B2452"/>
    <w:rsid w:val="004B32FA"/>
    <w:rsid w:val="004B73BE"/>
    <w:rsid w:val="00502418"/>
    <w:rsid w:val="00507039"/>
    <w:rsid w:val="00550D90"/>
    <w:rsid w:val="005A0056"/>
    <w:rsid w:val="00691AFA"/>
    <w:rsid w:val="00747143"/>
    <w:rsid w:val="00760787"/>
    <w:rsid w:val="00785A6B"/>
    <w:rsid w:val="00795E33"/>
    <w:rsid w:val="007D7FF2"/>
    <w:rsid w:val="00811EA7"/>
    <w:rsid w:val="008447B0"/>
    <w:rsid w:val="008D6B4C"/>
    <w:rsid w:val="009908AA"/>
    <w:rsid w:val="00A1093E"/>
    <w:rsid w:val="00AD02B9"/>
    <w:rsid w:val="00AF3428"/>
    <w:rsid w:val="00B55B58"/>
    <w:rsid w:val="00C06A1B"/>
    <w:rsid w:val="00C168D9"/>
    <w:rsid w:val="00C37CC4"/>
    <w:rsid w:val="00C50654"/>
    <w:rsid w:val="00CC39C8"/>
    <w:rsid w:val="00D01156"/>
    <w:rsid w:val="00D43E12"/>
    <w:rsid w:val="00D80D0B"/>
    <w:rsid w:val="00DD4F72"/>
    <w:rsid w:val="00E13772"/>
    <w:rsid w:val="00E16687"/>
    <w:rsid w:val="00E765AF"/>
    <w:rsid w:val="00E92B50"/>
    <w:rsid w:val="00F32962"/>
    <w:rsid w:val="00F704F5"/>
    <w:rsid w:val="00FA69CB"/>
    <w:rsid w:val="00FF06ED"/>
    <w:rsid w:val="3088152B"/>
    <w:rsid w:val="55C83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D0686"/>
  <w15:chartTrackingRefBased/>
  <w15:docId w15:val="{8E6EC81C-446D-8543-8CFA-8AF17549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222222"/>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95E33"/>
    <w:pPr>
      <w:spacing w:line="276" w:lineRule="auto"/>
    </w:pPr>
    <w:rPr>
      <w:rFonts w:ascii="Arial" w:eastAsia="Arial" w:hAnsi="Arial" w:cs="Arial"/>
      <w:color w:val="auto"/>
      <w:sz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E3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5E33"/>
    <w:rPr>
      <w:rFonts w:ascii="Times New Roman" w:eastAsia="Arial" w:hAnsi="Times New Roman"/>
      <w:color w:val="auto"/>
      <w:sz w:val="18"/>
      <w:szCs w:val="18"/>
      <w:lang w:val="en"/>
    </w:rPr>
  </w:style>
  <w:style w:type="paragraph" w:styleId="CommentText">
    <w:name w:val="annotation text"/>
    <w:basedOn w:val="Normal"/>
    <w:link w:val="CommentTextChar"/>
    <w:uiPriority w:val="99"/>
    <w:semiHidden/>
    <w:unhideWhenUsed/>
    <w:rsid w:val="00795E33"/>
    <w:pPr>
      <w:spacing w:line="240" w:lineRule="auto"/>
    </w:pPr>
    <w:rPr>
      <w:sz w:val="20"/>
      <w:szCs w:val="20"/>
    </w:rPr>
  </w:style>
  <w:style w:type="character" w:customStyle="1" w:styleId="CommentTextChar">
    <w:name w:val="Comment Text Char"/>
    <w:basedOn w:val="DefaultParagraphFont"/>
    <w:link w:val="CommentText"/>
    <w:uiPriority w:val="99"/>
    <w:semiHidden/>
    <w:rsid w:val="00795E33"/>
    <w:rPr>
      <w:rFonts w:ascii="Arial" w:eastAsia="Arial" w:hAnsi="Arial" w:cs="Arial"/>
      <w:color w:val="auto"/>
      <w:sz w:val="20"/>
      <w:szCs w:val="20"/>
      <w:lang w:val="en"/>
    </w:rPr>
  </w:style>
  <w:style w:type="character" w:styleId="CommentReference">
    <w:name w:val="annotation reference"/>
    <w:basedOn w:val="DefaultParagraphFont"/>
    <w:uiPriority w:val="99"/>
    <w:semiHidden/>
    <w:unhideWhenUsed/>
    <w:rsid w:val="00795E33"/>
    <w:rPr>
      <w:sz w:val="16"/>
      <w:szCs w:val="16"/>
    </w:rPr>
  </w:style>
  <w:style w:type="paragraph" w:styleId="ListParagraph">
    <w:name w:val="List Paragraph"/>
    <w:basedOn w:val="Normal"/>
    <w:uiPriority w:val="34"/>
    <w:qFormat/>
    <w:rsid w:val="00795E33"/>
    <w:pPr>
      <w:ind w:left="720"/>
      <w:contextualSpacing/>
    </w:pPr>
  </w:style>
  <w:style w:type="paragraph" w:styleId="Header">
    <w:name w:val="header"/>
    <w:basedOn w:val="Normal"/>
    <w:link w:val="HeaderChar"/>
    <w:uiPriority w:val="99"/>
    <w:unhideWhenUsed/>
    <w:rsid w:val="008D6B4C"/>
    <w:pPr>
      <w:tabs>
        <w:tab w:val="center" w:pos="4680"/>
        <w:tab w:val="right" w:pos="9360"/>
      </w:tabs>
      <w:spacing w:line="240" w:lineRule="auto"/>
    </w:pPr>
  </w:style>
  <w:style w:type="character" w:customStyle="1" w:styleId="HeaderChar">
    <w:name w:val="Header Char"/>
    <w:basedOn w:val="DefaultParagraphFont"/>
    <w:link w:val="Header"/>
    <w:uiPriority w:val="99"/>
    <w:rsid w:val="008D6B4C"/>
    <w:rPr>
      <w:rFonts w:ascii="Arial" w:eastAsia="Arial" w:hAnsi="Arial" w:cs="Arial"/>
      <w:color w:val="auto"/>
      <w:sz w:val="22"/>
      <w:lang w:val="en"/>
    </w:rPr>
  </w:style>
  <w:style w:type="paragraph" w:styleId="Footer">
    <w:name w:val="footer"/>
    <w:basedOn w:val="Normal"/>
    <w:link w:val="FooterChar"/>
    <w:uiPriority w:val="99"/>
    <w:unhideWhenUsed/>
    <w:rsid w:val="008D6B4C"/>
    <w:pPr>
      <w:tabs>
        <w:tab w:val="center" w:pos="4680"/>
        <w:tab w:val="right" w:pos="9360"/>
      </w:tabs>
      <w:spacing w:line="240" w:lineRule="auto"/>
    </w:pPr>
  </w:style>
  <w:style w:type="character" w:customStyle="1" w:styleId="FooterChar">
    <w:name w:val="Footer Char"/>
    <w:basedOn w:val="DefaultParagraphFont"/>
    <w:link w:val="Footer"/>
    <w:uiPriority w:val="99"/>
    <w:rsid w:val="008D6B4C"/>
    <w:rPr>
      <w:rFonts w:ascii="Arial" w:eastAsia="Arial" w:hAnsi="Arial" w:cs="Arial"/>
      <w:color w:val="auto"/>
      <w:sz w:val="22"/>
      <w:lang w:val="en"/>
    </w:rPr>
  </w:style>
  <w:style w:type="character" w:styleId="Hyperlink">
    <w:name w:val="Hyperlink"/>
    <w:basedOn w:val="DefaultParagraphFont"/>
    <w:uiPriority w:val="99"/>
    <w:unhideWhenUsed/>
    <w:rsid w:val="00C50654"/>
    <w:rPr>
      <w:color w:val="0000FF"/>
      <w:u w:val="single"/>
    </w:rPr>
  </w:style>
  <w:style w:type="character" w:styleId="UnresolvedMention">
    <w:name w:val="Unresolved Mention"/>
    <w:basedOn w:val="DefaultParagraphFont"/>
    <w:uiPriority w:val="99"/>
    <w:rsid w:val="00C50654"/>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130165">
      <w:bodyDiv w:val="1"/>
      <w:marLeft w:val="0"/>
      <w:marRight w:val="0"/>
      <w:marTop w:val="0"/>
      <w:marBottom w:val="0"/>
      <w:divBdr>
        <w:top w:val="none" w:sz="0" w:space="0" w:color="auto"/>
        <w:left w:val="none" w:sz="0" w:space="0" w:color="auto"/>
        <w:bottom w:val="none" w:sz="0" w:space="0" w:color="auto"/>
        <w:right w:val="none" w:sz="0" w:space="0" w:color="auto"/>
      </w:divBdr>
    </w:div>
    <w:div w:id="459761559">
      <w:bodyDiv w:val="1"/>
      <w:marLeft w:val="0"/>
      <w:marRight w:val="0"/>
      <w:marTop w:val="0"/>
      <w:marBottom w:val="0"/>
      <w:divBdr>
        <w:top w:val="none" w:sz="0" w:space="0" w:color="auto"/>
        <w:left w:val="none" w:sz="0" w:space="0" w:color="auto"/>
        <w:bottom w:val="none" w:sz="0" w:space="0" w:color="auto"/>
        <w:right w:val="none" w:sz="0" w:space="0" w:color="auto"/>
      </w:divBdr>
    </w:div>
    <w:div w:id="834566930">
      <w:bodyDiv w:val="1"/>
      <w:marLeft w:val="0"/>
      <w:marRight w:val="0"/>
      <w:marTop w:val="0"/>
      <w:marBottom w:val="0"/>
      <w:divBdr>
        <w:top w:val="none" w:sz="0" w:space="0" w:color="auto"/>
        <w:left w:val="none" w:sz="0" w:space="0" w:color="auto"/>
        <w:bottom w:val="none" w:sz="0" w:space="0" w:color="auto"/>
        <w:right w:val="none" w:sz="0" w:space="0" w:color="auto"/>
      </w:divBdr>
    </w:div>
    <w:div w:id="1020165085">
      <w:bodyDiv w:val="1"/>
      <w:marLeft w:val="0"/>
      <w:marRight w:val="0"/>
      <w:marTop w:val="0"/>
      <w:marBottom w:val="0"/>
      <w:divBdr>
        <w:top w:val="none" w:sz="0" w:space="0" w:color="auto"/>
        <w:left w:val="none" w:sz="0" w:space="0" w:color="auto"/>
        <w:bottom w:val="none" w:sz="0" w:space="0" w:color="auto"/>
        <w:right w:val="none" w:sz="0" w:space="0" w:color="auto"/>
      </w:divBdr>
    </w:div>
    <w:div w:id="1023942561">
      <w:bodyDiv w:val="1"/>
      <w:marLeft w:val="0"/>
      <w:marRight w:val="0"/>
      <w:marTop w:val="0"/>
      <w:marBottom w:val="0"/>
      <w:divBdr>
        <w:top w:val="none" w:sz="0" w:space="0" w:color="auto"/>
        <w:left w:val="none" w:sz="0" w:space="0" w:color="auto"/>
        <w:bottom w:val="none" w:sz="0" w:space="0" w:color="auto"/>
        <w:right w:val="none" w:sz="0" w:space="0" w:color="auto"/>
      </w:divBdr>
    </w:div>
    <w:div w:id="1125585287">
      <w:bodyDiv w:val="1"/>
      <w:marLeft w:val="0"/>
      <w:marRight w:val="0"/>
      <w:marTop w:val="0"/>
      <w:marBottom w:val="0"/>
      <w:divBdr>
        <w:top w:val="none" w:sz="0" w:space="0" w:color="auto"/>
        <w:left w:val="none" w:sz="0" w:space="0" w:color="auto"/>
        <w:bottom w:val="none" w:sz="0" w:space="0" w:color="auto"/>
        <w:right w:val="none" w:sz="0" w:space="0" w:color="auto"/>
      </w:divBdr>
    </w:div>
    <w:div w:id="1610047376">
      <w:bodyDiv w:val="1"/>
      <w:marLeft w:val="0"/>
      <w:marRight w:val="0"/>
      <w:marTop w:val="0"/>
      <w:marBottom w:val="0"/>
      <w:divBdr>
        <w:top w:val="none" w:sz="0" w:space="0" w:color="auto"/>
        <w:left w:val="none" w:sz="0" w:space="0" w:color="auto"/>
        <w:bottom w:val="none" w:sz="0" w:space="0" w:color="auto"/>
        <w:right w:val="none" w:sz="0" w:space="0" w:color="auto"/>
      </w:divBdr>
    </w:div>
    <w:div w:id="1756047451">
      <w:bodyDiv w:val="1"/>
      <w:marLeft w:val="0"/>
      <w:marRight w:val="0"/>
      <w:marTop w:val="0"/>
      <w:marBottom w:val="0"/>
      <w:divBdr>
        <w:top w:val="none" w:sz="0" w:space="0" w:color="auto"/>
        <w:left w:val="none" w:sz="0" w:space="0" w:color="auto"/>
        <w:bottom w:val="none" w:sz="0" w:space="0" w:color="auto"/>
        <w:right w:val="none" w:sz="0" w:space="0" w:color="auto"/>
      </w:divBdr>
    </w:div>
    <w:div w:id="1969698779">
      <w:bodyDiv w:val="1"/>
      <w:marLeft w:val="0"/>
      <w:marRight w:val="0"/>
      <w:marTop w:val="0"/>
      <w:marBottom w:val="0"/>
      <w:divBdr>
        <w:top w:val="none" w:sz="0" w:space="0" w:color="auto"/>
        <w:left w:val="none" w:sz="0" w:space="0" w:color="auto"/>
        <w:bottom w:val="none" w:sz="0" w:space="0" w:color="auto"/>
        <w:right w:val="none" w:sz="0" w:space="0" w:color="auto"/>
      </w:divBdr>
    </w:div>
    <w:div w:id="202100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d.umich.edu/asp/adult.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4758C330-CF08-B047-989F-CBDE3709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3327</Words>
  <Characters>18966</Characters>
  <Application>Microsoft Office Word</Application>
  <DocSecurity>0</DocSecurity>
  <Lines>158</Lines>
  <Paragraphs>44</Paragraphs>
  <ScaleCrop>false</ScaleCrop>
  <Company/>
  <LinksUpToDate>false</LinksUpToDate>
  <CharactersWithSpaces>22249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Appukutty, Abhinav</dc:creator>
  <cp:keywords/>
  <dc:description/>
  <cp:lastModifiedBy>nssoper@umich.edu</cp:lastModifiedBy>
  <cp:revision>3</cp:revision>
  <dcterms:created xsi:type="dcterms:W3CDTF">2021-05-10T19:58:00Z</dcterms:created>
  <dcterms:modified xsi:type="dcterms:W3CDTF">2021-05-10T20:18:00Z</dcterms:modified>
</cp:coreProperties>
</file>