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B7DF" w14:textId="72FAFA60" w:rsidR="00941476" w:rsidRPr="00941476" w:rsidRDefault="00941476" w:rsidP="00941476">
      <w:pPr>
        <w:spacing w:line="48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FD0A7F">
        <w:rPr>
          <w:rFonts w:ascii="Times New Roman" w:hAnsi="Times New Roman"/>
          <w:b/>
          <w:bCs/>
          <w:sz w:val="24"/>
          <w:szCs w:val="24"/>
          <w:lang w:val="en-US"/>
        </w:rPr>
        <w:t xml:space="preserve">Supplemental Material </w:t>
      </w:r>
      <w:r w:rsidRPr="00FD0A7F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Pr="00FD0A7F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Protocol for real-time </w:t>
      </w:r>
      <w:r w:rsidRPr="00941476">
        <w:rPr>
          <w:rFonts w:ascii="Times New Roman" w:hAnsi="Times New Roman"/>
          <w:sz w:val="24"/>
          <w:szCs w:val="24"/>
          <w:lang w:val="en-US"/>
        </w:rPr>
        <w:t>Polymerase Chain Reaction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1476">
        <w:rPr>
          <w:rFonts w:ascii="Times New Roman" w:hAnsi="Times New Roman"/>
          <w:sz w:val="24"/>
          <w:szCs w:val="24"/>
          <w:lang w:val="en-US"/>
        </w:rPr>
        <w:t xml:space="preserve">of the </w:t>
      </w:r>
      <w:r w:rsidRPr="00941476">
        <w:rPr>
          <w:rFonts w:ascii="Times New Roman" w:hAnsi="Times New Roman"/>
          <w:i/>
          <w:iCs/>
          <w:sz w:val="24"/>
          <w:szCs w:val="24"/>
          <w:lang w:val="en-US"/>
        </w:rPr>
        <w:t>bla</w:t>
      </w:r>
      <w:r w:rsidRPr="00941476">
        <w:rPr>
          <w:rFonts w:ascii="Times New Roman" w:hAnsi="Times New Roman"/>
          <w:sz w:val="24"/>
          <w:szCs w:val="24"/>
          <w:lang w:val="en-US"/>
        </w:rPr>
        <w:t xml:space="preserve">OXA51, </w:t>
      </w:r>
      <w:r w:rsidRPr="00941476">
        <w:rPr>
          <w:rFonts w:ascii="Times New Roman" w:hAnsi="Times New Roman"/>
          <w:i/>
          <w:iCs/>
          <w:sz w:val="24"/>
          <w:szCs w:val="24"/>
          <w:lang w:val="en-US"/>
        </w:rPr>
        <w:t>qac</w:t>
      </w:r>
      <w:r w:rsidRPr="00941476">
        <w:rPr>
          <w:rFonts w:ascii="Times New Roman" w:hAnsi="Times New Roman"/>
          <w:sz w:val="24"/>
          <w:szCs w:val="24"/>
          <w:lang w:val="en-US"/>
        </w:rPr>
        <w:t xml:space="preserve">E∆1, and </w:t>
      </w:r>
      <w:r w:rsidRPr="00941476">
        <w:rPr>
          <w:rFonts w:ascii="Times New Roman" w:hAnsi="Times New Roman"/>
          <w:i/>
          <w:iCs/>
          <w:sz w:val="24"/>
          <w:szCs w:val="24"/>
          <w:lang w:val="en-US"/>
        </w:rPr>
        <w:t>bla</w:t>
      </w:r>
      <w:r w:rsidRPr="00941476">
        <w:rPr>
          <w:rFonts w:ascii="Times New Roman" w:hAnsi="Times New Roman"/>
          <w:sz w:val="24"/>
          <w:szCs w:val="24"/>
          <w:lang w:val="en-US"/>
        </w:rPr>
        <w:t>OXA23 genes</w:t>
      </w:r>
      <w:r>
        <w:rPr>
          <w:rFonts w:ascii="Times New Roman" w:hAnsi="Times New Roman"/>
          <w:sz w:val="24"/>
          <w:szCs w:val="24"/>
          <w:lang w:val="en-US"/>
        </w:rPr>
        <w:t xml:space="preserve">. Protocol was followed according to: </w:t>
      </w:r>
      <w:r w:rsidRPr="00941476">
        <w:rPr>
          <w:rFonts w:ascii="Times New Roman" w:hAnsi="Times New Roman"/>
          <w:sz w:val="24"/>
          <w:szCs w:val="24"/>
          <w:lang w:val="en-US"/>
        </w:rPr>
        <w:t xml:space="preserve">Wang C, Cai P, Guo Y, Mi Z. 2007. Distribution of the antiseptic-resistance genes qacEDelta1 in 331 clinical isolates of </w:t>
      </w:r>
      <w:r w:rsidRPr="00941476">
        <w:rPr>
          <w:rFonts w:ascii="Times New Roman" w:hAnsi="Times New Roman"/>
          <w:i/>
          <w:iCs/>
          <w:sz w:val="24"/>
          <w:szCs w:val="24"/>
          <w:lang w:val="en-US"/>
        </w:rPr>
        <w:t>Pseudomonas aeruginosa</w:t>
      </w:r>
      <w:r w:rsidRPr="00941476">
        <w:rPr>
          <w:rFonts w:ascii="Times New Roman" w:hAnsi="Times New Roman"/>
          <w:sz w:val="24"/>
          <w:szCs w:val="24"/>
          <w:lang w:val="en-US"/>
        </w:rPr>
        <w:t xml:space="preserve"> in China. J Hosp Infect 66:93-5</w:t>
      </w:r>
      <w:r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941476">
        <w:rPr>
          <w:rFonts w:ascii="Times New Roman" w:hAnsi="Times New Roman"/>
          <w:sz w:val="24"/>
          <w:szCs w:val="24"/>
          <w:lang w:val="en-US"/>
        </w:rPr>
        <w:t xml:space="preserve">Huang XZ, Cash DM, Chahine MA, </w:t>
      </w:r>
      <w:proofErr w:type="spellStart"/>
      <w:r w:rsidRPr="00941476">
        <w:rPr>
          <w:rFonts w:ascii="Times New Roman" w:hAnsi="Times New Roman"/>
          <w:sz w:val="24"/>
          <w:szCs w:val="24"/>
          <w:lang w:val="en-US"/>
        </w:rPr>
        <w:t>Nikolich</w:t>
      </w:r>
      <w:proofErr w:type="spellEnd"/>
      <w:r w:rsidRPr="00941476">
        <w:rPr>
          <w:rFonts w:ascii="Times New Roman" w:hAnsi="Times New Roman"/>
          <w:sz w:val="24"/>
          <w:szCs w:val="24"/>
          <w:lang w:val="en-US"/>
        </w:rPr>
        <w:t xml:space="preserve"> MP, Craft DW. 2012. Development and validation of a multiplex TaqMan real-time PCR for rapid detection of genes encoding four types of class D </w:t>
      </w:r>
      <w:proofErr w:type="spellStart"/>
      <w:r w:rsidRPr="00941476">
        <w:rPr>
          <w:rFonts w:ascii="Times New Roman" w:hAnsi="Times New Roman"/>
          <w:sz w:val="24"/>
          <w:szCs w:val="24"/>
          <w:lang w:val="en-US"/>
        </w:rPr>
        <w:t>carbapenemase</w:t>
      </w:r>
      <w:proofErr w:type="spellEnd"/>
      <w:r w:rsidRPr="00941476">
        <w:rPr>
          <w:rFonts w:ascii="Times New Roman" w:hAnsi="Times New Roman"/>
          <w:sz w:val="24"/>
          <w:szCs w:val="24"/>
          <w:lang w:val="en-US"/>
        </w:rPr>
        <w:t xml:space="preserve"> in </w:t>
      </w:r>
      <w:r w:rsidRPr="00941476">
        <w:rPr>
          <w:rFonts w:ascii="Times New Roman" w:hAnsi="Times New Roman"/>
          <w:i/>
          <w:iCs/>
          <w:sz w:val="24"/>
          <w:szCs w:val="24"/>
          <w:lang w:val="en-US"/>
        </w:rPr>
        <w:t xml:space="preserve">Acinetobacter </w:t>
      </w:r>
      <w:proofErr w:type="spellStart"/>
      <w:r w:rsidRPr="00941476">
        <w:rPr>
          <w:rFonts w:ascii="Times New Roman" w:hAnsi="Times New Roman"/>
          <w:i/>
          <w:iCs/>
          <w:sz w:val="24"/>
          <w:szCs w:val="24"/>
          <w:lang w:val="en-US"/>
        </w:rPr>
        <w:t>baumannii</w:t>
      </w:r>
      <w:proofErr w:type="spellEnd"/>
      <w:r w:rsidRPr="00941476">
        <w:rPr>
          <w:rFonts w:ascii="Times New Roman" w:hAnsi="Times New Roman"/>
          <w:sz w:val="24"/>
          <w:szCs w:val="24"/>
          <w:lang w:val="en-US"/>
        </w:rPr>
        <w:t>. J Med Microbiol 61:1532-7.</w:t>
      </w:r>
    </w:p>
    <w:p w14:paraId="50138E0E" w14:textId="2BF5B3BA" w:rsidR="00267BDE" w:rsidRDefault="00267BDE" w:rsidP="00267BDE">
      <w:pPr>
        <w:spacing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For real-time PCR of the </w:t>
      </w:r>
      <w:r w:rsidRPr="00267BDE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bla</w:t>
      </w:r>
      <w:r w:rsidRPr="00267BDE">
        <w:rPr>
          <w:rFonts w:ascii="Times New Roman" w:hAnsi="Times New Roman"/>
          <w:i/>
          <w:color w:val="000000" w:themeColor="text1"/>
          <w:sz w:val="24"/>
          <w:szCs w:val="24"/>
          <w:vertAlign w:val="subscript"/>
          <w:lang w:val="en-US"/>
        </w:rPr>
        <w:t xml:space="preserve">OXA51 </w:t>
      </w:r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and </w:t>
      </w:r>
      <w:r w:rsidRPr="00267BDE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qac</w:t>
      </w:r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E∆1 gene, 9.5 </w:t>
      </w:r>
      <w:proofErr w:type="spellStart"/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μL</w:t>
      </w:r>
      <w:proofErr w:type="spellEnd"/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of ultrapure water, 0.5 </w:t>
      </w:r>
      <w:proofErr w:type="spellStart"/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μL</w:t>
      </w:r>
      <w:proofErr w:type="spellEnd"/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of each primer (forward and reverse, 10μM), 12.5 </w:t>
      </w:r>
      <w:proofErr w:type="spellStart"/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μL</w:t>
      </w:r>
      <w:proofErr w:type="spellEnd"/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of SYBR Green PCR were used with Master Mix (Applied Biosystems, UK, 20mM) and two </w:t>
      </w:r>
      <w:proofErr w:type="spellStart"/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μL</w:t>
      </w:r>
      <w:proofErr w:type="spellEnd"/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of DNA, totaling 25 </w:t>
      </w:r>
      <w:proofErr w:type="spellStart"/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μL</w:t>
      </w:r>
      <w:proofErr w:type="spellEnd"/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per reaction well, for each sample. To perform the </w:t>
      </w:r>
      <w:r w:rsidRPr="00267BDE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bla</w:t>
      </w:r>
      <w:r w:rsidRPr="00267BDE">
        <w:rPr>
          <w:rFonts w:ascii="Times New Roman" w:hAnsi="Times New Roman"/>
          <w:i/>
          <w:color w:val="000000" w:themeColor="text1"/>
          <w:sz w:val="24"/>
          <w:szCs w:val="24"/>
          <w:vertAlign w:val="subscript"/>
          <w:lang w:val="en-US"/>
        </w:rPr>
        <w:t>OXA23</w:t>
      </w:r>
      <w:r w:rsidRPr="00267BDE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research, 0.5 </w:t>
      </w:r>
      <w:proofErr w:type="spellStart"/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μL</w:t>
      </w:r>
      <w:proofErr w:type="spellEnd"/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of the probe (10μM), 0.5 </w:t>
      </w:r>
      <w:proofErr w:type="spellStart"/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μL</w:t>
      </w:r>
      <w:proofErr w:type="spellEnd"/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of each primer (forward and reverse, 10μM), and two </w:t>
      </w:r>
      <w:proofErr w:type="spellStart"/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μL</w:t>
      </w:r>
      <w:proofErr w:type="spellEnd"/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of DNA were used. </w:t>
      </w:r>
      <w:r w:rsidRPr="00267BDE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 xml:space="preserve">Acinetobacter </w:t>
      </w:r>
      <w:proofErr w:type="spellStart"/>
      <w:r w:rsidRPr="00267BDE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baumannii</w:t>
      </w:r>
      <w:proofErr w:type="spellEnd"/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ATCC19606 (American Type Culture Collection) was used as a positive control for </w:t>
      </w:r>
      <w:proofErr w:type="spellStart"/>
      <w:r w:rsidRPr="00267BDE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bla</w:t>
      </w:r>
      <w:r w:rsidRPr="00267BDE">
        <w:rPr>
          <w:rFonts w:ascii="Times New Roman" w:hAnsi="Times New Roman"/>
          <w:i/>
          <w:color w:val="000000" w:themeColor="text1"/>
          <w:sz w:val="24"/>
          <w:szCs w:val="24"/>
          <w:vertAlign w:val="subscript"/>
          <w:lang w:val="en-US"/>
        </w:rPr>
        <w:t>OXA</w:t>
      </w:r>
      <w:proofErr w:type="spellEnd"/>
      <w:r w:rsidRPr="00267BDE">
        <w:rPr>
          <w:rFonts w:ascii="Times New Roman" w:hAnsi="Times New Roman"/>
          <w:i/>
          <w:color w:val="000000" w:themeColor="text1"/>
          <w:sz w:val="24"/>
          <w:szCs w:val="24"/>
          <w:vertAlign w:val="subscript"/>
          <w:lang w:val="en-US"/>
        </w:rPr>
        <w:t xml:space="preserve"> </w:t>
      </w:r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genes, and a strain of </w:t>
      </w:r>
      <w:r w:rsidRPr="00267BDE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Pseudomonas</w:t>
      </w:r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267BDE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aeruginosa</w:t>
      </w:r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positive for the presence of the </w:t>
      </w:r>
      <w:r w:rsidRPr="00267BDE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qac</w:t>
      </w:r>
      <w:r w:rsidRPr="00267BD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EΔ1 gene (LACEN-PR). The reactions were amplified in the 7500 Fast Real-Time System thermal cycler, following the parameters: denaturation of 95ºC for 10 minutes, followed by 35 extension cycles of 95ºC for 30 seconds, and 60ºC for 1 minute</w:t>
      </w:r>
      <w:r w:rsidR="00F20D8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</w:p>
    <w:p w14:paraId="4F567BEA" w14:textId="43DC9A12" w:rsidR="00F20D89" w:rsidRDefault="00F20D89" w:rsidP="00267BDE">
      <w:pPr>
        <w:spacing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14:paraId="010F8B1F" w14:textId="77777777" w:rsidR="00F20D89" w:rsidRPr="00267BDE" w:rsidRDefault="00F20D89" w:rsidP="00267BDE">
      <w:pPr>
        <w:spacing w:line="480" w:lineRule="auto"/>
        <w:jc w:val="both"/>
        <w:rPr>
          <w:sz w:val="24"/>
          <w:szCs w:val="24"/>
        </w:rPr>
      </w:pPr>
    </w:p>
    <w:sectPr w:rsidR="00F20D89" w:rsidRPr="00267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DE"/>
    <w:rsid w:val="00267BDE"/>
    <w:rsid w:val="005D34CB"/>
    <w:rsid w:val="00941476"/>
    <w:rsid w:val="00F20D89"/>
    <w:rsid w:val="00F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6396"/>
  <w15:chartTrackingRefBased/>
  <w15:docId w15:val="{EAD450ED-D1B7-47E7-BE81-2543888B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F20D89"/>
    <w:pPr>
      <w:spacing w:after="20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EndNoteBibliographyChar">
    <w:name w:val="EndNote Bibliography Char"/>
    <w:basedOn w:val="Fontepargpadro"/>
    <w:link w:val="EndNoteBibliography"/>
    <w:rsid w:val="00F20D89"/>
    <w:rPr>
      <w:rFonts w:ascii="Times New Roman" w:eastAsia="Times New Roman" w:hAnsi="Times New Roman" w:cs="Times New Roman"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Stadler</dc:creator>
  <cp:keywords/>
  <dc:description/>
  <cp:lastModifiedBy>Victoria Stadler</cp:lastModifiedBy>
  <cp:revision>5</cp:revision>
  <dcterms:created xsi:type="dcterms:W3CDTF">2021-08-28T23:39:00Z</dcterms:created>
  <dcterms:modified xsi:type="dcterms:W3CDTF">2021-09-11T23:19:00Z</dcterms:modified>
</cp:coreProperties>
</file>