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BBAC" w14:textId="77777777" w:rsidR="00092D8E" w:rsidRDefault="00324A1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  <w:r>
        <w:rPr>
          <w:rFonts w:ascii="Helvetica" w:hAnsi="Helvetica" w:cs="Times New Roman"/>
          <w:b/>
          <w:bCs/>
          <w:sz w:val="24"/>
          <w:szCs w:val="24"/>
        </w:rPr>
        <w:t xml:space="preserve">Supplementary </w:t>
      </w:r>
      <w:r w:rsidR="00092D8E">
        <w:rPr>
          <w:rFonts w:ascii="Helvetica" w:hAnsi="Helvetica" w:cs="Times New Roman"/>
          <w:b/>
          <w:bCs/>
          <w:sz w:val="24"/>
          <w:szCs w:val="24"/>
        </w:rPr>
        <w:t>Appendix</w:t>
      </w:r>
    </w:p>
    <w:p w14:paraId="4308ABC8" w14:textId="40D66960" w:rsidR="00092D8E" w:rsidRDefault="00092D8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7C956A1A" w14:textId="158894EC" w:rsidR="00255DEF" w:rsidRDefault="007B0745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  <w:r>
        <w:rPr>
          <w:rFonts w:ascii="Helvetica" w:hAnsi="Helvetica" w:cs="Times New Roman"/>
          <w:b/>
          <w:bCs/>
          <w:sz w:val="24"/>
          <w:szCs w:val="24"/>
        </w:rPr>
        <w:t>Microbiologic and PICC Details</w:t>
      </w:r>
    </w:p>
    <w:p w14:paraId="4A294C6A" w14:textId="116E7352" w:rsidR="007B0745" w:rsidRDefault="007B0745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</w:rPr>
      </w:pPr>
      <w:r w:rsidRPr="007B0745">
        <w:rPr>
          <w:rFonts w:ascii="Helvetica" w:hAnsi="Helvetica" w:cs="Times New Roman"/>
          <w:sz w:val="24"/>
          <w:szCs w:val="24"/>
        </w:rPr>
        <w:t>For suspected infection in acute leukemia patients with central venous catheters</w:t>
      </w:r>
      <w:r>
        <w:rPr>
          <w:rFonts w:ascii="Helvetica" w:hAnsi="Helvetica" w:cs="Times New Roman"/>
          <w:sz w:val="24"/>
          <w:szCs w:val="24"/>
        </w:rPr>
        <w:t xml:space="preserve"> during the study period</w:t>
      </w:r>
      <w:r w:rsidRPr="007B0745">
        <w:rPr>
          <w:rFonts w:ascii="Helvetica" w:hAnsi="Helvetica" w:cs="Times New Roman"/>
          <w:sz w:val="24"/>
          <w:szCs w:val="24"/>
        </w:rPr>
        <w:t xml:space="preserve">, </w:t>
      </w:r>
      <w:r>
        <w:rPr>
          <w:rFonts w:ascii="Helvetica" w:hAnsi="Helvetica" w:cs="Times New Roman"/>
          <w:sz w:val="24"/>
          <w:szCs w:val="24"/>
        </w:rPr>
        <w:t>institutional</w:t>
      </w:r>
      <w:r w:rsidRPr="007B0745">
        <w:rPr>
          <w:rFonts w:ascii="Helvetica" w:hAnsi="Helvetica" w:cs="Times New Roman"/>
          <w:sz w:val="24"/>
          <w:szCs w:val="24"/>
        </w:rPr>
        <w:t xml:space="preserve"> guidelines recommend</w:t>
      </w:r>
      <w:r>
        <w:rPr>
          <w:rFonts w:ascii="Helvetica" w:hAnsi="Helvetica" w:cs="Times New Roman"/>
          <w:sz w:val="24"/>
          <w:szCs w:val="24"/>
        </w:rPr>
        <w:t>ed</w:t>
      </w:r>
      <w:r w:rsidRPr="007B0745">
        <w:rPr>
          <w:rFonts w:ascii="Helvetica" w:hAnsi="Helvetica" w:cs="Times New Roman"/>
          <w:sz w:val="24"/>
          <w:szCs w:val="24"/>
        </w:rPr>
        <w:t xml:space="preserve"> obtaining 2 sets of blood cultures (aerobic and anaerobic) from both a peripheral site and central line. </w:t>
      </w:r>
      <w:r>
        <w:rPr>
          <w:rFonts w:ascii="Helvetica" w:hAnsi="Helvetica" w:cs="Times New Roman"/>
          <w:sz w:val="24"/>
          <w:szCs w:val="24"/>
        </w:rPr>
        <w:t>Catheter l</w:t>
      </w:r>
      <w:r w:rsidRPr="007B0745">
        <w:rPr>
          <w:rFonts w:ascii="Helvetica" w:hAnsi="Helvetica" w:cs="Times New Roman"/>
          <w:sz w:val="24"/>
          <w:szCs w:val="24"/>
        </w:rPr>
        <w:t>umen</w:t>
      </w:r>
      <w:r>
        <w:rPr>
          <w:rFonts w:ascii="Helvetica" w:hAnsi="Helvetica" w:cs="Times New Roman"/>
          <w:sz w:val="24"/>
          <w:szCs w:val="24"/>
        </w:rPr>
        <w:t xml:space="preserve"> cultures</w:t>
      </w:r>
      <w:r w:rsidRPr="007B0745">
        <w:rPr>
          <w:rFonts w:ascii="Helvetica" w:hAnsi="Helvetica" w:cs="Times New Roman"/>
          <w:sz w:val="24"/>
          <w:szCs w:val="24"/>
        </w:rPr>
        <w:t xml:space="preserve"> were processed individually</w:t>
      </w:r>
      <w:r>
        <w:rPr>
          <w:rFonts w:ascii="Helvetica" w:hAnsi="Helvetica" w:cs="Times New Roman"/>
          <w:sz w:val="24"/>
          <w:szCs w:val="24"/>
        </w:rPr>
        <w:t xml:space="preserve">. </w:t>
      </w:r>
    </w:p>
    <w:p w14:paraId="24FAF47F" w14:textId="77777777" w:rsidR="007B0745" w:rsidRDefault="007B0745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</w:rPr>
      </w:pPr>
    </w:p>
    <w:p w14:paraId="4944D3BD" w14:textId="2D655F04" w:rsidR="00255DEF" w:rsidRDefault="00255DE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The BARD </w:t>
      </w:r>
      <w:proofErr w:type="spellStart"/>
      <w:r>
        <w:rPr>
          <w:rFonts w:ascii="Helvetica" w:hAnsi="Helvetica" w:cs="Times New Roman"/>
          <w:sz w:val="24"/>
          <w:szCs w:val="24"/>
        </w:rPr>
        <w:t>PowerPICC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™ was the standard PICC placed during the study period, except for September 2017 – February 2018 when the BARD </w:t>
      </w:r>
      <w:proofErr w:type="spellStart"/>
      <w:r>
        <w:rPr>
          <w:rFonts w:ascii="Helvetica" w:hAnsi="Helvetica" w:cs="Times New Roman"/>
          <w:sz w:val="24"/>
          <w:szCs w:val="24"/>
        </w:rPr>
        <w:t>PowerPICC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™ </w:t>
      </w:r>
      <w:proofErr w:type="spellStart"/>
      <w:r>
        <w:rPr>
          <w:rFonts w:ascii="Helvetica" w:hAnsi="Helvetica" w:cs="Times New Roman"/>
          <w:sz w:val="24"/>
          <w:szCs w:val="24"/>
        </w:rPr>
        <w:t>Provena</w:t>
      </w:r>
      <w:proofErr w:type="spellEnd"/>
      <w:r>
        <w:rPr>
          <w:rFonts w:ascii="Helvetica" w:hAnsi="Helvetica" w:cs="Times New Roman"/>
          <w:sz w:val="24"/>
          <w:szCs w:val="24"/>
        </w:rPr>
        <w:t>™ was utilized.</w:t>
      </w:r>
      <w:r w:rsidR="00CF26FE">
        <w:rPr>
          <w:rFonts w:ascii="Helvetica" w:hAnsi="Helvetica" w:cs="Times New Roman"/>
          <w:sz w:val="24"/>
          <w:szCs w:val="24"/>
        </w:rPr>
        <w:t xml:space="preserve"> Double lumen PICCs were 4 Fr. and triple lumen PICCs were 5 Fr.</w:t>
      </w:r>
    </w:p>
    <w:p w14:paraId="656B780B" w14:textId="77777777" w:rsidR="004404C2" w:rsidRDefault="004404C2" w:rsidP="00867509">
      <w:pPr>
        <w:autoSpaceDE w:val="0"/>
        <w:autoSpaceDN w:val="0"/>
        <w:adjustRightInd w:val="0"/>
        <w:spacing w:line="480" w:lineRule="auto"/>
        <w:rPr>
          <w:rFonts w:ascii="Helvetica" w:hAnsi="Helvetica" w:cs="Times New Roman"/>
          <w:b/>
          <w:bCs/>
          <w:sz w:val="24"/>
          <w:szCs w:val="24"/>
        </w:rPr>
      </w:pPr>
    </w:p>
    <w:p w14:paraId="054F38EE" w14:textId="1F88D32E" w:rsidR="00867509" w:rsidRPr="00573B5B" w:rsidRDefault="00867509" w:rsidP="00867509">
      <w:pPr>
        <w:autoSpaceDE w:val="0"/>
        <w:autoSpaceDN w:val="0"/>
        <w:adjustRightInd w:val="0"/>
        <w:spacing w:line="480" w:lineRule="auto"/>
        <w:rPr>
          <w:rFonts w:ascii="Helvetica" w:hAnsi="Helvetica" w:cs="Times New Roman"/>
          <w:b/>
          <w:bCs/>
          <w:sz w:val="24"/>
          <w:szCs w:val="24"/>
        </w:rPr>
      </w:pPr>
      <w:r w:rsidRPr="00D82CD9">
        <w:rPr>
          <w:rFonts w:ascii="Helvetica" w:hAnsi="Helvetica" w:cs="Times New Roman"/>
          <w:b/>
          <w:bCs/>
          <w:sz w:val="24"/>
          <w:szCs w:val="24"/>
        </w:rPr>
        <w:t xml:space="preserve">Table </w:t>
      </w:r>
      <w:r>
        <w:rPr>
          <w:rFonts w:ascii="Helvetica" w:hAnsi="Helvetica" w:cs="Times New Roman"/>
          <w:b/>
          <w:bCs/>
          <w:sz w:val="24"/>
          <w:szCs w:val="24"/>
        </w:rPr>
        <w:t>S</w:t>
      </w:r>
      <w:r w:rsidR="00B22A9E">
        <w:rPr>
          <w:rFonts w:ascii="Helvetica" w:hAnsi="Helvetica" w:cs="Times New Roman"/>
          <w:b/>
          <w:bCs/>
          <w:sz w:val="24"/>
          <w:szCs w:val="24"/>
        </w:rPr>
        <w:t>1</w:t>
      </w:r>
      <w:r w:rsidRPr="00D82CD9">
        <w:rPr>
          <w:rFonts w:ascii="Helvetica" w:hAnsi="Helvetica" w:cs="Times New Roman"/>
          <w:b/>
          <w:bCs/>
          <w:sz w:val="24"/>
          <w:szCs w:val="24"/>
        </w:rPr>
        <w:t xml:space="preserve">: </w:t>
      </w:r>
      <w:r>
        <w:rPr>
          <w:rFonts w:ascii="Helvetica" w:hAnsi="Helvetica" w:cs="Times New Roman"/>
          <w:b/>
          <w:bCs/>
          <w:sz w:val="24"/>
          <w:szCs w:val="24"/>
        </w:rPr>
        <w:t>Univariable and Multivariable Analysis for Predictors of CLABSI</w:t>
      </w:r>
    </w:p>
    <w:tbl>
      <w:tblPr>
        <w:tblStyle w:val="TableGrid1"/>
        <w:tblW w:w="10800" w:type="dxa"/>
        <w:tblInd w:w="-815" w:type="dxa"/>
        <w:tblLook w:val="04A0" w:firstRow="1" w:lastRow="0" w:firstColumn="1" w:lastColumn="0" w:noHBand="0" w:noVBand="1"/>
      </w:tblPr>
      <w:tblGrid>
        <w:gridCol w:w="2488"/>
        <w:gridCol w:w="1901"/>
        <w:gridCol w:w="1904"/>
        <w:gridCol w:w="1176"/>
        <w:gridCol w:w="1981"/>
        <w:gridCol w:w="1350"/>
      </w:tblGrid>
      <w:tr w:rsidR="00867509" w:rsidRPr="005754E4" w14:paraId="57999700" w14:textId="77777777" w:rsidTr="002F412C">
        <w:trPr>
          <w:trHeight w:val="576"/>
        </w:trPr>
        <w:tc>
          <w:tcPr>
            <w:tcW w:w="2488" w:type="dxa"/>
            <w:vAlign w:val="center"/>
          </w:tcPr>
          <w:p w14:paraId="4B47A35B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4981" w:type="dxa"/>
            <w:gridSpan w:val="3"/>
            <w:vAlign w:val="center"/>
          </w:tcPr>
          <w:p w14:paraId="1652A9EF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Univariable Analysis</w:t>
            </w:r>
          </w:p>
        </w:tc>
        <w:tc>
          <w:tcPr>
            <w:tcW w:w="3331" w:type="dxa"/>
            <w:gridSpan w:val="2"/>
          </w:tcPr>
          <w:p w14:paraId="7C4E016C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Multivariable Logistic Regression</w:t>
            </w:r>
          </w:p>
        </w:tc>
      </w:tr>
      <w:tr w:rsidR="00867509" w:rsidRPr="005754E4" w14:paraId="08E9BA20" w14:textId="77777777" w:rsidTr="002F412C">
        <w:trPr>
          <w:trHeight w:val="576"/>
        </w:trPr>
        <w:tc>
          <w:tcPr>
            <w:tcW w:w="2488" w:type="dxa"/>
            <w:vAlign w:val="center"/>
          </w:tcPr>
          <w:p w14:paraId="3A42C420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2E6AD365" w14:textId="77777777" w:rsidR="00867509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CLABSI</w:t>
            </w:r>
          </w:p>
          <w:p w14:paraId="533CA660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(n=47)</w:t>
            </w:r>
          </w:p>
        </w:tc>
        <w:tc>
          <w:tcPr>
            <w:tcW w:w="1904" w:type="dxa"/>
            <w:vAlign w:val="center"/>
          </w:tcPr>
          <w:p w14:paraId="58C7A52A" w14:textId="77777777" w:rsidR="00867509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No CLABSI</w:t>
            </w:r>
          </w:p>
          <w:p w14:paraId="7E18127F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(n=160)</w:t>
            </w:r>
          </w:p>
        </w:tc>
        <w:tc>
          <w:tcPr>
            <w:tcW w:w="1176" w:type="dxa"/>
            <w:vAlign w:val="center"/>
          </w:tcPr>
          <w:p w14:paraId="7C8A94F5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54E4">
              <w:rPr>
                <w:rFonts w:ascii="Helvetica" w:hAnsi="Helvetica"/>
                <w:b/>
                <w:sz w:val="24"/>
                <w:szCs w:val="24"/>
              </w:rPr>
              <w:t>P-value</w:t>
            </w:r>
          </w:p>
        </w:tc>
        <w:tc>
          <w:tcPr>
            <w:tcW w:w="1981" w:type="dxa"/>
            <w:vAlign w:val="center"/>
          </w:tcPr>
          <w:p w14:paraId="6B8180E6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OR (95% CI)</w:t>
            </w:r>
          </w:p>
        </w:tc>
        <w:tc>
          <w:tcPr>
            <w:tcW w:w="1350" w:type="dxa"/>
            <w:vAlign w:val="center"/>
          </w:tcPr>
          <w:p w14:paraId="623AE82C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P-value</w:t>
            </w:r>
          </w:p>
        </w:tc>
      </w:tr>
      <w:tr w:rsidR="00867509" w:rsidRPr="005754E4" w14:paraId="600EE21A" w14:textId="77777777" w:rsidTr="002F412C">
        <w:trPr>
          <w:trHeight w:val="360"/>
        </w:trPr>
        <w:tc>
          <w:tcPr>
            <w:tcW w:w="10800" w:type="dxa"/>
            <w:gridSpan w:val="6"/>
            <w:vAlign w:val="center"/>
          </w:tcPr>
          <w:p w14:paraId="099624CF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 w:rsidRPr="00733D1B">
              <w:rPr>
                <w:rFonts w:ascii="Helvetica" w:hAnsi="Helvetica"/>
                <w:i/>
                <w:iCs/>
                <w:sz w:val="24"/>
                <w:szCs w:val="24"/>
              </w:rPr>
              <w:t>Demographic Variables</w:t>
            </w:r>
          </w:p>
        </w:tc>
      </w:tr>
      <w:tr w:rsidR="00867509" w:rsidRPr="005754E4" w14:paraId="39EC2B03" w14:textId="77777777" w:rsidTr="002F412C">
        <w:trPr>
          <w:trHeight w:val="360"/>
        </w:trPr>
        <w:tc>
          <w:tcPr>
            <w:tcW w:w="2488" w:type="dxa"/>
            <w:vAlign w:val="center"/>
          </w:tcPr>
          <w:p w14:paraId="3604F589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 w:rsidRPr="005754E4">
              <w:rPr>
                <w:rFonts w:ascii="Helvetica" w:hAnsi="Helvetica"/>
                <w:sz w:val="24"/>
                <w:szCs w:val="24"/>
              </w:rPr>
              <w:t>Age</w:t>
            </w:r>
            <w:r w:rsidRPr="00F379C6">
              <w:rPr>
                <w:rFonts w:ascii="Helvetica" w:hAnsi="Helvetica" w:cs="Helvetic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901" w:type="dxa"/>
            <w:vAlign w:val="center"/>
          </w:tcPr>
          <w:p w14:paraId="774C466F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60 (24 – 74)</w:t>
            </w:r>
          </w:p>
        </w:tc>
        <w:tc>
          <w:tcPr>
            <w:tcW w:w="1904" w:type="dxa"/>
            <w:vAlign w:val="center"/>
          </w:tcPr>
          <w:p w14:paraId="4436FCF8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58 (21 – 82)</w:t>
            </w:r>
          </w:p>
        </w:tc>
        <w:tc>
          <w:tcPr>
            <w:tcW w:w="1176" w:type="dxa"/>
            <w:vAlign w:val="center"/>
          </w:tcPr>
          <w:p w14:paraId="0C939E9F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0.775</w:t>
            </w:r>
          </w:p>
        </w:tc>
        <w:tc>
          <w:tcPr>
            <w:tcW w:w="1981" w:type="dxa"/>
          </w:tcPr>
          <w:p w14:paraId="1638FC27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2E1519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867509" w:rsidRPr="005754E4" w14:paraId="69015637" w14:textId="77777777" w:rsidTr="002F412C">
        <w:trPr>
          <w:trHeight w:val="360"/>
        </w:trPr>
        <w:tc>
          <w:tcPr>
            <w:tcW w:w="2488" w:type="dxa"/>
            <w:vAlign w:val="center"/>
          </w:tcPr>
          <w:p w14:paraId="343ADE25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Gender, Female</w:t>
            </w:r>
          </w:p>
        </w:tc>
        <w:tc>
          <w:tcPr>
            <w:tcW w:w="1901" w:type="dxa"/>
            <w:vAlign w:val="center"/>
          </w:tcPr>
          <w:p w14:paraId="5168F2EE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17 (36.2%)</w:t>
            </w:r>
          </w:p>
        </w:tc>
        <w:tc>
          <w:tcPr>
            <w:tcW w:w="1904" w:type="dxa"/>
            <w:vAlign w:val="center"/>
          </w:tcPr>
          <w:p w14:paraId="423C64DC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70 (43.8%)</w:t>
            </w:r>
          </w:p>
        </w:tc>
        <w:tc>
          <w:tcPr>
            <w:tcW w:w="1176" w:type="dxa"/>
            <w:vAlign w:val="center"/>
          </w:tcPr>
          <w:p w14:paraId="21F621F1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0.355</w:t>
            </w:r>
          </w:p>
        </w:tc>
        <w:tc>
          <w:tcPr>
            <w:tcW w:w="1981" w:type="dxa"/>
          </w:tcPr>
          <w:p w14:paraId="7A80E21B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6F118E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867509" w:rsidRPr="005754E4" w14:paraId="3711ACDB" w14:textId="77777777" w:rsidTr="002F412C">
        <w:trPr>
          <w:trHeight w:val="360"/>
        </w:trPr>
        <w:tc>
          <w:tcPr>
            <w:tcW w:w="2488" w:type="dxa"/>
            <w:vAlign w:val="center"/>
          </w:tcPr>
          <w:p w14:paraId="73556FD1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Diabetes Mellitus</w:t>
            </w:r>
          </w:p>
        </w:tc>
        <w:tc>
          <w:tcPr>
            <w:tcW w:w="1901" w:type="dxa"/>
            <w:vAlign w:val="center"/>
          </w:tcPr>
          <w:p w14:paraId="2FAF9E16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13 (27.6%)</w:t>
            </w:r>
          </w:p>
        </w:tc>
        <w:tc>
          <w:tcPr>
            <w:tcW w:w="1904" w:type="dxa"/>
            <w:vAlign w:val="center"/>
          </w:tcPr>
          <w:p w14:paraId="7F5080E3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29 (18.1%)</w:t>
            </w:r>
          </w:p>
        </w:tc>
        <w:tc>
          <w:tcPr>
            <w:tcW w:w="1176" w:type="dxa"/>
            <w:vAlign w:val="center"/>
          </w:tcPr>
          <w:p w14:paraId="4E6D8EEF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0.153</w:t>
            </w:r>
          </w:p>
        </w:tc>
        <w:tc>
          <w:tcPr>
            <w:tcW w:w="1981" w:type="dxa"/>
          </w:tcPr>
          <w:p w14:paraId="5C113413" w14:textId="77777777" w:rsidR="00867509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1.721</w:t>
            </w:r>
          </w:p>
          <w:p w14:paraId="1B07A129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(0.807 – 3.670)</w:t>
            </w:r>
          </w:p>
        </w:tc>
        <w:tc>
          <w:tcPr>
            <w:tcW w:w="1350" w:type="dxa"/>
          </w:tcPr>
          <w:p w14:paraId="0EBE56B9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0.160</w:t>
            </w:r>
          </w:p>
        </w:tc>
      </w:tr>
      <w:tr w:rsidR="00867509" w:rsidRPr="005754E4" w14:paraId="3155C5AF" w14:textId="77777777" w:rsidTr="002F412C">
        <w:trPr>
          <w:trHeight w:val="360"/>
        </w:trPr>
        <w:tc>
          <w:tcPr>
            <w:tcW w:w="2488" w:type="dxa"/>
            <w:vAlign w:val="center"/>
          </w:tcPr>
          <w:p w14:paraId="3C21297F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sz w:val="24"/>
                <w:szCs w:val="24"/>
              </w:rPr>
              <w:t>Charlson</w:t>
            </w:r>
            <w:proofErr w:type="spellEnd"/>
            <w:r>
              <w:rPr>
                <w:rFonts w:ascii="Helvetica" w:hAnsi="Helvetica"/>
                <w:sz w:val="24"/>
                <w:szCs w:val="24"/>
              </w:rPr>
              <w:t xml:space="preserve"> Comorbidity Index</w:t>
            </w:r>
            <w:r w:rsidRPr="00F379C6">
              <w:rPr>
                <w:rFonts w:ascii="Helvetica" w:hAnsi="Helvetica" w:cs="Helvetica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901" w:type="dxa"/>
            <w:vAlign w:val="center"/>
          </w:tcPr>
          <w:p w14:paraId="5F41C21B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 (2 – 7)</w:t>
            </w:r>
          </w:p>
        </w:tc>
        <w:tc>
          <w:tcPr>
            <w:tcW w:w="1904" w:type="dxa"/>
            <w:vAlign w:val="center"/>
          </w:tcPr>
          <w:p w14:paraId="78C05EE5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 (2 – 9)</w:t>
            </w:r>
          </w:p>
        </w:tc>
        <w:tc>
          <w:tcPr>
            <w:tcW w:w="1176" w:type="dxa"/>
            <w:vAlign w:val="center"/>
          </w:tcPr>
          <w:p w14:paraId="07057646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0.612</w:t>
            </w:r>
          </w:p>
        </w:tc>
        <w:tc>
          <w:tcPr>
            <w:tcW w:w="1981" w:type="dxa"/>
          </w:tcPr>
          <w:p w14:paraId="7797114D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7FA7D0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867509" w:rsidRPr="005754E4" w14:paraId="4B517190" w14:textId="77777777" w:rsidTr="002F412C">
        <w:trPr>
          <w:trHeight w:val="360"/>
        </w:trPr>
        <w:tc>
          <w:tcPr>
            <w:tcW w:w="10800" w:type="dxa"/>
            <w:gridSpan w:val="6"/>
            <w:vAlign w:val="center"/>
          </w:tcPr>
          <w:p w14:paraId="428D8C70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 w:rsidRPr="00733D1B">
              <w:rPr>
                <w:rFonts w:ascii="Helvetica" w:hAnsi="Helvetica"/>
                <w:i/>
                <w:iCs/>
                <w:sz w:val="24"/>
                <w:szCs w:val="24"/>
              </w:rPr>
              <w:t>Disease Variables</w:t>
            </w:r>
          </w:p>
        </w:tc>
      </w:tr>
      <w:tr w:rsidR="00867509" w:rsidRPr="005754E4" w14:paraId="56935BC8" w14:textId="77777777" w:rsidTr="002F412C">
        <w:trPr>
          <w:trHeight w:val="360"/>
        </w:trPr>
        <w:tc>
          <w:tcPr>
            <w:tcW w:w="2488" w:type="dxa"/>
            <w:vAlign w:val="center"/>
          </w:tcPr>
          <w:p w14:paraId="0E7E8917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AML Diagnosis</w:t>
            </w:r>
          </w:p>
        </w:tc>
        <w:tc>
          <w:tcPr>
            <w:tcW w:w="1901" w:type="dxa"/>
            <w:vAlign w:val="center"/>
          </w:tcPr>
          <w:p w14:paraId="275E00C9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35 (74.5%)</w:t>
            </w:r>
          </w:p>
        </w:tc>
        <w:tc>
          <w:tcPr>
            <w:tcW w:w="1904" w:type="dxa"/>
            <w:vAlign w:val="center"/>
          </w:tcPr>
          <w:p w14:paraId="5C50F928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115 (71.9%)</w:t>
            </w:r>
          </w:p>
        </w:tc>
        <w:tc>
          <w:tcPr>
            <w:tcW w:w="1176" w:type="dxa"/>
            <w:vAlign w:val="center"/>
          </w:tcPr>
          <w:p w14:paraId="29736114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0.726</w:t>
            </w:r>
          </w:p>
        </w:tc>
        <w:tc>
          <w:tcPr>
            <w:tcW w:w="1981" w:type="dxa"/>
          </w:tcPr>
          <w:p w14:paraId="4A60052C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B338B5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867509" w:rsidRPr="005754E4" w14:paraId="5D3DC50E" w14:textId="77777777" w:rsidTr="002F412C">
        <w:trPr>
          <w:trHeight w:val="360"/>
        </w:trPr>
        <w:tc>
          <w:tcPr>
            <w:tcW w:w="2488" w:type="dxa"/>
            <w:vAlign w:val="center"/>
          </w:tcPr>
          <w:p w14:paraId="6E34F44D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Newly Diagnosed</w:t>
            </w:r>
          </w:p>
        </w:tc>
        <w:tc>
          <w:tcPr>
            <w:tcW w:w="1901" w:type="dxa"/>
            <w:vAlign w:val="center"/>
          </w:tcPr>
          <w:p w14:paraId="008D165A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43 (91.5%)</w:t>
            </w:r>
          </w:p>
        </w:tc>
        <w:tc>
          <w:tcPr>
            <w:tcW w:w="1904" w:type="dxa"/>
            <w:vAlign w:val="center"/>
          </w:tcPr>
          <w:p w14:paraId="3F9F2F38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146 (91.3%)</w:t>
            </w:r>
          </w:p>
        </w:tc>
        <w:tc>
          <w:tcPr>
            <w:tcW w:w="1176" w:type="dxa"/>
            <w:vAlign w:val="center"/>
          </w:tcPr>
          <w:p w14:paraId="58E35DD8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1.000</w:t>
            </w:r>
          </w:p>
        </w:tc>
        <w:tc>
          <w:tcPr>
            <w:tcW w:w="1981" w:type="dxa"/>
          </w:tcPr>
          <w:p w14:paraId="25941F5B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83B183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867509" w:rsidRPr="005754E4" w14:paraId="37667B2B" w14:textId="77777777" w:rsidTr="002F412C">
        <w:trPr>
          <w:trHeight w:val="360"/>
        </w:trPr>
        <w:tc>
          <w:tcPr>
            <w:tcW w:w="2488" w:type="dxa"/>
            <w:vAlign w:val="center"/>
          </w:tcPr>
          <w:p w14:paraId="25BD9B74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Antibiotic Use &gt;72h</w:t>
            </w:r>
          </w:p>
        </w:tc>
        <w:tc>
          <w:tcPr>
            <w:tcW w:w="1901" w:type="dxa"/>
            <w:vAlign w:val="center"/>
          </w:tcPr>
          <w:p w14:paraId="76018428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45 (95.7%)</w:t>
            </w:r>
          </w:p>
        </w:tc>
        <w:tc>
          <w:tcPr>
            <w:tcW w:w="1904" w:type="dxa"/>
            <w:vAlign w:val="center"/>
          </w:tcPr>
          <w:p w14:paraId="3337FCA0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143 (89.3%)</w:t>
            </w:r>
          </w:p>
        </w:tc>
        <w:tc>
          <w:tcPr>
            <w:tcW w:w="1176" w:type="dxa"/>
            <w:vAlign w:val="center"/>
          </w:tcPr>
          <w:p w14:paraId="05E356FA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0.255</w:t>
            </w:r>
          </w:p>
        </w:tc>
        <w:tc>
          <w:tcPr>
            <w:tcW w:w="1981" w:type="dxa"/>
          </w:tcPr>
          <w:p w14:paraId="7D8C67EB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7B9DEE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867509" w:rsidRPr="005754E4" w14:paraId="674C6677" w14:textId="77777777" w:rsidTr="002F412C">
        <w:trPr>
          <w:trHeight w:val="360"/>
        </w:trPr>
        <w:tc>
          <w:tcPr>
            <w:tcW w:w="2488" w:type="dxa"/>
            <w:vAlign w:val="center"/>
          </w:tcPr>
          <w:p w14:paraId="718FF3F0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Chemo Regimen</w:t>
            </w:r>
          </w:p>
          <w:p w14:paraId="3A8E3DCB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3+7</w:t>
            </w:r>
          </w:p>
          <w:p w14:paraId="7DE5551B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FLAG</w:t>
            </w:r>
          </w:p>
          <w:p w14:paraId="61FEEE22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/>
                <w:sz w:val="24"/>
                <w:szCs w:val="24"/>
              </w:rPr>
              <w:t>Other</w:t>
            </w:r>
            <w:proofErr w:type="gramEnd"/>
            <w:r>
              <w:rPr>
                <w:rFonts w:ascii="Helvetica" w:hAnsi="Helvetica"/>
                <w:sz w:val="24"/>
                <w:szCs w:val="24"/>
              </w:rPr>
              <w:t xml:space="preserve"> AML regimen</w:t>
            </w:r>
          </w:p>
          <w:p w14:paraId="0C027BFA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proofErr w:type="spellStart"/>
            <w:r>
              <w:rPr>
                <w:rFonts w:ascii="Helvetica" w:hAnsi="Helvetica"/>
                <w:sz w:val="24"/>
                <w:szCs w:val="24"/>
              </w:rPr>
              <w:t>HyperCVAD</w:t>
            </w:r>
            <w:proofErr w:type="spellEnd"/>
            <w:r>
              <w:rPr>
                <w:rFonts w:ascii="Helvetica" w:hAnsi="Helvetica"/>
                <w:sz w:val="24"/>
                <w:szCs w:val="24"/>
              </w:rPr>
              <w:t xml:space="preserve"> A</w:t>
            </w:r>
          </w:p>
          <w:p w14:paraId="565ACF54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Larson</w:t>
            </w:r>
          </w:p>
          <w:p w14:paraId="74D0BB7B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Other ALL regimen</w:t>
            </w:r>
          </w:p>
        </w:tc>
        <w:tc>
          <w:tcPr>
            <w:tcW w:w="1901" w:type="dxa"/>
          </w:tcPr>
          <w:p w14:paraId="06B54217" w14:textId="77777777" w:rsidR="00867509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  <w:p w14:paraId="72B52F1D" w14:textId="77777777" w:rsidR="00867509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23 (48.9%)</w:t>
            </w:r>
          </w:p>
          <w:p w14:paraId="2BDD65AB" w14:textId="77777777" w:rsidR="00867509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12 (25.5%)</w:t>
            </w:r>
          </w:p>
          <w:p w14:paraId="67922DF5" w14:textId="77777777" w:rsidR="00867509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 (6.4%)</w:t>
            </w:r>
          </w:p>
          <w:p w14:paraId="6DF9EBDD" w14:textId="77777777" w:rsidR="00867509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 (10.6%)</w:t>
            </w:r>
          </w:p>
          <w:p w14:paraId="27DA71A7" w14:textId="77777777" w:rsidR="00867509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 (10.6%)</w:t>
            </w:r>
          </w:p>
          <w:p w14:paraId="0246CA98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 (4.3%)</w:t>
            </w:r>
          </w:p>
        </w:tc>
        <w:tc>
          <w:tcPr>
            <w:tcW w:w="1904" w:type="dxa"/>
          </w:tcPr>
          <w:p w14:paraId="70D6E229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  <w:p w14:paraId="7EAF40E5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63 (39.4%)</w:t>
            </w:r>
          </w:p>
          <w:p w14:paraId="245987A8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51 (31.9%)</w:t>
            </w:r>
          </w:p>
          <w:p w14:paraId="19B5F241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 (6.3%)</w:t>
            </w:r>
          </w:p>
          <w:p w14:paraId="741B6042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10 (6.3%)</w:t>
            </w:r>
          </w:p>
          <w:p w14:paraId="5948AA1A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23 (14.4%)</w:t>
            </w:r>
          </w:p>
          <w:p w14:paraId="53B29776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 (5.0%)</w:t>
            </w:r>
          </w:p>
        </w:tc>
        <w:tc>
          <w:tcPr>
            <w:tcW w:w="1176" w:type="dxa"/>
          </w:tcPr>
          <w:p w14:paraId="056978EA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  <w:p w14:paraId="3A5063D4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0.242</w:t>
            </w:r>
          </w:p>
          <w:p w14:paraId="3912860C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0.406</w:t>
            </w:r>
          </w:p>
          <w:p w14:paraId="16AD3F85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1.000</w:t>
            </w:r>
          </w:p>
          <w:p w14:paraId="0F6A9DE5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0.339</w:t>
            </w:r>
          </w:p>
          <w:p w14:paraId="08382619" w14:textId="77777777" w:rsidR="00867509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0.510</w:t>
            </w:r>
          </w:p>
          <w:p w14:paraId="6D1A40A1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1.000</w:t>
            </w:r>
          </w:p>
        </w:tc>
        <w:tc>
          <w:tcPr>
            <w:tcW w:w="1981" w:type="dxa"/>
          </w:tcPr>
          <w:p w14:paraId="232E5F7E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123A1E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867509" w:rsidRPr="005754E4" w14:paraId="21F75081" w14:textId="77777777" w:rsidTr="002F412C">
        <w:trPr>
          <w:trHeight w:val="360"/>
        </w:trPr>
        <w:tc>
          <w:tcPr>
            <w:tcW w:w="10800" w:type="dxa"/>
            <w:gridSpan w:val="6"/>
            <w:vAlign w:val="center"/>
          </w:tcPr>
          <w:p w14:paraId="7903CDB3" w14:textId="77777777" w:rsidR="00867509" w:rsidRPr="00733D1B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i/>
                <w:iCs/>
                <w:sz w:val="24"/>
                <w:szCs w:val="24"/>
              </w:rPr>
            </w:pPr>
            <w:r w:rsidRPr="00733D1B">
              <w:rPr>
                <w:rFonts w:ascii="Helvetica" w:hAnsi="Helvetica"/>
                <w:i/>
                <w:iCs/>
                <w:sz w:val="24"/>
                <w:szCs w:val="24"/>
              </w:rPr>
              <w:lastRenderedPageBreak/>
              <w:t>Number of PICC Lumens</w:t>
            </w:r>
          </w:p>
        </w:tc>
      </w:tr>
      <w:tr w:rsidR="00867509" w:rsidRPr="005754E4" w14:paraId="06CD745F" w14:textId="77777777" w:rsidTr="002F412C">
        <w:trPr>
          <w:trHeight w:val="730"/>
        </w:trPr>
        <w:tc>
          <w:tcPr>
            <w:tcW w:w="2488" w:type="dxa"/>
            <w:vAlign w:val="center"/>
          </w:tcPr>
          <w:p w14:paraId="27D81DBC" w14:textId="77777777" w:rsidR="0086750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Triple Lumen PICC</w:t>
            </w:r>
          </w:p>
        </w:tc>
        <w:tc>
          <w:tcPr>
            <w:tcW w:w="1901" w:type="dxa"/>
            <w:vAlign w:val="center"/>
          </w:tcPr>
          <w:p w14:paraId="28F989F8" w14:textId="77777777" w:rsidR="00867509" w:rsidRPr="005754E4" w:rsidRDefault="00867509" w:rsidP="002F412C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25 (53.2%)</w:t>
            </w:r>
          </w:p>
        </w:tc>
        <w:tc>
          <w:tcPr>
            <w:tcW w:w="1904" w:type="dxa"/>
            <w:vAlign w:val="center"/>
          </w:tcPr>
          <w:p w14:paraId="082EAC50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88 (55%)</w:t>
            </w:r>
          </w:p>
        </w:tc>
        <w:tc>
          <w:tcPr>
            <w:tcW w:w="1176" w:type="dxa"/>
            <w:vAlign w:val="center"/>
          </w:tcPr>
          <w:p w14:paraId="01953BE7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0.827</w:t>
            </w:r>
          </w:p>
        </w:tc>
        <w:tc>
          <w:tcPr>
            <w:tcW w:w="1981" w:type="dxa"/>
          </w:tcPr>
          <w:p w14:paraId="5527C14B" w14:textId="77777777" w:rsidR="00867509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0.961</w:t>
            </w:r>
          </w:p>
          <w:p w14:paraId="712F32CF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(0.498 – 1.854)</w:t>
            </w:r>
          </w:p>
        </w:tc>
        <w:tc>
          <w:tcPr>
            <w:tcW w:w="1350" w:type="dxa"/>
          </w:tcPr>
          <w:p w14:paraId="3ABD2F54" w14:textId="77777777" w:rsidR="00867509" w:rsidRPr="005754E4" w:rsidRDefault="00867509" w:rsidP="002F412C">
            <w:pPr>
              <w:autoSpaceDE w:val="0"/>
              <w:autoSpaceDN w:val="0"/>
              <w:adjustRightInd w:val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0.905</w:t>
            </w:r>
          </w:p>
        </w:tc>
      </w:tr>
    </w:tbl>
    <w:p w14:paraId="12F62599" w14:textId="77777777" w:rsidR="00867509" w:rsidRDefault="00867509" w:rsidP="00867509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†</w:t>
      </w:r>
      <w:r>
        <w:rPr>
          <w:rFonts w:ascii="Helvetica" w:hAnsi="Helvetica" w:cs="Times New Roman"/>
          <w:sz w:val="24"/>
          <w:szCs w:val="24"/>
        </w:rPr>
        <w:t xml:space="preserve">Median (range); Other AML regimens include MEC, FLAG-Ida, Clofarabine-based, Other ALL regimens include </w:t>
      </w:r>
      <w:proofErr w:type="spellStart"/>
      <w:r>
        <w:rPr>
          <w:rFonts w:ascii="Helvetica" w:hAnsi="Helvetica" w:cs="Times New Roman"/>
          <w:sz w:val="24"/>
          <w:szCs w:val="24"/>
        </w:rPr>
        <w:t>HyperCVAD</w:t>
      </w:r>
      <w:proofErr w:type="spellEnd"/>
      <w:r>
        <w:rPr>
          <w:rFonts w:ascii="Helvetica" w:hAnsi="Helvetica" w:cs="Times New Roman"/>
          <w:sz w:val="24"/>
          <w:szCs w:val="24"/>
        </w:rPr>
        <w:t xml:space="preserve"> B, and CALGB10403</w:t>
      </w:r>
    </w:p>
    <w:p w14:paraId="26BCEE72" w14:textId="66E930A2" w:rsidR="00867509" w:rsidRDefault="00867509" w:rsidP="00867509">
      <w:pPr>
        <w:autoSpaceDE w:val="0"/>
        <w:autoSpaceDN w:val="0"/>
        <w:adjustRightInd w:val="0"/>
        <w:spacing w:line="480" w:lineRule="auto"/>
        <w:rPr>
          <w:rFonts w:ascii="Helvetica" w:hAnsi="Helvetica" w:cs="Times New Roman"/>
          <w:b/>
          <w:bCs/>
          <w:sz w:val="24"/>
          <w:szCs w:val="24"/>
        </w:rPr>
      </w:pPr>
    </w:p>
    <w:p w14:paraId="2F8C23A0" w14:textId="77777777" w:rsidR="004404C2" w:rsidRDefault="004404C2" w:rsidP="00867509">
      <w:pPr>
        <w:autoSpaceDE w:val="0"/>
        <w:autoSpaceDN w:val="0"/>
        <w:adjustRightInd w:val="0"/>
        <w:spacing w:line="480" w:lineRule="auto"/>
        <w:rPr>
          <w:rFonts w:ascii="Helvetica" w:hAnsi="Helvetica" w:cs="Times New Roman"/>
          <w:b/>
          <w:bCs/>
          <w:sz w:val="24"/>
          <w:szCs w:val="24"/>
        </w:rPr>
      </w:pPr>
    </w:p>
    <w:p w14:paraId="7B323BD2" w14:textId="0F020E93" w:rsidR="00867509" w:rsidRDefault="00867509" w:rsidP="00867509">
      <w:pPr>
        <w:autoSpaceDE w:val="0"/>
        <w:autoSpaceDN w:val="0"/>
        <w:adjustRightInd w:val="0"/>
        <w:spacing w:line="480" w:lineRule="auto"/>
        <w:rPr>
          <w:rFonts w:ascii="Helvetica" w:hAnsi="Helvetica" w:cs="Times New Roman"/>
          <w:b/>
          <w:bCs/>
          <w:sz w:val="24"/>
          <w:szCs w:val="24"/>
        </w:rPr>
      </w:pPr>
      <w:r w:rsidRPr="00D82CD9">
        <w:rPr>
          <w:rFonts w:ascii="Helvetica" w:hAnsi="Helvetica" w:cs="Times New Roman"/>
          <w:b/>
          <w:bCs/>
          <w:sz w:val="24"/>
          <w:szCs w:val="24"/>
        </w:rPr>
        <w:t xml:space="preserve">Table </w:t>
      </w:r>
      <w:r>
        <w:rPr>
          <w:rFonts w:ascii="Helvetica" w:hAnsi="Helvetica" w:cs="Times New Roman"/>
          <w:b/>
          <w:bCs/>
          <w:sz w:val="24"/>
          <w:szCs w:val="24"/>
        </w:rPr>
        <w:t>S</w:t>
      </w:r>
      <w:r w:rsidR="00B22A9E">
        <w:rPr>
          <w:rFonts w:ascii="Helvetica" w:hAnsi="Helvetica" w:cs="Times New Roman"/>
          <w:b/>
          <w:bCs/>
          <w:sz w:val="24"/>
          <w:szCs w:val="24"/>
        </w:rPr>
        <w:t>2</w:t>
      </w:r>
      <w:r w:rsidRPr="00D82CD9">
        <w:rPr>
          <w:rFonts w:ascii="Helvetica" w:hAnsi="Helvetica" w:cs="Times New Roman"/>
          <w:b/>
          <w:bCs/>
          <w:sz w:val="24"/>
          <w:szCs w:val="24"/>
        </w:rPr>
        <w:t>: Microbiology of CLABSI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867509" w:rsidRPr="005754E4" w14:paraId="6AB28D1C" w14:textId="77777777" w:rsidTr="002F412C">
        <w:trPr>
          <w:trHeight w:val="360"/>
        </w:trPr>
        <w:tc>
          <w:tcPr>
            <w:tcW w:w="4950" w:type="dxa"/>
          </w:tcPr>
          <w:p w14:paraId="512DE731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b/>
                <w:sz w:val="24"/>
                <w:szCs w:val="24"/>
              </w:rPr>
              <w:t>Pathogen</w:t>
            </w:r>
          </w:p>
        </w:tc>
        <w:tc>
          <w:tcPr>
            <w:tcW w:w="4950" w:type="dxa"/>
          </w:tcPr>
          <w:p w14:paraId="690B1F09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b/>
                <w:sz w:val="24"/>
                <w:szCs w:val="24"/>
              </w:rPr>
              <w:t>Number of Infections (n=4</w:t>
            </w:r>
            <w:r>
              <w:rPr>
                <w:rFonts w:ascii="Helvetica" w:hAnsi="Helvetica" w:cs="Times New Roman"/>
                <w:b/>
                <w:sz w:val="24"/>
                <w:szCs w:val="24"/>
              </w:rPr>
              <w:t>7</w:t>
            </w:r>
            <w:r w:rsidRPr="005754E4">
              <w:rPr>
                <w:rFonts w:ascii="Helvetica" w:hAnsi="Helvetica" w:cs="Times New Roman"/>
                <w:b/>
                <w:sz w:val="24"/>
                <w:szCs w:val="24"/>
              </w:rPr>
              <w:t>) (%)</w:t>
            </w:r>
          </w:p>
        </w:tc>
      </w:tr>
      <w:tr w:rsidR="00867509" w:rsidRPr="00277DEB" w14:paraId="75879865" w14:textId="77777777" w:rsidTr="002F412C">
        <w:trPr>
          <w:trHeight w:val="360"/>
        </w:trPr>
        <w:tc>
          <w:tcPr>
            <w:tcW w:w="4950" w:type="dxa"/>
          </w:tcPr>
          <w:p w14:paraId="5EDC5A24" w14:textId="77777777" w:rsidR="00867509" w:rsidRPr="00D15F87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b/>
                <w:iCs/>
                <w:sz w:val="24"/>
                <w:szCs w:val="24"/>
              </w:rPr>
            </w:pPr>
            <w:r w:rsidRPr="00D15F87">
              <w:rPr>
                <w:rFonts w:ascii="Helvetica" w:hAnsi="Helvetica" w:cs="Times New Roman"/>
                <w:b/>
                <w:iCs/>
                <w:sz w:val="24"/>
                <w:szCs w:val="24"/>
              </w:rPr>
              <w:t>Gram-negative Organisms</w:t>
            </w:r>
          </w:p>
        </w:tc>
        <w:tc>
          <w:tcPr>
            <w:tcW w:w="4950" w:type="dxa"/>
          </w:tcPr>
          <w:p w14:paraId="467AF14B" w14:textId="77777777" w:rsidR="00867509" w:rsidRPr="00277DEB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277DEB">
              <w:rPr>
                <w:rFonts w:ascii="Helvetica" w:hAnsi="Helvetica" w:cs="Times New Roman"/>
                <w:b/>
                <w:sz w:val="24"/>
                <w:szCs w:val="24"/>
              </w:rPr>
              <w:t>30 (63%)</w:t>
            </w:r>
          </w:p>
        </w:tc>
      </w:tr>
      <w:tr w:rsidR="00867509" w:rsidRPr="005754E4" w14:paraId="5DAB8037" w14:textId="77777777" w:rsidTr="002F412C">
        <w:trPr>
          <w:trHeight w:val="360"/>
        </w:trPr>
        <w:tc>
          <w:tcPr>
            <w:tcW w:w="4950" w:type="dxa"/>
          </w:tcPr>
          <w:p w14:paraId="6DEE45D6" w14:textId="77777777" w:rsidR="00867509" w:rsidRPr="00D82CD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i/>
                <w:iCs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Escherichia coli</w:t>
            </w:r>
          </w:p>
        </w:tc>
        <w:tc>
          <w:tcPr>
            <w:tcW w:w="4950" w:type="dxa"/>
          </w:tcPr>
          <w:p w14:paraId="68FA195A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14 (2</w:t>
            </w:r>
            <w:r>
              <w:rPr>
                <w:rFonts w:ascii="Helvetica" w:hAnsi="Helvetica" w:cs="Times New Roman"/>
                <w:sz w:val="24"/>
                <w:szCs w:val="24"/>
              </w:rPr>
              <w:t>8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>%)</w:t>
            </w:r>
          </w:p>
        </w:tc>
      </w:tr>
      <w:tr w:rsidR="00867509" w:rsidRPr="005754E4" w14:paraId="32BAD53E" w14:textId="77777777" w:rsidTr="002F412C">
        <w:trPr>
          <w:trHeight w:val="360"/>
        </w:trPr>
        <w:tc>
          <w:tcPr>
            <w:tcW w:w="4950" w:type="dxa"/>
          </w:tcPr>
          <w:p w14:paraId="176294C0" w14:textId="77777777" w:rsidR="00867509" w:rsidRPr="00D82CD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i/>
                <w:iCs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4950" w:type="dxa"/>
          </w:tcPr>
          <w:p w14:paraId="3BF14A44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5 (1</w:t>
            </w:r>
            <w:r>
              <w:rPr>
                <w:rFonts w:ascii="Helvetica" w:hAnsi="Helvetica" w:cs="Times New Roman"/>
                <w:sz w:val="24"/>
                <w:szCs w:val="24"/>
              </w:rPr>
              <w:t>1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>%)</w:t>
            </w:r>
          </w:p>
        </w:tc>
      </w:tr>
      <w:tr w:rsidR="00867509" w:rsidRPr="005754E4" w14:paraId="557C0341" w14:textId="77777777" w:rsidTr="002F412C">
        <w:trPr>
          <w:trHeight w:val="360"/>
        </w:trPr>
        <w:tc>
          <w:tcPr>
            <w:tcW w:w="4950" w:type="dxa"/>
          </w:tcPr>
          <w:p w14:paraId="44936A63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Enterobacter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4950" w:type="dxa"/>
          </w:tcPr>
          <w:p w14:paraId="66654103" w14:textId="77777777" w:rsidR="00867509" w:rsidRPr="005754E4" w:rsidRDefault="00867509" w:rsidP="002F412C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4 (</w:t>
            </w: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>%)</w:t>
            </w:r>
          </w:p>
        </w:tc>
      </w:tr>
      <w:tr w:rsidR="00867509" w:rsidRPr="005754E4" w14:paraId="2246A1C9" w14:textId="77777777" w:rsidTr="002F412C">
        <w:trPr>
          <w:trHeight w:val="360"/>
        </w:trPr>
        <w:tc>
          <w:tcPr>
            <w:tcW w:w="4950" w:type="dxa"/>
          </w:tcPr>
          <w:p w14:paraId="1195B56C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proofErr w:type="spellStart"/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Leptotrichia</w:t>
            </w:r>
            <w:proofErr w:type="spellEnd"/>
            <w:r w:rsidRPr="005754E4">
              <w:rPr>
                <w:rFonts w:ascii="Helvetica" w:hAnsi="Helvetica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4950" w:type="dxa"/>
          </w:tcPr>
          <w:p w14:paraId="375DBDC9" w14:textId="77777777" w:rsidR="00867509" w:rsidRPr="005754E4" w:rsidRDefault="00867509" w:rsidP="002F412C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2 (4%)</w:t>
            </w:r>
          </w:p>
        </w:tc>
      </w:tr>
      <w:tr w:rsidR="00867509" w:rsidRPr="005754E4" w14:paraId="6509F4B1" w14:textId="77777777" w:rsidTr="002F412C">
        <w:trPr>
          <w:trHeight w:val="360"/>
        </w:trPr>
        <w:tc>
          <w:tcPr>
            <w:tcW w:w="4950" w:type="dxa"/>
          </w:tcPr>
          <w:p w14:paraId="0AB966BA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Citrobacter</w:t>
            </w:r>
            <w:r>
              <w:rPr>
                <w:rFonts w:ascii="Helvetica" w:hAnsi="Helvetica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4950" w:type="dxa"/>
          </w:tcPr>
          <w:p w14:paraId="05A6A4B9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1 (2%)</w:t>
            </w:r>
          </w:p>
        </w:tc>
      </w:tr>
      <w:tr w:rsidR="00867509" w:rsidRPr="005754E4" w14:paraId="5472D693" w14:textId="77777777" w:rsidTr="002F412C">
        <w:trPr>
          <w:trHeight w:val="360"/>
        </w:trPr>
        <w:tc>
          <w:tcPr>
            <w:tcW w:w="4950" w:type="dxa"/>
          </w:tcPr>
          <w:p w14:paraId="49FD1FF0" w14:textId="77777777" w:rsidR="00867509" w:rsidRPr="00D82CD9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i/>
                <w:iCs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Proteus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4950" w:type="dxa"/>
          </w:tcPr>
          <w:p w14:paraId="0EBF1AC6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1 (2%)</w:t>
            </w:r>
          </w:p>
        </w:tc>
      </w:tr>
      <w:tr w:rsidR="00867509" w:rsidRPr="005754E4" w14:paraId="0C4E30A0" w14:textId="77777777" w:rsidTr="002F412C">
        <w:trPr>
          <w:trHeight w:val="360"/>
        </w:trPr>
        <w:tc>
          <w:tcPr>
            <w:tcW w:w="4950" w:type="dxa"/>
          </w:tcPr>
          <w:p w14:paraId="549EAB87" w14:textId="77777777" w:rsidR="00867509" w:rsidRPr="00D15F87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iCs/>
                <w:sz w:val="24"/>
                <w:szCs w:val="24"/>
              </w:rPr>
            </w:pPr>
            <w:r>
              <w:rPr>
                <w:rFonts w:ascii="Helvetica" w:hAnsi="Helvetica" w:cs="Times New Roman"/>
                <w:iCs/>
                <w:sz w:val="24"/>
                <w:szCs w:val="24"/>
              </w:rPr>
              <w:t xml:space="preserve">Other gram-negative organisms </w:t>
            </w:r>
          </w:p>
        </w:tc>
        <w:tc>
          <w:tcPr>
            <w:tcW w:w="4950" w:type="dxa"/>
          </w:tcPr>
          <w:p w14:paraId="662749FC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3 (6%)</w:t>
            </w:r>
          </w:p>
        </w:tc>
      </w:tr>
      <w:tr w:rsidR="00867509" w:rsidRPr="00277DEB" w14:paraId="0CCDC610" w14:textId="77777777" w:rsidTr="002F412C">
        <w:trPr>
          <w:trHeight w:val="360"/>
        </w:trPr>
        <w:tc>
          <w:tcPr>
            <w:tcW w:w="4950" w:type="dxa"/>
          </w:tcPr>
          <w:p w14:paraId="2EAC2911" w14:textId="77777777" w:rsidR="00867509" w:rsidRPr="00277DEB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277DEB">
              <w:rPr>
                <w:rFonts w:ascii="Helvetica" w:hAnsi="Helvetica" w:cs="Times New Roman"/>
                <w:b/>
                <w:sz w:val="24"/>
                <w:szCs w:val="24"/>
              </w:rPr>
              <w:t>Gram-positive Organisms</w:t>
            </w:r>
          </w:p>
        </w:tc>
        <w:tc>
          <w:tcPr>
            <w:tcW w:w="4950" w:type="dxa"/>
          </w:tcPr>
          <w:p w14:paraId="1DB03AD5" w14:textId="77777777" w:rsidR="00867509" w:rsidRPr="00277DEB" w:rsidRDefault="00867509" w:rsidP="002F412C">
            <w:pPr>
              <w:tabs>
                <w:tab w:val="left" w:pos="95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277DEB">
              <w:rPr>
                <w:rFonts w:ascii="Helvetica" w:hAnsi="Helvetica" w:cs="Times New Roman"/>
                <w:b/>
                <w:sz w:val="24"/>
                <w:szCs w:val="24"/>
              </w:rPr>
              <w:t>28 (57%)</w:t>
            </w:r>
          </w:p>
        </w:tc>
      </w:tr>
      <w:tr w:rsidR="00867509" w:rsidRPr="005754E4" w14:paraId="763A7142" w14:textId="77777777" w:rsidTr="002F412C">
        <w:trPr>
          <w:trHeight w:val="360"/>
        </w:trPr>
        <w:tc>
          <w:tcPr>
            <w:tcW w:w="4950" w:type="dxa"/>
          </w:tcPr>
          <w:p w14:paraId="4D340EA1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Streptococcus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4950" w:type="dxa"/>
          </w:tcPr>
          <w:p w14:paraId="612226E1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8 (17%)</w:t>
            </w:r>
          </w:p>
        </w:tc>
      </w:tr>
      <w:tr w:rsidR="00867509" w:rsidRPr="005754E4" w14:paraId="01586917" w14:textId="77777777" w:rsidTr="002F412C">
        <w:trPr>
          <w:trHeight w:val="360"/>
        </w:trPr>
        <w:tc>
          <w:tcPr>
            <w:tcW w:w="4950" w:type="dxa"/>
          </w:tcPr>
          <w:p w14:paraId="3B17E3EB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Staphylococcus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 xml:space="preserve"> </w:t>
            </w: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aureus</w:t>
            </w:r>
          </w:p>
        </w:tc>
        <w:tc>
          <w:tcPr>
            <w:tcW w:w="4950" w:type="dxa"/>
          </w:tcPr>
          <w:p w14:paraId="1E8F7A6D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7 (15%)</w:t>
            </w:r>
          </w:p>
        </w:tc>
      </w:tr>
      <w:tr w:rsidR="00867509" w:rsidRPr="005754E4" w14:paraId="41757C5A" w14:textId="77777777" w:rsidTr="002F412C">
        <w:trPr>
          <w:trHeight w:val="360"/>
        </w:trPr>
        <w:tc>
          <w:tcPr>
            <w:tcW w:w="4950" w:type="dxa"/>
          </w:tcPr>
          <w:p w14:paraId="37C44164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Enterococcus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4950" w:type="dxa"/>
          </w:tcPr>
          <w:p w14:paraId="7F0D6F58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6 (13%)</w:t>
            </w:r>
          </w:p>
        </w:tc>
      </w:tr>
      <w:tr w:rsidR="00867509" w:rsidRPr="005754E4" w14:paraId="6D16A901" w14:textId="77777777" w:rsidTr="002F412C">
        <w:trPr>
          <w:trHeight w:val="360"/>
        </w:trPr>
        <w:tc>
          <w:tcPr>
            <w:tcW w:w="4950" w:type="dxa"/>
          </w:tcPr>
          <w:p w14:paraId="53306C6D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Coagulase</w:t>
            </w:r>
            <w:r>
              <w:rPr>
                <w:rFonts w:ascii="Helvetica" w:hAnsi="Helvetica" w:cs="Times New Roman"/>
                <w:sz w:val="24"/>
                <w:szCs w:val="24"/>
              </w:rPr>
              <w:t>-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 xml:space="preserve">negative </w:t>
            </w: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staphylococcus</w:t>
            </w:r>
          </w:p>
        </w:tc>
        <w:tc>
          <w:tcPr>
            <w:tcW w:w="4950" w:type="dxa"/>
          </w:tcPr>
          <w:p w14:paraId="03BC6260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2 (4%)</w:t>
            </w:r>
          </w:p>
        </w:tc>
      </w:tr>
      <w:tr w:rsidR="00867509" w:rsidRPr="005754E4" w14:paraId="005C497E" w14:textId="77777777" w:rsidTr="002F412C">
        <w:trPr>
          <w:trHeight w:val="360"/>
        </w:trPr>
        <w:tc>
          <w:tcPr>
            <w:tcW w:w="4950" w:type="dxa"/>
          </w:tcPr>
          <w:p w14:paraId="195E8B0B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r w:rsidRPr="00D82CD9">
              <w:rPr>
                <w:rFonts w:ascii="Helvetica" w:hAnsi="Helvetica" w:cs="Times New Roman"/>
                <w:i/>
                <w:iCs/>
                <w:sz w:val="24"/>
                <w:szCs w:val="24"/>
              </w:rPr>
              <w:t>Clostridium</w:t>
            </w:r>
            <w:r w:rsidRPr="005754E4">
              <w:rPr>
                <w:rFonts w:ascii="Helvetica" w:hAnsi="Helvetica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4950" w:type="dxa"/>
          </w:tcPr>
          <w:p w14:paraId="5B08EC40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2 (4%)</w:t>
            </w:r>
          </w:p>
        </w:tc>
      </w:tr>
      <w:tr w:rsidR="00867509" w:rsidRPr="005754E4" w14:paraId="7B23E048" w14:textId="77777777" w:rsidTr="002F412C">
        <w:trPr>
          <w:trHeight w:val="360"/>
        </w:trPr>
        <w:tc>
          <w:tcPr>
            <w:tcW w:w="4950" w:type="dxa"/>
          </w:tcPr>
          <w:p w14:paraId="6F7C0C03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right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Other</w:t>
            </w:r>
            <w:r>
              <w:rPr>
                <w:rFonts w:ascii="Helvetica" w:hAnsi="Helvetica" w:cs="Times New Roman"/>
                <w:sz w:val="24"/>
                <w:szCs w:val="24"/>
              </w:rPr>
              <w:t xml:space="preserve"> gram-positive organisms</w:t>
            </w:r>
          </w:p>
        </w:tc>
        <w:tc>
          <w:tcPr>
            <w:tcW w:w="4950" w:type="dxa"/>
          </w:tcPr>
          <w:p w14:paraId="04E5B380" w14:textId="77777777" w:rsidR="00867509" w:rsidRPr="005754E4" w:rsidRDefault="00867509" w:rsidP="002F41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5754E4">
              <w:rPr>
                <w:rFonts w:ascii="Helvetica" w:hAnsi="Helvetica" w:cs="Times New Roman"/>
                <w:sz w:val="24"/>
                <w:szCs w:val="24"/>
              </w:rPr>
              <w:t>5 (10%)</w:t>
            </w:r>
          </w:p>
        </w:tc>
      </w:tr>
    </w:tbl>
    <w:p w14:paraId="2A601F7F" w14:textId="77777777" w:rsidR="00867509" w:rsidRDefault="00867509" w:rsidP="00867509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Overall number of organisms does not total </w:t>
      </w:r>
      <w:r w:rsidRPr="005754E4">
        <w:rPr>
          <w:rFonts w:ascii="Helvetica" w:hAnsi="Helvetica" w:cs="Times New Roman"/>
          <w:sz w:val="24"/>
          <w:szCs w:val="24"/>
        </w:rPr>
        <w:t>4</w:t>
      </w:r>
      <w:r>
        <w:rPr>
          <w:rFonts w:ascii="Helvetica" w:hAnsi="Helvetica" w:cs="Times New Roman"/>
          <w:sz w:val="24"/>
          <w:szCs w:val="24"/>
        </w:rPr>
        <w:t>7</w:t>
      </w:r>
      <w:r w:rsidRPr="005754E4">
        <w:rPr>
          <w:rFonts w:ascii="Helvetica" w:hAnsi="Helvetica" w:cs="Times New Roman"/>
          <w:sz w:val="24"/>
          <w:szCs w:val="24"/>
        </w:rPr>
        <w:t xml:space="preserve"> due to polymicrobial infection</w:t>
      </w:r>
      <w:r>
        <w:rPr>
          <w:rFonts w:ascii="Helvetica" w:hAnsi="Helvetica" w:cs="Times New Roman"/>
          <w:sz w:val="24"/>
          <w:szCs w:val="24"/>
        </w:rPr>
        <w:t>s</w:t>
      </w:r>
      <w:r w:rsidRPr="005754E4">
        <w:rPr>
          <w:rFonts w:ascii="Helvetica" w:hAnsi="Helvetica" w:cs="Times New Roman"/>
          <w:sz w:val="24"/>
          <w:szCs w:val="24"/>
        </w:rPr>
        <w:t>;</w:t>
      </w:r>
      <w:r>
        <w:rPr>
          <w:rFonts w:ascii="Helvetica" w:hAnsi="Helvetica" w:cs="Times New Roman"/>
          <w:sz w:val="24"/>
          <w:szCs w:val="24"/>
        </w:rPr>
        <w:t xml:space="preserve"> </w:t>
      </w:r>
      <w:r w:rsidRPr="005754E4">
        <w:rPr>
          <w:rFonts w:ascii="Helvetica" w:hAnsi="Helvetica" w:cs="Times New Roman"/>
          <w:sz w:val="24"/>
          <w:szCs w:val="24"/>
        </w:rPr>
        <w:t>Percentages are rounded to the closest whole number</w:t>
      </w:r>
    </w:p>
    <w:p w14:paraId="13586BFC" w14:textId="42335BB8" w:rsidR="00867509" w:rsidRDefault="00867509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47526C06" w14:textId="2E3F704A" w:rsidR="00867509" w:rsidRDefault="00867509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52C3A571" w14:textId="36AEC2BB" w:rsidR="004404C2" w:rsidRDefault="004404C2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6971623D" w14:textId="3DD2A3FD" w:rsidR="004404C2" w:rsidRDefault="004404C2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54E9F4FB" w14:textId="2E681362" w:rsidR="004404C2" w:rsidRDefault="004404C2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4A75AE36" w14:textId="1FA92283" w:rsidR="004404C2" w:rsidRDefault="004404C2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369DCDB6" w14:textId="77777777" w:rsidR="004404C2" w:rsidRDefault="004404C2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3B332D67" w14:textId="4006F547" w:rsidR="00867509" w:rsidRDefault="00867509" w:rsidP="00867509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  <w:r>
        <w:rPr>
          <w:rFonts w:ascii="Helvetica" w:hAnsi="Helvetica" w:cs="Times New Roman"/>
          <w:b/>
          <w:bCs/>
          <w:sz w:val="24"/>
          <w:szCs w:val="24"/>
        </w:rPr>
        <w:t>Figure S1</w:t>
      </w:r>
      <w:r w:rsidRPr="00134AF7">
        <w:rPr>
          <w:rFonts w:ascii="Helvetica" w:hAnsi="Helvetica" w:cs="Times New Roman"/>
          <w:b/>
          <w:bCs/>
          <w:sz w:val="24"/>
          <w:szCs w:val="24"/>
          <w:lang w:val="en-US"/>
        </w:rPr>
        <w:t>. Patient Enrollment and Screening</w:t>
      </w:r>
    </w:p>
    <w:p w14:paraId="65FC6920" w14:textId="77777777" w:rsidR="00867509" w:rsidRDefault="00867509" w:rsidP="00867509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260430AF" w14:textId="30AFAC79" w:rsidR="00867509" w:rsidRDefault="00867509" w:rsidP="00867509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  <w:r>
        <w:rPr>
          <w:rFonts w:ascii="Helvetica" w:hAnsi="Helvetica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69446831" wp14:editId="6CD904A8">
            <wp:extent cx="5701665" cy="2955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939" cy="2965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8D883A" w14:textId="0A35DB1E" w:rsidR="00867509" w:rsidRPr="00134AF7" w:rsidRDefault="00867509" w:rsidP="00867509">
      <w:pPr>
        <w:rPr>
          <w:rFonts w:ascii="Helvetica" w:hAnsi="Helvetica" w:cs="Times New Roman"/>
          <w:sz w:val="24"/>
          <w:szCs w:val="24"/>
          <w:lang w:val="en-US"/>
        </w:rPr>
      </w:pPr>
    </w:p>
    <w:p w14:paraId="356193A6" w14:textId="71C4E9B7" w:rsidR="00867509" w:rsidRDefault="00867509" w:rsidP="00867509">
      <w:pPr>
        <w:rPr>
          <w:rFonts w:ascii="Helvetica" w:hAnsi="Helvetica" w:cs="Times New Roman"/>
          <w:sz w:val="24"/>
          <w:szCs w:val="24"/>
          <w:lang w:val="en-US"/>
        </w:rPr>
      </w:pPr>
      <w:r w:rsidRPr="00134AF7">
        <w:rPr>
          <w:rFonts w:ascii="Helvetica" w:hAnsi="Helvetica" w:cs="Times New Roman"/>
          <w:sz w:val="24"/>
          <w:szCs w:val="24"/>
          <w:lang w:val="en-US"/>
        </w:rPr>
        <w:t>AML, acute myeloid leukemia; ALL, acute lymphoblastic leukemia; PICC, peripherally inserted central catheter</w:t>
      </w:r>
    </w:p>
    <w:p w14:paraId="2A47156E" w14:textId="5C9480B7" w:rsidR="00867509" w:rsidRDefault="00867509" w:rsidP="00867509">
      <w:pPr>
        <w:rPr>
          <w:rFonts w:ascii="Helvetica" w:hAnsi="Helvetica" w:cs="Times New Roman"/>
          <w:sz w:val="24"/>
          <w:szCs w:val="24"/>
          <w:lang w:val="en-US"/>
        </w:rPr>
      </w:pPr>
    </w:p>
    <w:p w14:paraId="481AC4AC" w14:textId="1F59E3A4" w:rsidR="00867509" w:rsidRDefault="00867509" w:rsidP="00867509">
      <w:pPr>
        <w:rPr>
          <w:rFonts w:ascii="Helvetica" w:hAnsi="Helvetica" w:cs="Times New Roman"/>
          <w:sz w:val="24"/>
          <w:szCs w:val="24"/>
          <w:lang w:val="en-US"/>
        </w:rPr>
      </w:pPr>
    </w:p>
    <w:p w14:paraId="50477861" w14:textId="587C4AE7" w:rsidR="00867509" w:rsidRDefault="00867509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33526479" w14:textId="7AE546A7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48D4668F" w14:textId="176F5963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25C4F1D9" w14:textId="0F7EE53B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122CC248" w14:textId="5A260053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7EE74485" w14:textId="093C9064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737BF95B" w14:textId="761A1EA0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6315E904" w14:textId="5A993942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43368E04" w14:textId="1EF2FEA8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6B202648" w14:textId="4B697B49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28AB8559" w14:textId="57277B67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20B5F09E" w14:textId="7EDC9AD6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  <w:lang w:val="en-US"/>
        </w:rPr>
      </w:pPr>
    </w:p>
    <w:p w14:paraId="702D01D8" w14:textId="05282A3D" w:rsidR="00AA61DF" w:rsidRDefault="00AA61DF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1837A521" w14:textId="77777777" w:rsidR="00B22A9E" w:rsidRDefault="00B22A9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  <w:sectPr w:rsidR="00B22A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D9C3DB" w14:textId="256CA7C7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097287" wp14:editId="30E373EF">
            <wp:simplePos x="0" y="0"/>
            <wp:positionH relativeFrom="margin">
              <wp:posOffset>314325</wp:posOffset>
            </wp:positionH>
            <wp:positionV relativeFrom="paragraph">
              <wp:posOffset>200025</wp:posOffset>
            </wp:positionV>
            <wp:extent cx="7509510" cy="4224020"/>
            <wp:effectExtent l="0" t="0" r="0" b="508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B93">
        <w:rPr>
          <w:rFonts w:ascii="Helvetica" w:hAnsi="Helvetica" w:cs="Times New Roman"/>
          <w:b/>
          <w:bCs/>
          <w:sz w:val="24"/>
          <w:szCs w:val="24"/>
          <w:lang w:val="en-US"/>
        </w:rPr>
        <w:t xml:space="preserve">Figure </w:t>
      </w:r>
      <w:r>
        <w:rPr>
          <w:rFonts w:ascii="Helvetica" w:hAnsi="Helvetica" w:cs="Times New Roman"/>
          <w:b/>
          <w:bCs/>
          <w:sz w:val="24"/>
          <w:szCs w:val="24"/>
          <w:lang w:val="en-US"/>
        </w:rPr>
        <w:t>S</w:t>
      </w:r>
      <w:r w:rsidRPr="00B44B93">
        <w:rPr>
          <w:rFonts w:ascii="Helvetica" w:hAnsi="Helvetica" w:cs="Times New Roman"/>
          <w:b/>
          <w:bCs/>
          <w:sz w:val="24"/>
          <w:szCs w:val="24"/>
          <w:lang w:val="en-US"/>
        </w:rPr>
        <w:t>2. Factors Guiding the Selection of the Number of CVC Lumens in Hematology/Oncology Patients</w:t>
      </w:r>
    </w:p>
    <w:p w14:paraId="25428D4E" w14:textId="54D90A4A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29EB1407" w14:textId="53E9C741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4A8DF855" w14:textId="437CA80D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2047C607" w14:textId="7C84C312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0C3C8327" w14:textId="08801B28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359E728C" w14:textId="1A9D345C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1BEE7C8C" w14:textId="77777777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5F052CEA" w14:textId="18D2BBCD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5C2FBE39" w14:textId="6FA685D4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029B01DD" w14:textId="77777777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5E081965" w14:textId="1488054D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5291ADC5" w14:textId="77777777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69E6F55E" w14:textId="3A669E05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6DC8A53A" w14:textId="32AFE470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170406ED" w14:textId="072CC279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27B27239" w14:textId="03D4C52F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149D52B3" w14:textId="727A6076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5BD37AFD" w14:textId="0195AADC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464A312E" w14:textId="274D8A81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64C733B4" w14:textId="4F6F18CC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22C1BA84" w14:textId="7D2908BC" w:rsidR="00B22A9E" w:rsidRDefault="00B22A9E" w:rsidP="00B22A9E">
      <w:pPr>
        <w:rPr>
          <w:rFonts w:ascii="Helvetica" w:hAnsi="Helvetica" w:cs="Times New Roman"/>
          <w:b/>
          <w:bCs/>
          <w:sz w:val="24"/>
          <w:szCs w:val="24"/>
          <w:lang w:val="en-US"/>
        </w:rPr>
      </w:pPr>
    </w:p>
    <w:p w14:paraId="6F0A13C6" w14:textId="20E36F0B" w:rsidR="00B22A9E" w:rsidRPr="00B22A9E" w:rsidRDefault="00B22A9E" w:rsidP="00B22A9E">
      <w:pPr>
        <w:rPr>
          <w:rFonts w:ascii="Helvetica" w:hAnsi="Helvetica" w:cs="Times New Roman"/>
          <w:sz w:val="24"/>
          <w:szCs w:val="24"/>
          <w:lang w:val="en-US"/>
        </w:rPr>
        <w:sectPr w:rsidR="00B22A9E" w:rsidRPr="00B22A9E" w:rsidSect="00B22A9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274631">
        <w:rPr>
          <w:rFonts w:ascii="Helvetica" w:hAnsi="Helvetica" w:cs="Times New Roman"/>
          <w:sz w:val="24"/>
          <w:szCs w:val="24"/>
          <w:lang w:val="en-US"/>
        </w:rPr>
        <w:t xml:space="preserve">IV, intravenous; CVC, central venous catheter; R-CHOP, rituximab + cyclophosphamide + doxorubicin + vincristine + prednisone; FLAG, fludarabine + high-dose cytarabine + granulocyte colony-stimulating factor; </w:t>
      </w:r>
      <w:proofErr w:type="spellStart"/>
      <w:r w:rsidRPr="00274631">
        <w:rPr>
          <w:rFonts w:ascii="Helvetica" w:hAnsi="Helvetica" w:cs="Times New Roman"/>
          <w:sz w:val="24"/>
          <w:szCs w:val="24"/>
          <w:lang w:val="en-US"/>
        </w:rPr>
        <w:t>HyperCVAD</w:t>
      </w:r>
      <w:proofErr w:type="spellEnd"/>
      <w:r w:rsidRPr="00274631">
        <w:rPr>
          <w:rFonts w:ascii="Helvetica" w:hAnsi="Helvetica" w:cs="Times New Roman"/>
          <w:sz w:val="24"/>
          <w:szCs w:val="24"/>
          <w:lang w:val="en-US"/>
        </w:rPr>
        <w:t xml:space="preserve"> A, </w:t>
      </w:r>
      <w:proofErr w:type="spellStart"/>
      <w:r w:rsidRPr="00274631">
        <w:rPr>
          <w:rFonts w:ascii="Helvetica" w:hAnsi="Helvetica" w:cs="Times New Roman"/>
          <w:sz w:val="24"/>
          <w:szCs w:val="24"/>
          <w:lang w:val="en-US"/>
        </w:rPr>
        <w:t>hyperfractionated</w:t>
      </w:r>
      <w:proofErr w:type="spellEnd"/>
      <w:r w:rsidRPr="00274631">
        <w:rPr>
          <w:rFonts w:ascii="Helvetica" w:hAnsi="Helvetica" w:cs="Times New Roman"/>
          <w:sz w:val="24"/>
          <w:szCs w:val="24"/>
          <w:lang w:val="en-US"/>
        </w:rPr>
        <w:t xml:space="preserve"> cyclophosphamide + vincristine + doxorubicin + dexamethasone; 7+3, anthracycline (daunorubicin or idarubicin) + cytarabine continuous infusion; MEC, mitoxantrone + etoposide + cytarabine; </w:t>
      </w:r>
      <w:proofErr w:type="spellStart"/>
      <w:r w:rsidRPr="00274631">
        <w:rPr>
          <w:rFonts w:ascii="Helvetica" w:hAnsi="Helvetica" w:cs="Times New Roman"/>
          <w:sz w:val="24"/>
          <w:szCs w:val="24"/>
          <w:lang w:val="en-US"/>
        </w:rPr>
        <w:t>hyperCVAD</w:t>
      </w:r>
      <w:proofErr w:type="spellEnd"/>
      <w:r w:rsidRPr="00274631">
        <w:rPr>
          <w:rFonts w:ascii="Helvetica" w:hAnsi="Helvetica" w:cs="Times New Roman"/>
          <w:sz w:val="24"/>
          <w:szCs w:val="24"/>
          <w:lang w:val="en-US"/>
        </w:rPr>
        <w:t xml:space="preserve"> B, high-dose methotrexate + high-dose cytarabine; AML, acute myeloid leukemia; ALL, acute lymphoblastic leukemia; TIP, paclitaxel + </w:t>
      </w:r>
      <w:proofErr w:type="spellStart"/>
      <w:r w:rsidRPr="00274631">
        <w:rPr>
          <w:rFonts w:ascii="Helvetica" w:hAnsi="Helvetica" w:cs="Times New Roman"/>
          <w:sz w:val="24"/>
          <w:szCs w:val="24"/>
          <w:lang w:val="en-US"/>
        </w:rPr>
        <w:t>ifosfamide</w:t>
      </w:r>
      <w:proofErr w:type="spellEnd"/>
      <w:r w:rsidRPr="00274631">
        <w:rPr>
          <w:rFonts w:ascii="Helvetica" w:hAnsi="Helvetica" w:cs="Times New Roman"/>
          <w:sz w:val="24"/>
          <w:szCs w:val="24"/>
          <w:lang w:val="en-US"/>
        </w:rPr>
        <w:t xml:space="preserve"> + cisplatin; VDT-PACE, bortezomib + dexamethasone + thalidomide + cisplatin + doxorubicin + cyclophosphamide + etoposide; FLAG-IDA, FLAG + idarubicin</w:t>
      </w:r>
    </w:p>
    <w:p w14:paraId="31BE85D7" w14:textId="77777777" w:rsidR="00B22A9E" w:rsidRDefault="00B22A9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</w:rPr>
      </w:pPr>
    </w:p>
    <w:p w14:paraId="269A5D4C" w14:textId="608D8F47" w:rsidR="00324A1E" w:rsidRPr="007C2428" w:rsidRDefault="00867509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b/>
          <w:bCs/>
          <w:sz w:val="24"/>
          <w:szCs w:val="24"/>
          <w:lang w:val="en-US"/>
        </w:rPr>
      </w:pPr>
      <w:r>
        <w:rPr>
          <w:rFonts w:ascii="Helvetica" w:hAnsi="Helvetica" w:cs="Times New Roman"/>
          <w:b/>
          <w:bCs/>
          <w:sz w:val="24"/>
          <w:szCs w:val="24"/>
        </w:rPr>
        <w:t>Figure S</w:t>
      </w:r>
      <w:r w:rsidR="00B22A9E">
        <w:rPr>
          <w:rFonts w:ascii="Helvetica" w:hAnsi="Helvetica" w:cs="Times New Roman"/>
          <w:b/>
          <w:bCs/>
          <w:sz w:val="24"/>
          <w:szCs w:val="24"/>
        </w:rPr>
        <w:t>3</w:t>
      </w:r>
      <w:r>
        <w:rPr>
          <w:rFonts w:ascii="Helvetica" w:hAnsi="Helvetica" w:cs="Times New Roman"/>
          <w:b/>
          <w:bCs/>
          <w:sz w:val="24"/>
          <w:szCs w:val="24"/>
        </w:rPr>
        <w:t xml:space="preserve">: </w:t>
      </w:r>
      <w:r w:rsidR="00324A1E" w:rsidRPr="007C2428">
        <w:rPr>
          <w:rFonts w:ascii="Helvetica" w:hAnsi="Helvetica" w:cs="Times New Roman"/>
          <w:b/>
          <w:bCs/>
          <w:sz w:val="24"/>
          <w:szCs w:val="24"/>
        </w:rPr>
        <w:t xml:space="preserve">Example Risk-Guided Approach to </w:t>
      </w:r>
      <w:r w:rsidR="00324A1E" w:rsidRPr="007C2428">
        <w:rPr>
          <w:rFonts w:ascii="Helvetica" w:hAnsi="Helvetica" w:cs="Times New Roman"/>
          <w:b/>
          <w:bCs/>
          <w:sz w:val="24"/>
          <w:szCs w:val="24"/>
          <w:lang w:val="en-US"/>
        </w:rPr>
        <w:t>Central Venous Access Requirements for Hematology / Oncology Patients Receiving Chemotherapy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3240"/>
        <w:gridCol w:w="3955"/>
      </w:tblGrid>
      <w:tr w:rsidR="00324A1E" w:rsidRPr="007C2428" w14:paraId="68B5D101" w14:textId="77777777" w:rsidTr="007461EC">
        <w:tc>
          <w:tcPr>
            <w:tcW w:w="2155" w:type="dxa"/>
          </w:tcPr>
          <w:p w14:paraId="0AFA0567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b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b/>
                <w:sz w:val="24"/>
                <w:szCs w:val="24"/>
                <w:lang w:val="en-US"/>
              </w:rPr>
              <w:t>Disease State</w:t>
            </w:r>
          </w:p>
        </w:tc>
        <w:tc>
          <w:tcPr>
            <w:tcW w:w="3240" w:type="dxa"/>
          </w:tcPr>
          <w:p w14:paraId="34ADFD43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b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b/>
                <w:sz w:val="24"/>
                <w:szCs w:val="24"/>
                <w:lang w:val="en-US"/>
              </w:rPr>
              <w:t>Regimen</w:t>
            </w:r>
          </w:p>
        </w:tc>
        <w:tc>
          <w:tcPr>
            <w:tcW w:w="3955" w:type="dxa"/>
          </w:tcPr>
          <w:p w14:paraId="11D9B9B3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b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b/>
                <w:sz w:val="24"/>
                <w:szCs w:val="24"/>
                <w:lang w:val="en-US"/>
              </w:rPr>
              <w:t>Line Requirement</w:t>
            </w:r>
          </w:p>
        </w:tc>
      </w:tr>
      <w:tr w:rsidR="00324A1E" w:rsidRPr="007C2428" w14:paraId="7214BCEA" w14:textId="77777777" w:rsidTr="007461EC">
        <w:tc>
          <w:tcPr>
            <w:tcW w:w="2155" w:type="dxa"/>
          </w:tcPr>
          <w:p w14:paraId="2220106C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Acute Myeloid Leukemia</w:t>
            </w:r>
          </w:p>
        </w:tc>
        <w:tc>
          <w:tcPr>
            <w:tcW w:w="3240" w:type="dxa"/>
          </w:tcPr>
          <w:p w14:paraId="4322B8C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3+7</w:t>
            </w:r>
          </w:p>
        </w:tc>
        <w:tc>
          <w:tcPr>
            <w:tcW w:w="3955" w:type="dxa"/>
          </w:tcPr>
          <w:p w14:paraId="26179751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</w:t>
            </w:r>
          </w:p>
        </w:tc>
      </w:tr>
      <w:tr w:rsidR="00324A1E" w:rsidRPr="007C2428" w14:paraId="2BCF926C" w14:textId="77777777" w:rsidTr="007461EC">
        <w:tc>
          <w:tcPr>
            <w:tcW w:w="2155" w:type="dxa"/>
          </w:tcPr>
          <w:p w14:paraId="20A0499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4033943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FLAG-Ida Induction</w:t>
            </w:r>
          </w:p>
        </w:tc>
        <w:tc>
          <w:tcPr>
            <w:tcW w:w="3955" w:type="dxa"/>
          </w:tcPr>
          <w:p w14:paraId="15CB1ACB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</w:t>
            </w:r>
          </w:p>
        </w:tc>
      </w:tr>
      <w:tr w:rsidR="00324A1E" w:rsidRPr="007C2428" w14:paraId="6DE54322" w14:textId="77777777" w:rsidTr="007461EC">
        <w:tc>
          <w:tcPr>
            <w:tcW w:w="2155" w:type="dxa"/>
          </w:tcPr>
          <w:p w14:paraId="5531074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54F245E1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FLAG Induction</w:t>
            </w:r>
          </w:p>
        </w:tc>
        <w:tc>
          <w:tcPr>
            <w:tcW w:w="3955" w:type="dxa"/>
          </w:tcPr>
          <w:p w14:paraId="6D6F9CF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</w:t>
            </w:r>
          </w:p>
        </w:tc>
      </w:tr>
      <w:tr w:rsidR="00324A1E" w:rsidRPr="007C2428" w14:paraId="794F4821" w14:textId="77777777" w:rsidTr="007461EC">
        <w:tc>
          <w:tcPr>
            <w:tcW w:w="2155" w:type="dxa"/>
          </w:tcPr>
          <w:p w14:paraId="0F4D715B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2902693B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FLAG Consolidation</w:t>
            </w:r>
          </w:p>
        </w:tc>
        <w:tc>
          <w:tcPr>
            <w:tcW w:w="3955" w:type="dxa"/>
          </w:tcPr>
          <w:p w14:paraId="5C8BC69C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0A46FC3D" w14:textId="77777777" w:rsidTr="007461EC">
        <w:tc>
          <w:tcPr>
            <w:tcW w:w="2155" w:type="dxa"/>
          </w:tcPr>
          <w:p w14:paraId="718F04A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16B3A09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G-CLAC</w:t>
            </w:r>
          </w:p>
        </w:tc>
        <w:tc>
          <w:tcPr>
            <w:tcW w:w="3955" w:type="dxa"/>
          </w:tcPr>
          <w:p w14:paraId="042493CE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</w:t>
            </w:r>
          </w:p>
        </w:tc>
      </w:tr>
      <w:tr w:rsidR="00324A1E" w:rsidRPr="007C2428" w14:paraId="6715D866" w14:textId="77777777" w:rsidTr="007461EC">
        <w:tc>
          <w:tcPr>
            <w:tcW w:w="2155" w:type="dxa"/>
          </w:tcPr>
          <w:p w14:paraId="60475EB0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2D087E6C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MEC</w:t>
            </w:r>
          </w:p>
        </w:tc>
        <w:tc>
          <w:tcPr>
            <w:tcW w:w="3955" w:type="dxa"/>
          </w:tcPr>
          <w:p w14:paraId="39E6D212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</w:t>
            </w:r>
          </w:p>
        </w:tc>
      </w:tr>
      <w:tr w:rsidR="00324A1E" w:rsidRPr="007C2428" w14:paraId="5A0011DA" w14:textId="77777777" w:rsidTr="007461EC">
        <w:tc>
          <w:tcPr>
            <w:tcW w:w="2155" w:type="dxa"/>
          </w:tcPr>
          <w:p w14:paraId="4C1BB56B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5E0BA71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Decitabine +/- </w:t>
            </w: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Venetoclax</w:t>
            </w:r>
            <w:proofErr w:type="spellEnd"/>
          </w:p>
        </w:tc>
        <w:tc>
          <w:tcPr>
            <w:tcW w:w="3955" w:type="dxa"/>
          </w:tcPr>
          <w:p w14:paraId="0015A8F9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Double Lumen CVC</w:t>
            </w:r>
          </w:p>
        </w:tc>
      </w:tr>
      <w:tr w:rsidR="00324A1E" w:rsidRPr="007C2428" w14:paraId="6E3CF411" w14:textId="77777777" w:rsidTr="007461EC">
        <w:tc>
          <w:tcPr>
            <w:tcW w:w="2155" w:type="dxa"/>
          </w:tcPr>
          <w:p w14:paraId="4FB9B74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22B91987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Decitabine +/- </w:t>
            </w: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Venetoclax</w:t>
            </w:r>
            <w:proofErr w:type="spellEnd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 Consolidation</w:t>
            </w:r>
          </w:p>
        </w:tc>
        <w:tc>
          <w:tcPr>
            <w:tcW w:w="3955" w:type="dxa"/>
          </w:tcPr>
          <w:p w14:paraId="321517C0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1CECDDC4" w14:textId="77777777" w:rsidTr="007461EC">
        <w:tc>
          <w:tcPr>
            <w:tcW w:w="2155" w:type="dxa"/>
          </w:tcPr>
          <w:p w14:paraId="336C2FC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5871CC0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Azacitidine</w:t>
            </w:r>
            <w:proofErr w:type="spellEnd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 +/- </w:t>
            </w: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Venetoclax</w:t>
            </w:r>
            <w:proofErr w:type="spellEnd"/>
          </w:p>
        </w:tc>
        <w:tc>
          <w:tcPr>
            <w:tcW w:w="3955" w:type="dxa"/>
          </w:tcPr>
          <w:p w14:paraId="20ACB6C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Double Lumen CVC</w:t>
            </w:r>
          </w:p>
        </w:tc>
      </w:tr>
      <w:tr w:rsidR="00324A1E" w:rsidRPr="007C2428" w14:paraId="50D56D22" w14:textId="77777777" w:rsidTr="007461EC">
        <w:tc>
          <w:tcPr>
            <w:tcW w:w="2155" w:type="dxa"/>
          </w:tcPr>
          <w:p w14:paraId="46046A24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3268BAED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Azacitidine</w:t>
            </w:r>
            <w:proofErr w:type="spellEnd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 +/- </w:t>
            </w: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Venetoclax</w:t>
            </w:r>
            <w:proofErr w:type="spellEnd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 Consolidation</w:t>
            </w:r>
          </w:p>
        </w:tc>
        <w:tc>
          <w:tcPr>
            <w:tcW w:w="3955" w:type="dxa"/>
          </w:tcPr>
          <w:p w14:paraId="76D7D363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3FB4131E" w14:textId="77777777" w:rsidTr="007461EC">
        <w:tc>
          <w:tcPr>
            <w:tcW w:w="2155" w:type="dxa"/>
          </w:tcPr>
          <w:p w14:paraId="26C8880C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7617EDE7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HiDAC</w:t>
            </w:r>
            <w:proofErr w:type="spellEnd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 Consolidation</w:t>
            </w:r>
          </w:p>
        </w:tc>
        <w:tc>
          <w:tcPr>
            <w:tcW w:w="3955" w:type="dxa"/>
          </w:tcPr>
          <w:p w14:paraId="0F0EA3F1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12E90FE6" w14:textId="77777777" w:rsidTr="007461EC">
        <w:tc>
          <w:tcPr>
            <w:tcW w:w="2155" w:type="dxa"/>
          </w:tcPr>
          <w:p w14:paraId="7A4E3312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Acute Lymphoblastic Leukemia</w:t>
            </w:r>
          </w:p>
        </w:tc>
        <w:tc>
          <w:tcPr>
            <w:tcW w:w="3240" w:type="dxa"/>
          </w:tcPr>
          <w:p w14:paraId="250A3D31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Larson +/- R </w:t>
            </w:r>
          </w:p>
        </w:tc>
        <w:tc>
          <w:tcPr>
            <w:tcW w:w="3955" w:type="dxa"/>
          </w:tcPr>
          <w:p w14:paraId="14DA39D3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 (Induction only; remainder peripheral line)</w:t>
            </w:r>
          </w:p>
        </w:tc>
      </w:tr>
      <w:tr w:rsidR="00324A1E" w:rsidRPr="007C2428" w14:paraId="6693D5CF" w14:textId="77777777" w:rsidTr="007461EC">
        <w:tc>
          <w:tcPr>
            <w:tcW w:w="2155" w:type="dxa"/>
          </w:tcPr>
          <w:p w14:paraId="12139F8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15DBE7F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C10403 +/- R </w:t>
            </w:r>
          </w:p>
        </w:tc>
        <w:tc>
          <w:tcPr>
            <w:tcW w:w="3955" w:type="dxa"/>
          </w:tcPr>
          <w:p w14:paraId="305FCEF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 (Induction only; remainder peripheral line)</w:t>
            </w:r>
          </w:p>
        </w:tc>
      </w:tr>
      <w:tr w:rsidR="00324A1E" w:rsidRPr="007C2428" w14:paraId="0C8A1E87" w14:textId="77777777" w:rsidTr="007461EC">
        <w:tc>
          <w:tcPr>
            <w:tcW w:w="2155" w:type="dxa"/>
          </w:tcPr>
          <w:p w14:paraId="507E5E9C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1B005C8B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Hyper-CVAD +/- R</w:t>
            </w:r>
          </w:p>
        </w:tc>
        <w:tc>
          <w:tcPr>
            <w:tcW w:w="3955" w:type="dxa"/>
          </w:tcPr>
          <w:p w14:paraId="77EAFA1D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 (only for first cycle); Peripheral line for cycle 2+</w:t>
            </w:r>
          </w:p>
        </w:tc>
      </w:tr>
      <w:tr w:rsidR="00324A1E" w:rsidRPr="007C2428" w14:paraId="2A0A1CDB" w14:textId="77777777" w:rsidTr="007461EC">
        <w:tc>
          <w:tcPr>
            <w:tcW w:w="2155" w:type="dxa"/>
          </w:tcPr>
          <w:p w14:paraId="29C1DB6A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0D0B381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Blinatumumab</w:t>
            </w:r>
            <w:proofErr w:type="spellEnd"/>
          </w:p>
        </w:tc>
        <w:tc>
          <w:tcPr>
            <w:tcW w:w="3955" w:type="dxa"/>
          </w:tcPr>
          <w:p w14:paraId="0273A83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Double lumen CVC</w:t>
            </w:r>
          </w:p>
        </w:tc>
      </w:tr>
      <w:tr w:rsidR="00324A1E" w:rsidRPr="007C2428" w14:paraId="5EFEC8AC" w14:textId="77777777" w:rsidTr="007461EC">
        <w:tc>
          <w:tcPr>
            <w:tcW w:w="2155" w:type="dxa"/>
          </w:tcPr>
          <w:p w14:paraId="6101B83A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1A05828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proofErr w:type="spellStart"/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Inotuzumab</w:t>
            </w:r>
            <w:proofErr w:type="spellEnd"/>
          </w:p>
        </w:tc>
        <w:tc>
          <w:tcPr>
            <w:tcW w:w="3955" w:type="dxa"/>
          </w:tcPr>
          <w:p w14:paraId="606D5FBD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Double lumen CVC as an IP/Peripheral line as an OP</w:t>
            </w:r>
          </w:p>
        </w:tc>
      </w:tr>
      <w:tr w:rsidR="00324A1E" w:rsidRPr="007C2428" w14:paraId="09FBA20E" w14:textId="77777777" w:rsidTr="007461EC">
        <w:tc>
          <w:tcPr>
            <w:tcW w:w="2155" w:type="dxa"/>
          </w:tcPr>
          <w:p w14:paraId="6F6567B7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2048D3A4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MOAD +/- R</w:t>
            </w:r>
          </w:p>
        </w:tc>
        <w:tc>
          <w:tcPr>
            <w:tcW w:w="3955" w:type="dxa"/>
          </w:tcPr>
          <w:p w14:paraId="24EBED4E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Triple Lumen CVC (Induction)</w:t>
            </w:r>
          </w:p>
        </w:tc>
      </w:tr>
      <w:tr w:rsidR="00324A1E" w:rsidRPr="007C2428" w14:paraId="561F02E6" w14:textId="77777777" w:rsidTr="007461EC">
        <w:tc>
          <w:tcPr>
            <w:tcW w:w="2155" w:type="dxa"/>
          </w:tcPr>
          <w:p w14:paraId="1584A8F6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Lymphoma</w:t>
            </w:r>
          </w:p>
        </w:tc>
        <w:tc>
          <w:tcPr>
            <w:tcW w:w="3240" w:type="dxa"/>
          </w:tcPr>
          <w:p w14:paraId="1D52AFD9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EPOCH +/- R</w:t>
            </w:r>
          </w:p>
        </w:tc>
        <w:tc>
          <w:tcPr>
            <w:tcW w:w="3955" w:type="dxa"/>
          </w:tcPr>
          <w:p w14:paraId="0830E071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Port</w:t>
            </w:r>
          </w:p>
        </w:tc>
      </w:tr>
      <w:tr w:rsidR="00324A1E" w:rsidRPr="007C2428" w14:paraId="4733A480" w14:textId="77777777" w:rsidTr="007461EC">
        <w:tc>
          <w:tcPr>
            <w:tcW w:w="2155" w:type="dxa"/>
          </w:tcPr>
          <w:p w14:paraId="7EBF2611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06244554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ICE +/- R</w:t>
            </w:r>
          </w:p>
        </w:tc>
        <w:tc>
          <w:tcPr>
            <w:tcW w:w="3955" w:type="dxa"/>
          </w:tcPr>
          <w:p w14:paraId="38845167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Port or single lumen CVC</w:t>
            </w:r>
          </w:p>
        </w:tc>
      </w:tr>
      <w:tr w:rsidR="00324A1E" w:rsidRPr="007C2428" w14:paraId="06394622" w14:textId="77777777" w:rsidTr="007461EC">
        <w:tc>
          <w:tcPr>
            <w:tcW w:w="2155" w:type="dxa"/>
          </w:tcPr>
          <w:p w14:paraId="233A924D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190B589C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ESHAP +/- R</w:t>
            </w:r>
          </w:p>
        </w:tc>
        <w:tc>
          <w:tcPr>
            <w:tcW w:w="3955" w:type="dxa"/>
          </w:tcPr>
          <w:p w14:paraId="63531AD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Port or single lumen CVC</w:t>
            </w:r>
          </w:p>
        </w:tc>
      </w:tr>
      <w:tr w:rsidR="00324A1E" w:rsidRPr="007C2428" w14:paraId="244955EC" w14:textId="77777777" w:rsidTr="007461EC">
        <w:tc>
          <w:tcPr>
            <w:tcW w:w="2155" w:type="dxa"/>
          </w:tcPr>
          <w:p w14:paraId="5E443747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7A09901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DHAP +/- R</w:t>
            </w:r>
          </w:p>
        </w:tc>
        <w:tc>
          <w:tcPr>
            <w:tcW w:w="3955" w:type="dxa"/>
          </w:tcPr>
          <w:p w14:paraId="5BE9680B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Port or single lumen CVC</w:t>
            </w:r>
          </w:p>
        </w:tc>
      </w:tr>
      <w:tr w:rsidR="00324A1E" w:rsidRPr="007C2428" w14:paraId="0FED37C9" w14:textId="77777777" w:rsidTr="007461EC">
        <w:tc>
          <w:tcPr>
            <w:tcW w:w="2155" w:type="dxa"/>
          </w:tcPr>
          <w:p w14:paraId="2C72161A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2FC6B55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CHOP +/- R</w:t>
            </w:r>
          </w:p>
        </w:tc>
        <w:tc>
          <w:tcPr>
            <w:tcW w:w="3955" w:type="dxa"/>
          </w:tcPr>
          <w:p w14:paraId="7527B8E6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5FA89447" w14:textId="77777777" w:rsidTr="007461EC">
        <w:tc>
          <w:tcPr>
            <w:tcW w:w="2155" w:type="dxa"/>
          </w:tcPr>
          <w:p w14:paraId="1A81C09C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7EC6E90D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CHOEP</w:t>
            </w:r>
          </w:p>
        </w:tc>
        <w:tc>
          <w:tcPr>
            <w:tcW w:w="3955" w:type="dxa"/>
          </w:tcPr>
          <w:p w14:paraId="2FE7836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4398E292" w14:textId="77777777" w:rsidTr="007461EC">
        <w:tc>
          <w:tcPr>
            <w:tcW w:w="2155" w:type="dxa"/>
          </w:tcPr>
          <w:p w14:paraId="614D58C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6F53ED8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Hyper-CVAD +/- R</w:t>
            </w:r>
          </w:p>
        </w:tc>
        <w:tc>
          <w:tcPr>
            <w:tcW w:w="3955" w:type="dxa"/>
          </w:tcPr>
          <w:p w14:paraId="01CD7F4A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Port or Double Lumen CVC (only for first cycle); Peripheral line for cycle 2+</w:t>
            </w:r>
          </w:p>
        </w:tc>
      </w:tr>
      <w:tr w:rsidR="00324A1E" w:rsidRPr="007C2428" w14:paraId="5525F21B" w14:textId="77777777" w:rsidTr="007461EC">
        <w:tc>
          <w:tcPr>
            <w:tcW w:w="2155" w:type="dxa"/>
          </w:tcPr>
          <w:p w14:paraId="5B38C6B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2C2C5CDB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CODOX-M</w:t>
            </w:r>
          </w:p>
        </w:tc>
        <w:tc>
          <w:tcPr>
            <w:tcW w:w="3955" w:type="dxa"/>
          </w:tcPr>
          <w:p w14:paraId="3CF3197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081AD7D2" w14:textId="77777777" w:rsidTr="007461EC">
        <w:tc>
          <w:tcPr>
            <w:tcW w:w="2155" w:type="dxa"/>
          </w:tcPr>
          <w:p w14:paraId="2BC5CEE6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5E9F264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IVAC</w:t>
            </w:r>
          </w:p>
        </w:tc>
        <w:tc>
          <w:tcPr>
            <w:tcW w:w="3955" w:type="dxa"/>
          </w:tcPr>
          <w:p w14:paraId="1A8C014E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76A1AECA" w14:textId="77777777" w:rsidTr="007461EC">
        <w:tc>
          <w:tcPr>
            <w:tcW w:w="2155" w:type="dxa"/>
          </w:tcPr>
          <w:p w14:paraId="08D63589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1CD07C9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HD-Methotrexate</w:t>
            </w:r>
          </w:p>
        </w:tc>
        <w:tc>
          <w:tcPr>
            <w:tcW w:w="3955" w:type="dxa"/>
          </w:tcPr>
          <w:p w14:paraId="0549ADEA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Peripheral line</w:t>
            </w:r>
          </w:p>
        </w:tc>
      </w:tr>
      <w:tr w:rsidR="00324A1E" w:rsidRPr="007C2428" w14:paraId="778B850F" w14:textId="77777777" w:rsidTr="007461EC">
        <w:tc>
          <w:tcPr>
            <w:tcW w:w="2155" w:type="dxa"/>
          </w:tcPr>
          <w:p w14:paraId="33BB71D8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Multiple Myeloma</w:t>
            </w:r>
          </w:p>
        </w:tc>
        <w:tc>
          <w:tcPr>
            <w:tcW w:w="3240" w:type="dxa"/>
          </w:tcPr>
          <w:p w14:paraId="390B4C0D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VDT-PACE</w:t>
            </w:r>
          </w:p>
        </w:tc>
        <w:tc>
          <w:tcPr>
            <w:tcW w:w="3955" w:type="dxa"/>
          </w:tcPr>
          <w:p w14:paraId="01716DBC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Double Lumen CVC</w:t>
            </w:r>
          </w:p>
        </w:tc>
      </w:tr>
      <w:tr w:rsidR="00324A1E" w:rsidRPr="007C2428" w14:paraId="77EF3E05" w14:textId="77777777" w:rsidTr="007461EC">
        <w:tc>
          <w:tcPr>
            <w:tcW w:w="2155" w:type="dxa"/>
          </w:tcPr>
          <w:p w14:paraId="3E7C8065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49566FF1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Hyper-CBAD</w:t>
            </w:r>
          </w:p>
        </w:tc>
        <w:tc>
          <w:tcPr>
            <w:tcW w:w="3955" w:type="dxa"/>
          </w:tcPr>
          <w:p w14:paraId="141154CF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Single Lumen CVC</w:t>
            </w:r>
          </w:p>
        </w:tc>
      </w:tr>
      <w:tr w:rsidR="00324A1E" w:rsidRPr="007C2428" w14:paraId="677D9793" w14:textId="77777777" w:rsidTr="007461EC">
        <w:tc>
          <w:tcPr>
            <w:tcW w:w="2155" w:type="dxa"/>
          </w:tcPr>
          <w:p w14:paraId="302B4831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Solid Tumor Malignancies</w:t>
            </w:r>
          </w:p>
        </w:tc>
        <w:tc>
          <w:tcPr>
            <w:tcW w:w="3240" w:type="dxa"/>
          </w:tcPr>
          <w:p w14:paraId="077D5BBE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TIP</w:t>
            </w:r>
          </w:p>
        </w:tc>
        <w:tc>
          <w:tcPr>
            <w:tcW w:w="3955" w:type="dxa"/>
          </w:tcPr>
          <w:p w14:paraId="6F3536A0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Port or double lumen CVC</w:t>
            </w:r>
          </w:p>
        </w:tc>
      </w:tr>
      <w:tr w:rsidR="00324A1E" w:rsidRPr="007C2428" w14:paraId="7BAB5DC9" w14:textId="77777777" w:rsidTr="007461EC">
        <w:tc>
          <w:tcPr>
            <w:tcW w:w="2155" w:type="dxa"/>
          </w:tcPr>
          <w:p w14:paraId="582CE18E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4CD5E7CA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BEP</w:t>
            </w:r>
          </w:p>
        </w:tc>
        <w:tc>
          <w:tcPr>
            <w:tcW w:w="3955" w:type="dxa"/>
          </w:tcPr>
          <w:p w14:paraId="452A1D1B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>Port or double lumen CVC</w:t>
            </w:r>
          </w:p>
        </w:tc>
      </w:tr>
      <w:tr w:rsidR="00324A1E" w:rsidRPr="007C2428" w14:paraId="637A6DF5" w14:textId="77777777" w:rsidTr="007461EC">
        <w:tc>
          <w:tcPr>
            <w:tcW w:w="2155" w:type="dxa"/>
          </w:tcPr>
          <w:p w14:paraId="7839E512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6015E9E2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Carboplatin/etoposide </w:t>
            </w:r>
          </w:p>
        </w:tc>
        <w:tc>
          <w:tcPr>
            <w:tcW w:w="3955" w:type="dxa"/>
          </w:tcPr>
          <w:p w14:paraId="43BA772A" w14:textId="77777777" w:rsidR="00324A1E" w:rsidRPr="007C2428" w:rsidRDefault="00324A1E" w:rsidP="007461EC">
            <w:pPr>
              <w:autoSpaceDE w:val="0"/>
              <w:autoSpaceDN w:val="0"/>
              <w:adjustRightInd w:val="0"/>
              <w:spacing w:line="400" w:lineRule="atLeast"/>
              <w:rPr>
                <w:rFonts w:ascii="Helvetica" w:hAnsi="Helvetica" w:cs="Times New Roman"/>
                <w:sz w:val="24"/>
                <w:szCs w:val="24"/>
                <w:lang w:val="en-US"/>
              </w:rPr>
            </w:pPr>
            <w:r w:rsidRPr="007C2428">
              <w:rPr>
                <w:rFonts w:ascii="Helvetica" w:hAnsi="Helvetica" w:cs="Times New Roman"/>
                <w:sz w:val="24"/>
                <w:szCs w:val="24"/>
                <w:lang w:val="en-US"/>
              </w:rPr>
              <w:t xml:space="preserve">Peripheral line </w:t>
            </w:r>
          </w:p>
        </w:tc>
      </w:tr>
    </w:tbl>
    <w:p w14:paraId="6AD938D4" w14:textId="77777777" w:rsidR="00324A1E" w:rsidRPr="007C2428" w:rsidRDefault="00324A1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i/>
          <w:sz w:val="24"/>
          <w:szCs w:val="24"/>
          <w:lang w:val="en-US"/>
        </w:rPr>
      </w:pPr>
      <w:r w:rsidRPr="007C2428">
        <w:rPr>
          <w:rFonts w:ascii="Helvetica" w:hAnsi="Helvetica" w:cs="Times New Roman"/>
          <w:i/>
          <w:sz w:val="24"/>
          <w:szCs w:val="24"/>
          <w:lang w:val="en-US"/>
        </w:rPr>
        <w:t xml:space="preserve">For regimens requiring only peripheral access and contain a vesicant or irritant without a stable peripheral line, every effort should be made to ensure placement of a functioning peripheral line. If a peripheral line cannot be placed, single lumen central line may be used. </w:t>
      </w:r>
    </w:p>
    <w:p w14:paraId="2A65FB47" w14:textId="77777777" w:rsidR="00324A1E" w:rsidRPr="007C2428" w:rsidRDefault="00324A1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i/>
          <w:sz w:val="24"/>
          <w:szCs w:val="24"/>
          <w:lang w:val="en-US"/>
        </w:rPr>
      </w:pPr>
      <w:r w:rsidRPr="007C2428">
        <w:rPr>
          <w:rFonts w:ascii="Helvetica" w:hAnsi="Helvetica" w:cs="Times New Roman"/>
          <w:i/>
          <w:sz w:val="24"/>
          <w:szCs w:val="24"/>
          <w:lang w:val="en-US"/>
        </w:rPr>
        <w:t>All regimens NOT containing a continuous infusion chemotherapy agent may be started via a peripheral line if central access cannot be placed in a timely manner</w:t>
      </w:r>
    </w:p>
    <w:p w14:paraId="256599C1" w14:textId="77777777" w:rsidR="00324A1E" w:rsidRPr="007C2428" w:rsidRDefault="00324A1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i/>
          <w:sz w:val="24"/>
          <w:szCs w:val="24"/>
          <w:lang w:val="en-US"/>
        </w:rPr>
      </w:pPr>
      <w:r w:rsidRPr="007C2428">
        <w:rPr>
          <w:rFonts w:ascii="Helvetica" w:hAnsi="Helvetica" w:cs="Times New Roman"/>
          <w:i/>
          <w:sz w:val="24"/>
          <w:szCs w:val="24"/>
          <w:lang w:val="en-US"/>
        </w:rPr>
        <w:t>For regimens not listed above, please consult with Hematology Attending and/or PharmD</w:t>
      </w:r>
    </w:p>
    <w:p w14:paraId="45C8351D" w14:textId="77777777" w:rsidR="00324A1E" w:rsidRDefault="00324A1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</w:rPr>
      </w:pPr>
    </w:p>
    <w:p w14:paraId="2CAA75A0" w14:textId="77777777" w:rsidR="00324A1E" w:rsidRDefault="00324A1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</w:rPr>
      </w:pPr>
    </w:p>
    <w:p w14:paraId="226F37AB" w14:textId="77777777" w:rsidR="00324A1E" w:rsidRDefault="00324A1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</w:rPr>
      </w:pPr>
    </w:p>
    <w:p w14:paraId="1FB76BF9" w14:textId="77777777" w:rsidR="00324A1E" w:rsidRDefault="00324A1E" w:rsidP="00324A1E">
      <w:pPr>
        <w:autoSpaceDE w:val="0"/>
        <w:autoSpaceDN w:val="0"/>
        <w:adjustRightInd w:val="0"/>
        <w:spacing w:line="400" w:lineRule="atLeast"/>
        <w:rPr>
          <w:rFonts w:ascii="Helvetica" w:hAnsi="Helvetica" w:cs="Times New Roman"/>
          <w:sz w:val="24"/>
          <w:szCs w:val="24"/>
        </w:rPr>
      </w:pPr>
    </w:p>
    <w:p w14:paraId="500F56A9" w14:textId="77777777" w:rsidR="005B7E29" w:rsidRDefault="005B7E29"/>
    <w:sectPr w:rsidR="005B7E29" w:rsidSect="00B2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1E"/>
    <w:rsid w:val="00092D8E"/>
    <w:rsid w:val="00255DEF"/>
    <w:rsid w:val="00324A1E"/>
    <w:rsid w:val="004404C2"/>
    <w:rsid w:val="005B7E29"/>
    <w:rsid w:val="007B0745"/>
    <w:rsid w:val="00867509"/>
    <w:rsid w:val="00AA61DF"/>
    <w:rsid w:val="00B22A9E"/>
    <w:rsid w:val="00CF26FE"/>
    <w:rsid w:val="00F2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1510"/>
  <w15:chartTrackingRefBased/>
  <w15:docId w15:val="{E3F8492E-9877-4912-B6D8-5CCFF0EE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4A1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A1E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75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Marini, Bernard</dc:creator>
  <cp:keywords/>
  <dc:description/>
  <cp:lastModifiedBy>Bernard Marini</cp:lastModifiedBy>
  <cp:revision>4</cp:revision>
  <dcterms:created xsi:type="dcterms:W3CDTF">2021-09-11T06:05:00Z</dcterms:created>
  <dcterms:modified xsi:type="dcterms:W3CDTF">2021-09-11T15:07:00Z</dcterms:modified>
</cp:coreProperties>
</file>