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4C340" w14:textId="04DF9DF9" w:rsidR="00CC708F" w:rsidRDefault="00CC708F" w:rsidP="00221903">
      <w:pPr>
        <w:spacing w:line="480" w:lineRule="auto"/>
        <w:rPr>
          <w:rFonts w:ascii="Times New Roman" w:hAnsi="Times New Roman" w:cs="Times New Roman"/>
          <w:b/>
          <w:bCs/>
          <w:sz w:val="24"/>
          <w:szCs w:val="24"/>
        </w:rPr>
      </w:pPr>
      <w:bookmarkStart w:id="0" w:name="_Hlk90900546"/>
      <w:r>
        <w:rPr>
          <w:rFonts w:ascii="Times New Roman" w:hAnsi="Times New Roman" w:cs="Times New Roman"/>
          <w:b/>
          <w:bCs/>
          <w:sz w:val="24"/>
          <w:szCs w:val="24"/>
        </w:rPr>
        <w:t>Supplement B: Supplemental Tables</w:t>
      </w:r>
    </w:p>
    <w:p w14:paraId="6C9B000E" w14:textId="65CCD6AE" w:rsidR="00221903" w:rsidRPr="00CF568A" w:rsidRDefault="002758E1" w:rsidP="00221903">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Supplemental </w:t>
      </w:r>
      <w:r w:rsidR="00221903" w:rsidRPr="00CF568A">
        <w:rPr>
          <w:rFonts w:ascii="Times New Roman" w:hAnsi="Times New Roman" w:cs="Times New Roman"/>
          <w:b/>
          <w:bCs/>
          <w:sz w:val="24"/>
          <w:szCs w:val="24"/>
        </w:rPr>
        <w:t xml:space="preserve">Table </w:t>
      </w:r>
      <w:r>
        <w:rPr>
          <w:rFonts w:ascii="Times New Roman" w:hAnsi="Times New Roman" w:cs="Times New Roman"/>
          <w:b/>
          <w:bCs/>
          <w:sz w:val="24"/>
          <w:szCs w:val="24"/>
        </w:rPr>
        <w:t>1</w:t>
      </w:r>
      <w:r w:rsidR="00221903" w:rsidRPr="00CF568A">
        <w:rPr>
          <w:rFonts w:ascii="Times New Roman" w:hAnsi="Times New Roman" w:cs="Times New Roman"/>
          <w:b/>
          <w:bCs/>
          <w:sz w:val="24"/>
          <w:szCs w:val="24"/>
        </w:rPr>
        <w:t>: Antibiotic prescribing practices and resource utilization among survey respondents (by specialty)</w:t>
      </w:r>
    </w:p>
    <w:tbl>
      <w:tblPr>
        <w:tblStyle w:val="TableGrid"/>
        <w:tblW w:w="0" w:type="auto"/>
        <w:tblLook w:val="04A0" w:firstRow="1" w:lastRow="0" w:firstColumn="1" w:lastColumn="0" w:noHBand="0" w:noVBand="1"/>
      </w:tblPr>
      <w:tblGrid>
        <w:gridCol w:w="4315"/>
        <w:gridCol w:w="1350"/>
        <w:gridCol w:w="1890"/>
        <w:gridCol w:w="1795"/>
      </w:tblGrid>
      <w:tr w:rsidR="00221903" w:rsidRPr="00CF568A" w14:paraId="717B55DC" w14:textId="77777777" w:rsidTr="00CA78CA">
        <w:tc>
          <w:tcPr>
            <w:tcW w:w="4315" w:type="dxa"/>
          </w:tcPr>
          <w:p w14:paraId="115DF986" w14:textId="77777777" w:rsidR="00221903" w:rsidRPr="00CF568A" w:rsidRDefault="00221903" w:rsidP="00CA78CA">
            <w:pPr>
              <w:spacing w:before="80" w:after="80" w:line="480" w:lineRule="auto"/>
              <w:rPr>
                <w:rFonts w:ascii="Times New Roman" w:eastAsia="Cambria" w:hAnsi="Times New Roman" w:cs="Times New Roman"/>
                <w:sz w:val="24"/>
                <w:szCs w:val="24"/>
              </w:rPr>
            </w:pPr>
          </w:p>
        </w:tc>
        <w:tc>
          <w:tcPr>
            <w:tcW w:w="1350" w:type="dxa"/>
            <w:vAlign w:val="center"/>
          </w:tcPr>
          <w:p w14:paraId="5D3A3476"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b/>
                <w:bCs/>
                <w:sz w:val="24"/>
                <w:szCs w:val="24"/>
              </w:rPr>
              <w:t>ID (n=19)</w:t>
            </w:r>
          </w:p>
        </w:tc>
        <w:tc>
          <w:tcPr>
            <w:tcW w:w="1890" w:type="dxa"/>
            <w:vAlign w:val="center"/>
          </w:tcPr>
          <w:p w14:paraId="1CFB8835" w14:textId="77777777" w:rsidR="00221903" w:rsidRPr="00CF568A" w:rsidRDefault="00221903" w:rsidP="00CA78CA">
            <w:pPr>
              <w:spacing w:before="80" w:after="80" w:line="480" w:lineRule="auto"/>
              <w:jc w:val="center"/>
              <w:rPr>
                <w:rFonts w:ascii="Times New Roman" w:eastAsia="Cambria" w:hAnsi="Times New Roman" w:cs="Times New Roman"/>
                <w:sz w:val="24"/>
                <w:szCs w:val="24"/>
              </w:rPr>
            </w:pPr>
            <w:r w:rsidRPr="00CF568A">
              <w:rPr>
                <w:rFonts w:ascii="Times New Roman" w:hAnsi="Times New Roman" w:cs="Times New Roman"/>
                <w:b/>
                <w:bCs/>
                <w:sz w:val="24"/>
                <w:szCs w:val="24"/>
              </w:rPr>
              <w:t>Hospitalists (n=62)</w:t>
            </w:r>
          </w:p>
        </w:tc>
        <w:tc>
          <w:tcPr>
            <w:tcW w:w="1795" w:type="dxa"/>
            <w:vAlign w:val="center"/>
          </w:tcPr>
          <w:p w14:paraId="78A51DF6" w14:textId="77777777" w:rsidR="00221903" w:rsidRPr="00CF568A" w:rsidRDefault="00221903" w:rsidP="00CA78CA">
            <w:pPr>
              <w:spacing w:before="80" w:after="80" w:line="480" w:lineRule="auto"/>
              <w:jc w:val="center"/>
              <w:rPr>
                <w:rFonts w:ascii="Times New Roman" w:eastAsia="Cambria" w:hAnsi="Times New Roman" w:cs="Times New Roman"/>
                <w:sz w:val="24"/>
                <w:szCs w:val="24"/>
              </w:rPr>
            </w:pPr>
            <w:r w:rsidRPr="00CF568A">
              <w:rPr>
                <w:rFonts w:ascii="Times New Roman" w:hAnsi="Times New Roman" w:cs="Times New Roman"/>
                <w:b/>
                <w:bCs/>
                <w:sz w:val="24"/>
                <w:szCs w:val="24"/>
              </w:rPr>
              <w:t>Other Internists (n=58)</w:t>
            </w:r>
          </w:p>
        </w:tc>
      </w:tr>
      <w:tr w:rsidR="00221903" w:rsidRPr="00CF568A" w14:paraId="5C09A1F6" w14:textId="77777777" w:rsidTr="00CA78CA">
        <w:tc>
          <w:tcPr>
            <w:tcW w:w="9350" w:type="dxa"/>
            <w:gridSpan w:val="4"/>
            <w:vAlign w:val="center"/>
          </w:tcPr>
          <w:p w14:paraId="2399BD8D" w14:textId="77777777" w:rsidR="00221903" w:rsidRPr="00CF568A" w:rsidRDefault="00221903" w:rsidP="00CA78CA">
            <w:pPr>
              <w:spacing w:before="80" w:after="80" w:line="480" w:lineRule="auto"/>
              <w:rPr>
                <w:rFonts w:ascii="Times New Roman" w:hAnsi="Times New Roman" w:cs="Times New Roman"/>
                <w:sz w:val="24"/>
                <w:szCs w:val="24"/>
                <w:u w:val="single"/>
              </w:rPr>
            </w:pPr>
            <w:r w:rsidRPr="00CF568A">
              <w:rPr>
                <w:rFonts w:ascii="Times New Roman" w:hAnsi="Times New Roman" w:cs="Times New Roman"/>
                <w:i/>
                <w:iCs/>
                <w:sz w:val="24"/>
                <w:szCs w:val="24"/>
                <w:u w:val="single"/>
              </w:rPr>
              <w:t>Antibiotic prescribing practices:</w:t>
            </w:r>
          </w:p>
        </w:tc>
      </w:tr>
      <w:tr w:rsidR="00221903" w:rsidRPr="00CF568A" w14:paraId="5FC2987F" w14:textId="77777777" w:rsidTr="00CA78CA">
        <w:tc>
          <w:tcPr>
            <w:tcW w:w="9350" w:type="dxa"/>
            <w:gridSpan w:val="4"/>
            <w:vAlign w:val="center"/>
          </w:tcPr>
          <w:p w14:paraId="78974F1A" w14:textId="77777777" w:rsidR="00221903" w:rsidRPr="00CF568A" w:rsidRDefault="00221903" w:rsidP="00CA78CA">
            <w:pPr>
              <w:spacing w:before="80" w:after="80" w:line="480" w:lineRule="auto"/>
              <w:rPr>
                <w:rFonts w:ascii="Times New Roman" w:hAnsi="Times New Roman" w:cs="Times New Roman"/>
                <w:i/>
                <w:iCs/>
                <w:sz w:val="24"/>
                <w:szCs w:val="24"/>
              </w:rPr>
            </w:pPr>
            <w:r w:rsidRPr="00CF568A">
              <w:rPr>
                <w:rFonts w:ascii="Times New Roman" w:hAnsi="Times New Roman" w:cs="Times New Roman"/>
                <w:i/>
                <w:iCs/>
                <w:sz w:val="24"/>
                <w:szCs w:val="24"/>
              </w:rPr>
              <w:t>How confident are you that you use antibiotics optimally in the inpatient setting?</w:t>
            </w:r>
          </w:p>
        </w:tc>
      </w:tr>
      <w:tr w:rsidR="00221903" w:rsidRPr="00CF568A" w14:paraId="4948601C" w14:textId="77777777" w:rsidTr="00CA78CA">
        <w:tc>
          <w:tcPr>
            <w:tcW w:w="4315" w:type="dxa"/>
            <w:vAlign w:val="center"/>
          </w:tcPr>
          <w:p w14:paraId="47612A4F" w14:textId="77777777" w:rsidR="00221903" w:rsidRPr="00CF568A" w:rsidRDefault="00221903" w:rsidP="00CA78CA">
            <w:pPr>
              <w:spacing w:before="80" w:after="80" w:line="480" w:lineRule="auto"/>
              <w:rPr>
                <w:rFonts w:ascii="Times New Roman" w:hAnsi="Times New Roman" w:cs="Times New Roman"/>
                <w:sz w:val="24"/>
                <w:szCs w:val="24"/>
              </w:rPr>
            </w:pPr>
            <w:r w:rsidRPr="00CF568A">
              <w:rPr>
                <w:rFonts w:ascii="Times New Roman" w:hAnsi="Times New Roman" w:cs="Times New Roman"/>
                <w:sz w:val="24"/>
                <w:szCs w:val="24"/>
              </w:rPr>
              <w:t>Very confident, n (</w:t>
            </w:r>
            <w:proofErr w:type="gramStart"/>
            <w:r w:rsidRPr="00CF568A">
              <w:rPr>
                <w:rFonts w:ascii="Times New Roman" w:hAnsi="Times New Roman" w:cs="Times New Roman"/>
                <w:sz w:val="24"/>
                <w:szCs w:val="24"/>
              </w:rPr>
              <w:t>%)*</w:t>
            </w:r>
            <w:proofErr w:type="gramEnd"/>
            <w:r w:rsidRPr="00CF568A">
              <w:rPr>
                <w:rFonts w:ascii="Times New Roman" w:hAnsi="Times New Roman" w:cs="Times New Roman"/>
                <w:sz w:val="24"/>
                <w:szCs w:val="24"/>
              </w:rPr>
              <w:t>*</w:t>
            </w:r>
          </w:p>
        </w:tc>
        <w:tc>
          <w:tcPr>
            <w:tcW w:w="1350" w:type="dxa"/>
            <w:vAlign w:val="center"/>
          </w:tcPr>
          <w:p w14:paraId="75A1014C"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13 (68.4%)</w:t>
            </w:r>
          </w:p>
        </w:tc>
        <w:tc>
          <w:tcPr>
            <w:tcW w:w="1890" w:type="dxa"/>
            <w:vAlign w:val="center"/>
          </w:tcPr>
          <w:p w14:paraId="3CBBB054"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10 (16.1%)</w:t>
            </w:r>
          </w:p>
        </w:tc>
        <w:tc>
          <w:tcPr>
            <w:tcW w:w="1795" w:type="dxa"/>
            <w:vAlign w:val="center"/>
          </w:tcPr>
          <w:p w14:paraId="076859C4"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6 (10.3%)</w:t>
            </w:r>
          </w:p>
        </w:tc>
      </w:tr>
      <w:tr w:rsidR="00221903" w:rsidRPr="00CF568A" w14:paraId="77735389" w14:textId="77777777" w:rsidTr="00CA78CA">
        <w:tc>
          <w:tcPr>
            <w:tcW w:w="4315" w:type="dxa"/>
            <w:vAlign w:val="center"/>
          </w:tcPr>
          <w:p w14:paraId="789BFCF1" w14:textId="77777777" w:rsidR="00221903" w:rsidRPr="00CF568A" w:rsidRDefault="00221903" w:rsidP="00CA78CA">
            <w:pPr>
              <w:spacing w:before="80" w:after="80" w:line="480" w:lineRule="auto"/>
              <w:rPr>
                <w:rFonts w:ascii="Times New Roman" w:hAnsi="Times New Roman" w:cs="Times New Roman"/>
                <w:sz w:val="24"/>
                <w:szCs w:val="24"/>
              </w:rPr>
            </w:pPr>
            <w:r w:rsidRPr="00CF568A">
              <w:rPr>
                <w:rFonts w:ascii="Times New Roman" w:hAnsi="Times New Roman" w:cs="Times New Roman"/>
                <w:sz w:val="24"/>
                <w:szCs w:val="24"/>
              </w:rPr>
              <w:t>Somewhat confident, n (%)</w:t>
            </w:r>
          </w:p>
        </w:tc>
        <w:tc>
          <w:tcPr>
            <w:tcW w:w="1350" w:type="dxa"/>
            <w:vAlign w:val="center"/>
          </w:tcPr>
          <w:p w14:paraId="1343A389"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5 (26.3%)</w:t>
            </w:r>
          </w:p>
        </w:tc>
        <w:tc>
          <w:tcPr>
            <w:tcW w:w="1890" w:type="dxa"/>
            <w:vAlign w:val="center"/>
          </w:tcPr>
          <w:p w14:paraId="24E58D85"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49 (79%)</w:t>
            </w:r>
          </w:p>
        </w:tc>
        <w:tc>
          <w:tcPr>
            <w:tcW w:w="1795" w:type="dxa"/>
            <w:vAlign w:val="center"/>
          </w:tcPr>
          <w:p w14:paraId="1572FD7D"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46 (79.3%)</w:t>
            </w:r>
          </w:p>
        </w:tc>
      </w:tr>
      <w:tr w:rsidR="00221903" w:rsidRPr="00CF568A" w14:paraId="1FCDDD96" w14:textId="77777777" w:rsidTr="00CA78CA">
        <w:tc>
          <w:tcPr>
            <w:tcW w:w="4315" w:type="dxa"/>
            <w:vAlign w:val="center"/>
          </w:tcPr>
          <w:p w14:paraId="1E58B8A4" w14:textId="77777777" w:rsidR="00221903" w:rsidRPr="00CF568A" w:rsidRDefault="00221903" w:rsidP="00CA78CA">
            <w:pPr>
              <w:spacing w:before="80" w:after="80" w:line="480" w:lineRule="auto"/>
              <w:rPr>
                <w:rFonts w:ascii="Times New Roman" w:hAnsi="Times New Roman" w:cs="Times New Roman"/>
                <w:sz w:val="24"/>
                <w:szCs w:val="24"/>
              </w:rPr>
            </w:pPr>
            <w:r w:rsidRPr="00CF568A">
              <w:rPr>
                <w:rFonts w:ascii="Times New Roman" w:hAnsi="Times New Roman" w:cs="Times New Roman"/>
                <w:sz w:val="24"/>
                <w:szCs w:val="24"/>
              </w:rPr>
              <w:t>Not very/not at all confident, n (%)</w:t>
            </w:r>
          </w:p>
        </w:tc>
        <w:tc>
          <w:tcPr>
            <w:tcW w:w="1350" w:type="dxa"/>
            <w:vAlign w:val="center"/>
          </w:tcPr>
          <w:p w14:paraId="4CB02772"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1 (5.3%)</w:t>
            </w:r>
          </w:p>
        </w:tc>
        <w:tc>
          <w:tcPr>
            <w:tcW w:w="1890" w:type="dxa"/>
            <w:vAlign w:val="center"/>
          </w:tcPr>
          <w:p w14:paraId="1CE61F47"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3 (4.8%)</w:t>
            </w:r>
          </w:p>
        </w:tc>
        <w:tc>
          <w:tcPr>
            <w:tcW w:w="1795" w:type="dxa"/>
            <w:vAlign w:val="center"/>
          </w:tcPr>
          <w:p w14:paraId="434A989F"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5 (8.6%)</w:t>
            </w:r>
          </w:p>
        </w:tc>
      </w:tr>
      <w:tr w:rsidR="00221903" w:rsidRPr="00CF568A" w14:paraId="0978427E" w14:textId="77777777" w:rsidTr="00CA78CA">
        <w:tc>
          <w:tcPr>
            <w:tcW w:w="9350" w:type="dxa"/>
            <w:gridSpan w:val="4"/>
            <w:vAlign w:val="center"/>
          </w:tcPr>
          <w:p w14:paraId="37BA8475" w14:textId="77777777" w:rsidR="00221903" w:rsidRPr="00CF568A" w:rsidRDefault="00221903" w:rsidP="00CA78CA">
            <w:pPr>
              <w:spacing w:before="80" w:after="80" w:line="480" w:lineRule="auto"/>
              <w:rPr>
                <w:rFonts w:ascii="Times New Roman" w:hAnsi="Times New Roman" w:cs="Times New Roman"/>
                <w:i/>
                <w:iCs/>
                <w:sz w:val="24"/>
                <w:szCs w:val="24"/>
              </w:rPr>
            </w:pPr>
            <w:r w:rsidRPr="00CF568A">
              <w:rPr>
                <w:rFonts w:ascii="Times New Roman" w:hAnsi="Times New Roman" w:cs="Times New Roman"/>
                <w:i/>
                <w:iCs/>
                <w:sz w:val="24"/>
                <w:szCs w:val="24"/>
              </w:rPr>
              <w:t>In general, for hospitalized patients who are admitted with a diagnosis of either uncomplicated healthcare-acquired pneumonia, non-diabetic cellulitis, or uncomplicated UTI (cystitis), how important do you feel it is to reassess the antibiotic regimen on or around day 3 to tailor therapy?</w:t>
            </w:r>
          </w:p>
        </w:tc>
      </w:tr>
      <w:tr w:rsidR="00221903" w:rsidRPr="00CF568A" w14:paraId="17214245" w14:textId="77777777" w:rsidTr="00CA78CA">
        <w:tc>
          <w:tcPr>
            <w:tcW w:w="4315" w:type="dxa"/>
            <w:vAlign w:val="center"/>
          </w:tcPr>
          <w:p w14:paraId="659B81E9" w14:textId="77777777" w:rsidR="00221903" w:rsidRPr="00CF568A" w:rsidRDefault="00221903" w:rsidP="00CA78CA">
            <w:pPr>
              <w:spacing w:before="80" w:after="80" w:line="480" w:lineRule="auto"/>
              <w:rPr>
                <w:rFonts w:ascii="Times New Roman" w:hAnsi="Times New Roman" w:cs="Times New Roman"/>
                <w:sz w:val="24"/>
                <w:szCs w:val="24"/>
              </w:rPr>
            </w:pPr>
            <w:r w:rsidRPr="00CF568A">
              <w:rPr>
                <w:rFonts w:ascii="Times New Roman" w:hAnsi="Times New Roman" w:cs="Times New Roman"/>
                <w:sz w:val="24"/>
                <w:szCs w:val="24"/>
              </w:rPr>
              <w:t>Very important, n (%)</w:t>
            </w:r>
          </w:p>
        </w:tc>
        <w:tc>
          <w:tcPr>
            <w:tcW w:w="1350" w:type="dxa"/>
            <w:vAlign w:val="center"/>
          </w:tcPr>
          <w:p w14:paraId="19D3B2F2"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18 (94.7%)</w:t>
            </w:r>
          </w:p>
        </w:tc>
        <w:tc>
          <w:tcPr>
            <w:tcW w:w="1890" w:type="dxa"/>
            <w:vAlign w:val="center"/>
          </w:tcPr>
          <w:p w14:paraId="6984A595"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50 (80.6%)</w:t>
            </w:r>
          </w:p>
        </w:tc>
        <w:tc>
          <w:tcPr>
            <w:tcW w:w="1795" w:type="dxa"/>
            <w:vAlign w:val="center"/>
          </w:tcPr>
          <w:p w14:paraId="20D143C3"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54 (93.1%)</w:t>
            </w:r>
          </w:p>
        </w:tc>
      </w:tr>
      <w:tr w:rsidR="00221903" w:rsidRPr="00CF568A" w14:paraId="7F538431" w14:textId="77777777" w:rsidTr="00CA78CA">
        <w:tc>
          <w:tcPr>
            <w:tcW w:w="4315" w:type="dxa"/>
            <w:vAlign w:val="center"/>
          </w:tcPr>
          <w:p w14:paraId="71F80DE8" w14:textId="77777777" w:rsidR="00221903" w:rsidRPr="00CF568A" w:rsidRDefault="00221903" w:rsidP="00CA78CA">
            <w:pPr>
              <w:spacing w:before="80" w:after="80" w:line="480" w:lineRule="auto"/>
              <w:rPr>
                <w:rFonts w:ascii="Times New Roman" w:hAnsi="Times New Roman" w:cs="Times New Roman"/>
                <w:sz w:val="24"/>
                <w:szCs w:val="24"/>
              </w:rPr>
            </w:pPr>
            <w:r w:rsidRPr="00CF568A">
              <w:rPr>
                <w:rFonts w:ascii="Times New Roman" w:hAnsi="Times New Roman" w:cs="Times New Roman"/>
                <w:sz w:val="24"/>
                <w:szCs w:val="24"/>
              </w:rPr>
              <w:t>Somewhat important, n (%)</w:t>
            </w:r>
          </w:p>
        </w:tc>
        <w:tc>
          <w:tcPr>
            <w:tcW w:w="1350" w:type="dxa"/>
            <w:vAlign w:val="center"/>
          </w:tcPr>
          <w:p w14:paraId="543A6A00"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1 (5.3%)</w:t>
            </w:r>
          </w:p>
        </w:tc>
        <w:tc>
          <w:tcPr>
            <w:tcW w:w="1890" w:type="dxa"/>
            <w:vAlign w:val="center"/>
          </w:tcPr>
          <w:p w14:paraId="6001716B"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11 (17.7%)</w:t>
            </w:r>
          </w:p>
        </w:tc>
        <w:tc>
          <w:tcPr>
            <w:tcW w:w="1795" w:type="dxa"/>
            <w:vAlign w:val="center"/>
          </w:tcPr>
          <w:p w14:paraId="3268F388"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4 (6.9%)</w:t>
            </w:r>
          </w:p>
        </w:tc>
      </w:tr>
      <w:tr w:rsidR="00221903" w:rsidRPr="00CF568A" w14:paraId="718698E5" w14:textId="77777777" w:rsidTr="00CA78CA">
        <w:tc>
          <w:tcPr>
            <w:tcW w:w="4315" w:type="dxa"/>
            <w:vAlign w:val="center"/>
          </w:tcPr>
          <w:p w14:paraId="42033932" w14:textId="77777777" w:rsidR="00221903" w:rsidRPr="00CF568A" w:rsidRDefault="00221903" w:rsidP="00CA78CA">
            <w:pPr>
              <w:spacing w:before="80" w:after="80" w:line="480" w:lineRule="auto"/>
              <w:rPr>
                <w:rFonts w:ascii="Times New Roman" w:hAnsi="Times New Roman" w:cs="Times New Roman"/>
                <w:sz w:val="24"/>
                <w:szCs w:val="24"/>
              </w:rPr>
            </w:pPr>
            <w:r w:rsidRPr="00CF568A">
              <w:rPr>
                <w:rFonts w:ascii="Times New Roman" w:hAnsi="Times New Roman" w:cs="Times New Roman"/>
                <w:sz w:val="24"/>
                <w:szCs w:val="24"/>
              </w:rPr>
              <w:t>Not very/not at all important, n (%)</w:t>
            </w:r>
          </w:p>
        </w:tc>
        <w:tc>
          <w:tcPr>
            <w:tcW w:w="1350" w:type="dxa"/>
            <w:vAlign w:val="center"/>
          </w:tcPr>
          <w:p w14:paraId="10B61480"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0 (0%)</w:t>
            </w:r>
          </w:p>
        </w:tc>
        <w:tc>
          <w:tcPr>
            <w:tcW w:w="1890" w:type="dxa"/>
            <w:vAlign w:val="center"/>
          </w:tcPr>
          <w:p w14:paraId="343D241B"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1 (1.6%)</w:t>
            </w:r>
          </w:p>
        </w:tc>
        <w:tc>
          <w:tcPr>
            <w:tcW w:w="1795" w:type="dxa"/>
            <w:vAlign w:val="center"/>
          </w:tcPr>
          <w:p w14:paraId="289EDCBA"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0 (0%)</w:t>
            </w:r>
          </w:p>
        </w:tc>
      </w:tr>
      <w:tr w:rsidR="00221903" w:rsidRPr="00CF568A" w14:paraId="6712DDA6" w14:textId="77777777" w:rsidTr="00CA78CA">
        <w:tc>
          <w:tcPr>
            <w:tcW w:w="9350" w:type="dxa"/>
            <w:gridSpan w:val="4"/>
            <w:vAlign w:val="center"/>
          </w:tcPr>
          <w:p w14:paraId="53A4746A" w14:textId="77777777" w:rsidR="00221903" w:rsidRPr="00CF568A" w:rsidRDefault="00221903" w:rsidP="00CA78CA">
            <w:pPr>
              <w:spacing w:before="80" w:after="80" w:line="480" w:lineRule="auto"/>
              <w:rPr>
                <w:rFonts w:ascii="Times New Roman" w:hAnsi="Times New Roman" w:cs="Times New Roman"/>
                <w:sz w:val="24"/>
                <w:szCs w:val="24"/>
              </w:rPr>
            </w:pPr>
            <w:r w:rsidRPr="00CF568A">
              <w:rPr>
                <w:rFonts w:ascii="Times New Roman" w:hAnsi="Times New Roman" w:cs="Times New Roman"/>
                <w:i/>
                <w:iCs/>
                <w:sz w:val="24"/>
                <w:szCs w:val="24"/>
              </w:rPr>
              <w:lastRenderedPageBreak/>
              <w:t xml:space="preserve">For patients that were admitted to your care for an infectious etiology during the past 12 months, how often did you do the following? </w:t>
            </w:r>
            <w:r w:rsidRPr="00CF568A">
              <w:rPr>
                <w:rFonts w:ascii="Times New Roman" w:hAnsi="Times New Roman" w:cs="Times New Roman"/>
                <w:sz w:val="24"/>
                <w:szCs w:val="24"/>
              </w:rPr>
              <w:t>(</w:t>
            </w:r>
            <w:proofErr w:type="gramStart"/>
            <w:r w:rsidRPr="00CF568A">
              <w:rPr>
                <w:rFonts w:ascii="Times New Roman" w:hAnsi="Times New Roman" w:cs="Times New Roman"/>
                <w:sz w:val="24"/>
                <w:szCs w:val="24"/>
              </w:rPr>
              <w:t>those</w:t>
            </w:r>
            <w:proofErr w:type="gramEnd"/>
            <w:r w:rsidRPr="00CF568A">
              <w:rPr>
                <w:rFonts w:ascii="Times New Roman" w:hAnsi="Times New Roman" w:cs="Times New Roman"/>
                <w:sz w:val="24"/>
                <w:szCs w:val="24"/>
              </w:rPr>
              <w:t xml:space="preserve"> answering “Always/most often (81-100%)” or “Usually” (61-80%) are tabulated)</w:t>
            </w:r>
          </w:p>
        </w:tc>
      </w:tr>
      <w:tr w:rsidR="00221903" w:rsidRPr="00CF568A" w14:paraId="0DB39AC5" w14:textId="77777777" w:rsidTr="00CA78CA">
        <w:tc>
          <w:tcPr>
            <w:tcW w:w="4315" w:type="dxa"/>
            <w:vAlign w:val="center"/>
          </w:tcPr>
          <w:p w14:paraId="59CE0CA9" w14:textId="77777777" w:rsidR="00221903" w:rsidRPr="00CF568A" w:rsidRDefault="00221903" w:rsidP="00CA78CA">
            <w:pPr>
              <w:spacing w:before="80" w:after="80" w:line="480" w:lineRule="auto"/>
              <w:rPr>
                <w:rFonts w:ascii="Times New Roman" w:hAnsi="Times New Roman" w:cs="Times New Roman"/>
                <w:sz w:val="24"/>
                <w:szCs w:val="24"/>
              </w:rPr>
            </w:pPr>
            <w:r w:rsidRPr="00CF568A">
              <w:rPr>
                <w:rFonts w:ascii="Times New Roman" w:hAnsi="Times New Roman" w:cs="Times New Roman"/>
                <w:sz w:val="24"/>
                <w:szCs w:val="24"/>
              </w:rPr>
              <w:t>Change the antibiotics that were initially started by the ER (usually on day 1 or 2 of hospitalization). That is, adjust the antibiotic regimen soon after admission. n (%)</w:t>
            </w:r>
          </w:p>
        </w:tc>
        <w:tc>
          <w:tcPr>
            <w:tcW w:w="1350" w:type="dxa"/>
            <w:vAlign w:val="center"/>
          </w:tcPr>
          <w:p w14:paraId="50C883B0"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14 (73.7%)</w:t>
            </w:r>
          </w:p>
        </w:tc>
        <w:tc>
          <w:tcPr>
            <w:tcW w:w="1890" w:type="dxa"/>
            <w:vAlign w:val="center"/>
          </w:tcPr>
          <w:p w14:paraId="3770DE0A"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36 (58.1%)</w:t>
            </w:r>
          </w:p>
        </w:tc>
        <w:tc>
          <w:tcPr>
            <w:tcW w:w="1795" w:type="dxa"/>
            <w:vAlign w:val="center"/>
          </w:tcPr>
          <w:p w14:paraId="0002FD14"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31 (53.4%)</w:t>
            </w:r>
          </w:p>
        </w:tc>
      </w:tr>
      <w:tr w:rsidR="00221903" w:rsidRPr="00CF568A" w14:paraId="369853FA" w14:textId="77777777" w:rsidTr="00CA78CA">
        <w:tc>
          <w:tcPr>
            <w:tcW w:w="4315" w:type="dxa"/>
            <w:vAlign w:val="center"/>
          </w:tcPr>
          <w:p w14:paraId="3E453B61" w14:textId="77777777" w:rsidR="00221903" w:rsidRPr="00CF568A" w:rsidRDefault="00221903" w:rsidP="00CA78CA">
            <w:pPr>
              <w:spacing w:before="80" w:after="80" w:line="480" w:lineRule="auto"/>
              <w:rPr>
                <w:rFonts w:ascii="Times New Roman" w:hAnsi="Times New Roman" w:cs="Times New Roman"/>
                <w:sz w:val="24"/>
                <w:szCs w:val="24"/>
              </w:rPr>
            </w:pPr>
            <w:r w:rsidRPr="00CF568A">
              <w:rPr>
                <w:rFonts w:ascii="Times New Roman" w:hAnsi="Times New Roman" w:cs="Times New Roman"/>
                <w:sz w:val="24"/>
                <w:szCs w:val="24"/>
              </w:rPr>
              <w:t>Tailor the antibiotic regimen on or around day 3, if appropriate. That is, narrow the antibiotic regimen after the patient has been hospitalized for several days. n (%)</w:t>
            </w:r>
          </w:p>
        </w:tc>
        <w:tc>
          <w:tcPr>
            <w:tcW w:w="1350" w:type="dxa"/>
            <w:vAlign w:val="center"/>
          </w:tcPr>
          <w:p w14:paraId="0103C84E"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16 (84.2%)</w:t>
            </w:r>
          </w:p>
        </w:tc>
        <w:tc>
          <w:tcPr>
            <w:tcW w:w="1890" w:type="dxa"/>
            <w:vAlign w:val="center"/>
          </w:tcPr>
          <w:p w14:paraId="0927FBDB"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48 (77.4%)</w:t>
            </w:r>
          </w:p>
        </w:tc>
        <w:tc>
          <w:tcPr>
            <w:tcW w:w="1795" w:type="dxa"/>
            <w:vAlign w:val="center"/>
          </w:tcPr>
          <w:p w14:paraId="5DF5B7C8"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40 (69%)</w:t>
            </w:r>
          </w:p>
        </w:tc>
      </w:tr>
      <w:tr w:rsidR="00221903" w:rsidRPr="00CF568A" w14:paraId="1FD4274E" w14:textId="77777777" w:rsidTr="00CA78CA">
        <w:tc>
          <w:tcPr>
            <w:tcW w:w="4315" w:type="dxa"/>
            <w:vAlign w:val="center"/>
          </w:tcPr>
          <w:p w14:paraId="0CDA7796" w14:textId="77777777" w:rsidR="00221903" w:rsidRPr="00CF568A" w:rsidRDefault="00221903" w:rsidP="00CA78CA">
            <w:pPr>
              <w:spacing w:before="80" w:after="80" w:line="480" w:lineRule="auto"/>
              <w:rPr>
                <w:rFonts w:ascii="Times New Roman" w:hAnsi="Times New Roman" w:cs="Times New Roman"/>
                <w:sz w:val="24"/>
                <w:szCs w:val="24"/>
              </w:rPr>
            </w:pPr>
            <w:r w:rsidRPr="00CF568A">
              <w:rPr>
                <w:rFonts w:ascii="Times New Roman" w:hAnsi="Times New Roman" w:cs="Times New Roman"/>
                <w:sz w:val="24"/>
                <w:szCs w:val="24"/>
              </w:rPr>
              <w:t>Observe the patient on oral antibiotics for at least one day before discharge. n (%)</w:t>
            </w:r>
          </w:p>
        </w:tc>
        <w:tc>
          <w:tcPr>
            <w:tcW w:w="1350" w:type="dxa"/>
            <w:vAlign w:val="center"/>
          </w:tcPr>
          <w:p w14:paraId="342A8032"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2 (10.5%)</w:t>
            </w:r>
          </w:p>
        </w:tc>
        <w:tc>
          <w:tcPr>
            <w:tcW w:w="1890" w:type="dxa"/>
            <w:vAlign w:val="center"/>
          </w:tcPr>
          <w:p w14:paraId="5D84DBAC"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13 (21%)</w:t>
            </w:r>
          </w:p>
        </w:tc>
        <w:tc>
          <w:tcPr>
            <w:tcW w:w="1795" w:type="dxa"/>
            <w:vAlign w:val="center"/>
          </w:tcPr>
          <w:p w14:paraId="4CEC49B3"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11 (19%)</w:t>
            </w:r>
          </w:p>
        </w:tc>
      </w:tr>
      <w:tr w:rsidR="00221903" w:rsidRPr="00CF568A" w14:paraId="0BFE4DE0" w14:textId="77777777" w:rsidTr="00CA78CA">
        <w:tc>
          <w:tcPr>
            <w:tcW w:w="4315" w:type="dxa"/>
            <w:vAlign w:val="center"/>
          </w:tcPr>
          <w:p w14:paraId="28F4958F" w14:textId="77777777" w:rsidR="00221903" w:rsidRPr="00CF568A" w:rsidRDefault="00221903" w:rsidP="00CA78CA">
            <w:pPr>
              <w:spacing w:before="80" w:after="80" w:line="480" w:lineRule="auto"/>
              <w:rPr>
                <w:rFonts w:ascii="Times New Roman" w:hAnsi="Times New Roman" w:cs="Times New Roman"/>
                <w:sz w:val="24"/>
                <w:szCs w:val="24"/>
              </w:rPr>
            </w:pPr>
            <w:r w:rsidRPr="00CF568A">
              <w:rPr>
                <w:rFonts w:ascii="Times New Roman" w:hAnsi="Times New Roman" w:cs="Times New Roman"/>
                <w:sz w:val="24"/>
                <w:szCs w:val="24"/>
              </w:rPr>
              <w:t>Continue with an IV antibiotic until within a day of anticipated discharge. n (%)</w:t>
            </w:r>
          </w:p>
        </w:tc>
        <w:tc>
          <w:tcPr>
            <w:tcW w:w="1350" w:type="dxa"/>
            <w:vAlign w:val="center"/>
          </w:tcPr>
          <w:p w14:paraId="4A1A4798"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4 (21.1%)</w:t>
            </w:r>
          </w:p>
        </w:tc>
        <w:tc>
          <w:tcPr>
            <w:tcW w:w="1890" w:type="dxa"/>
            <w:vAlign w:val="center"/>
          </w:tcPr>
          <w:p w14:paraId="6D397858"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25 (40.3%)</w:t>
            </w:r>
          </w:p>
        </w:tc>
        <w:tc>
          <w:tcPr>
            <w:tcW w:w="1795" w:type="dxa"/>
            <w:vAlign w:val="center"/>
          </w:tcPr>
          <w:p w14:paraId="50CAB7E9"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17 (29.3%)</w:t>
            </w:r>
          </w:p>
        </w:tc>
      </w:tr>
      <w:tr w:rsidR="00221903" w:rsidRPr="00CF568A" w14:paraId="1D55F8D7" w14:textId="77777777" w:rsidTr="00CA78CA">
        <w:tc>
          <w:tcPr>
            <w:tcW w:w="4315" w:type="dxa"/>
            <w:vAlign w:val="center"/>
          </w:tcPr>
          <w:p w14:paraId="35FE30E4" w14:textId="77777777" w:rsidR="00221903" w:rsidRPr="00CF568A" w:rsidRDefault="00221903" w:rsidP="00CA78CA">
            <w:pPr>
              <w:spacing w:before="80" w:after="80" w:line="480" w:lineRule="auto"/>
              <w:rPr>
                <w:rFonts w:ascii="Times New Roman" w:hAnsi="Times New Roman" w:cs="Times New Roman"/>
                <w:sz w:val="24"/>
                <w:szCs w:val="24"/>
              </w:rPr>
            </w:pPr>
            <w:r w:rsidRPr="00CF568A">
              <w:rPr>
                <w:rFonts w:ascii="Times New Roman" w:hAnsi="Times New Roman" w:cs="Times New Roman"/>
                <w:sz w:val="24"/>
                <w:szCs w:val="24"/>
              </w:rPr>
              <w:t>Prescribe a longer course of antibiotics after discharge if you have concern for readmission shortly after discharge. n (%)</w:t>
            </w:r>
          </w:p>
        </w:tc>
        <w:tc>
          <w:tcPr>
            <w:tcW w:w="1350" w:type="dxa"/>
            <w:vAlign w:val="center"/>
          </w:tcPr>
          <w:p w14:paraId="73A65C3D"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1 (5.3%)</w:t>
            </w:r>
          </w:p>
        </w:tc>
        <w:tc>
          <w:tcPr>
            <w:tcW w:w="1890" w:type="dxa"/>
            <w:vAlign w:val="center"/>
          </w:tcPr>
          <w:p w14:paraId="502D7FF4"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6 (9.7%)</w:t>
            </w:r>
          </w:p>
        </w:tc>
        <w:tc>
          <w:tcPr>
            <w:tcW w:w="1795" w:type="dxa"/>
            <w:vAlign w:val="center"/>
          </w:tcPr>
          <w:p w14:paraId="7C928DC7"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2 (3.4%)</w:t>
            </w:r>
          </w:p>
        </w:tc>
      </w:tr>
      <w:tr w:rsidR="00221903" w:rsidRPr="00CF568A" w14:paraId="312A178E" w14:textId="77777777" w:rsidTr="00CA78CA">
        <w:tc>
          <w:tcPr>
            <w:tcW w:w="9350" w:type="dxa"/>
            <w:gridSpan w:val="4"/>
            <w:vAlign w:val="center"/>
          </w:tcPr>
          <w:p w14:paraId="0638192A" w14:textId="77777777" w:rsidR="00221903" w:rsidRPr="00CF568A" w:rsidRDefault="00221903" w:rsidP="00CA78CA">
            <w:pPr>
              <w:spacing w:before="80" w:after="80" w:line="480" w:lineRule="auto"/>
              <w:rPr>
                <w:rFonts w:ascii="Times New Roman" w:hAnsi="Times New Roman" w:cs="Times New Roman"/>
                <w:i/>
                <w:iCs/>
                <w:sz w:val="24"/>
                <w:szCs w:val="24"/>
              </w:rPr>
            </w:pPr>
            <w:r w:rsidRPr="00CF568A">
              <w:rPr>
                <w:rFonts w:ascii="Times New Roman" w:hAnsi="Times New Roman" w:cs="Times New Roman"/>
                <w:i/>
                <w:iCs/>
                <w:sz w:val="24"/>
                <w:szCs w:val="24"/>
              </w:rPr>
              <w:t>Do you believe that you might be overprescribing antibiotics in the inpatient setting?</w:t>
            </w:r>
          </w:p>
        </w:tc>
      </w:tr>
      <w:tr w:rsidR="00221903" w:rsidRPr="00CF568A" w14:paraId="59F59E47" w14:textId="77777777" w:rsidTr="00CA78CA">
        <w:tc>
          <w:tcPr>
            <w:tcW w:w="4315" w:type="dxa"/>
            <w:vAlign w:val="center"/>
          </w:tcPr>
          <w:p w14:paraId="36D67E60" w14:textId="77777777" w:rsidR="00221903" w:rsidRPr="00CF568A" w:rsidRDefault="00221903" w:rsidP="00CA78CA">
            <w:pPr>
              <w:spacing w:before="80" w:after="80" w:line="480" w:lineRule="auto"/>
              <w:rPr>
                <w:rFonts w:ascii="Times New Roman" w:hAnsi="Times New Roman" w:cs="Times New Roman"/>
                <w:sz w:val="24"/>
                <w:szCs w:val="24"/>
              </w:rPr>
            </w:pPr>
            <w:r w:rsidRPr="00CF568A">
              <w:rPr>
                <w:rFonts w:ascii="Times New Roman" w:hAnsi="Times New Roman" w:cs="Times New Roman"/>
                <w:sz w:val="24"/>
                <w:szCs w:val="24"/>
              </w:rPr>
              <w:lastRenderedPageBreak/>
              <w:t>Yes</w:t>
            </w:r>
            <w:proofErr w:type="gramStart"/>
            <w:r w:rsidRPr="00CF568A">
              <w:rPr>
                <w:rFonts w:ascii="Times New Roman" w:hAnsi="Times New Roman" w:cs="Times New Roman"/>
                <w:sz w:val="24"/>
                <w:szCs w:val="24"/>
              </w:rPr>
              <w:t>, definitely, n</w:t>
            </w:r>
            <w:proofErr w:type="gramEnd"/>
            <w:r w:rsidRPr="00CF568A">
              <w:rPr>
                <w:rFonts w:ascii="Times New Roman" w:hAnsi="Times New Roman" w:cs="Times New Roman"/>
                <w:sz w:val="24"/>
                <w:szCs w:val="24"/>
              </w:rPr>
              <w:t xml:space="preserve"> (%)</w:t>
            </w:r>
          </w:p>
        </w:tc>
        <w:tc>
          <w:tcPr>
            <w:tcW w:w="1350" w:type="dxa"/>
            <w:vAlign w:val="center"/>
          </w:tcPr>
          <w:p w14:paraId="5DBAEFE8"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1 (5.3%)</w:t>
            </w:r>
          </w:p>
        </w:tc>
        <w:tc>
          <w:tcPr>
            <w:tcW w:w="1890" w:type="dxa"/>
            <w:vAlign w:val="center"/>
          </w:tcPr>
          <w:p w14:paraId="6792789C"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2 (3.2%)</w:t>
            </w:r>
          </w:p>
        </w:tc>
        <w:tc>
          <w:tcPr>
            <w:tcW w:w="1795" w:type="dxa"/>
            <w:vAlign w:val="center"/>
          </w:tcPr>
          <w:p w14:paraId="7929F6FF"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0 (0%)</w:t>
            </w:r>
          </w:p>
        </w:tc>
      </w:tr>
      <w:tr w:rsidR="00221903" w:rsidRPr="00CF568A" w14:paraId="691C69A0" w14:textId="77777777" w:rsidTr="00CA78CA">
        <w:tc>
          <w:tcPr>
            <w:tcW w:w="4315" w:type="dxa"/>
            <w:vAlign w:val="center"/>
          </w:tcPr>
          <w:p w14:paraId="3EC5FD8F" w14:textId="77777777" w:rsidR="00221903" w:rsidRPr="00CF568A" w:rsidRDefault="00221903" w:rsidP="00CA78CA">
            <w:pPr>
              <w:spacing w:before="80" w:after="80" w:line="480" w:lineRule="auto"/>
              <w:rPr>
                <w:rFonts w:ascii="Times New Roman" w:hAnsi="Times New Roman" w:cs="Times New Roman"/>
                <w:sz w:val="24"/>
                <w:szCs w:val="24"/>
              </w:rPr>
            </w:pPr>
            <w:r w:rsidRPr="00CF568A">
              <w:rPr>
                <w:rFonts w:ascii="Times New Roman" w:hAnsi="Times New Roman" w:cs="Times New Roman"/>
                <w:sz w:val="24"/>
                <w:szCs w:val="24"/>
              </w:rPr>
              <w:t>Yes, probably, n (%)</w:t>
            </w:r>
          </w:p>
        </w:tc>
        <w:tc>
          <w:tcPr>
            <w:tcW w:w="1350" w:type="dxa"/>
            <w:vAlign w:val="center"/>
          </w:tcPr>
          <w:p w14:paraId="4C9D22C7"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4 (21.1%)</w:t>
            </w:r>
          </w:p>
        </w:tc>
        <w:tc>
          <w:tcPr>
            <w:tcW w:w="1890" w:type="dxa"/>
            <w:vAlign w:val="center"/>
          </w:tcPr>
          <w:p w14:paraId="434BFF3D"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33 (53.2%)</w:t>
            </w:r>
          </w:p>
        </w:tc>
        <w:tc>
          <w:tcPr>
            <w:tcW w:w="1795" w:type="dxa"/>
            <w:vAlign w:val="center"/>
          </w:tcPr>
          <w:p w14:paraId="558BA3EC"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22 (37.9%)</w:t>
            </w:r>
          </w:p>
        </w:tc>
      </w:tr>
      <w:tr w:rsidR="00221903" w:rsidRPr="00CF568A" w14:paraId="61E17F91" w14:textId="77777777" w:rsidTr="00CA78CA">
        <w:tc>
          <w:tcPr>
            <w:tcW w:w="4315" w:type="dxa"/>
            <w:vAlign w:val="center"/>
          </w:tcPr>
          <w:p w14:paraId="020D179D" w14:textId="77777777" w:rsidR="00221903" w:rsidRPr="00CF568A" w:rsidRDefault="00221903" w:rsidP="00CA78CA">
            <w:pPr>
              <w:spacing w:before="80" w:after="80" w:line="480" w:lineRule="auto"/>
              <w:rPr>
                <w:rFonts w:ascii="Times New Roman" w:hAnsi="Times New Roman" w:cs="Times New Roman"/>
                <w:sz w:val="24"/>
                <w:szCs w:val="24"/>
              </w:rPr>
            </w:pPr>
            <w:r w:rsidRPr="00CF568A">
              <w:rPr>
                <w:rFonts w:ascii="Times New Roman" w:hAnsi="Times New Roman" w:cs="Times New Roman"/>
                <w:sz w:val="24"/>
                <w:szCs w:val="24"/>
              </w:rPr>
              <w:t>Not sure, n (%)</w:t>
            </w:r>
          </w:p>
        </w:tc>
        <w:tc>
          <w:tcPr>
            <w:tcW w:w="1350" w:type="dxa"/>
            <w:vAlign w:val="center"/>
          </w:tcPr>
          <w:p w14:paraId="4B4F9882"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4 (21.1%)</w:t>
            </w:r>
          </w:p>
        </w:tc>
        <w:tc>
          <w:tcPr>
            <w:tcW w:w="1890" w:type="dxa"/>
            <w:vAlign w:val="center"/>
          </w:tcPr>
          <w:p w14:paraId="479A8F17"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12 (19.4%)</w:t>
            </w:r>
          </w:p>
        </w:tc>
        <w:tc>
          <w:tcPr>
            <w:tcW w:w="1795" w:type="dxa"/>
            <w:vAlign w:val="center"/>
          </w:tcPr>
          <w:p w14:paraId="0F704A5D"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21 (36.2%)</w:t>
            </w:r>
          </w:p>
        </w:tc>
      </w:tr>
      <w:tr w:rsidR="00221903" w:rsidRPr="00CF568A" w14:paraId="312FAB38" w14:textId="77777777" w:rsidTr="00CA78CA">
        <w:tc>
          <w:tcPr>
            <w:tcW w:w="4315" w:type="dxa"/>
            <w:vAlign w:val="center"/>
          </w:tcPr>
          <w:p w14:paraId="22E7B6D8" w14:textId="77777777" w:rsidR="00221903" w:rsidRPr="00CF568A" w:rsidRDefault="00221903" w:rsidP="00CA78CA">
            <w:pPr>
              <w:spacing w:before="80" w:after="80" w:line="480" w:lineRule="auto"/>
              <w:rPr>
                <w:rFonts w:ascii="Times New Roman" w:hAnsi="Times New Roman" w:cs="Times New Roman"/>
                <w:sz w:val="24"/>
                <w:szCs w:val="24"/>
              </w:rPr>
            </w:pPr>
            <w:r w:rsidRPr="00CF568A">
              <w:rPr>
                <w:rFonts w:ascii="Times New Roman" w:hAnsi="Times New Roman" w:cs="Times New Roman"/>
                <w:sz w:val="24"/>
                <w:szCs w:val="24"/>
              </w:rPr>
              <w:t>No, not likely, n (</w:t>
            </w:r>
            <w:proofErr w:type="gramStart"/>
            <w:r w:rsidRPr="00CF568A">
              <w:rPr>
                <w:rFonts w:ascii="Times New Roman" w:hAnsi="Times New Roman" w:cs="Times New Roman"/>
                <w:sz w:val="24"/>
                <w:szCs w:val="24"/>
              </w:rPr>
              <w:t>%)*</w:t>
            </w:r>
            <w:proofErr w:type="gramEnd"/>
          </w:p>
        </w:tc>
        <w:tc>
          <w:tcPr>
            <w:tcW w:w="1350" w:type="dxa"/>
            <w:vAlign w:val="center"/>
          </w:tcPr>
          <w:p w14:paraId="2E5E35CA"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8 (42.1%)</w:t>
            </w:r>
          </w:p>
        </w:tc>
        <w:tc>
          <w:tcPr>
            <w:tcW w:w="1890" w:type="dxa"/>
            <w:vAlign w:val="center"/>
          </w:tcPr>
          <w:p w14:paraId="6F425E7F"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12 (19.4%)</w:t>
            </w:r>
          </w:p>
        </w:tc>
        <w:tc>
          <w:tcPr>
            <w:tcW w:w="1795" w:type="dxa"/>
            <w:vAlign w:val="center"/>
          </w:tcPr>
          <w:p w14:paraId="60301F5A"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15 (25.9%)</w:t>
            </w:r>
          </w:p>
        </w:tc>
      </w:tr>
      <w:tr w:rsidR="00221903" w:rsidRPr="00CF568A" w14:paraId="3D9162D5" w14:textId="77777777" w:rsidTr="00CA78CA">
        <w:tc>
          <w:tcPr>
            <w:tcW w:w="4315" w:type="dxa"/>
            <w:vAlign w:val="center"/>
          </w:tcPr>
          <w:p w14:paraId="0CC84FED" w14:textId="77777777" w:rsidR="00221903" w:rsidRPr="00CF568A" w:rsidRDefault="00221903" w:rsidP="00CA78CA">
            <w:pPr>
              <w:spacing w:before="80" w:after="80" w:line="480" w:lineRule="auto"/>
              <w:rPr>
                <w:rFonts w:ascii="Times New Roman" w:hAnsi="Times New Roman" w:cs="Times New Roman"/>
                <w:sz w:val="24"/>
                <w:szCs w:val="24"/>
              </w:rPr>
            </w:pPr>
            <w:r w:rsidRPr="00CF568A">
              <w:rPr>
                <w:rFonts w:ascii="Times New Roman" w:hAnsi="Times New Roman" w:cs="Times New Roman"/>
                <w:sz w:val="24"/>
                <w:szCs w:val="24"/>
              </w:rPr>
              <w:t xml:space="preserve">No, </w:t>
            </w:r>
            <w:proofErr w:type="gramStart"/>
            <w:r w:rsidRPr="00CF568A">
              <w:rPr>
                <w:rFonts w:ascii="Times New Roman" w:hAnsi="Times New Roman" w:cs="Times New Roman"/>
                <w:sz w:val="24"/>
                <w:szCs w:val="24"/>
              </w:rPr>
              <w:t>definitely not</w:t>
            </w:r>
            <w:proofErr w:type="gramEnd"/>
            <w:r w:rsidRPr="00CF568A">
              <w:rPr>
                <w:rFonts w:ascii="Times New Roman" w:hAnsi="Times New Roman" w:cs="Times New Roman"/>
                <w:sz w:val="24"/>
                <w:szCs w:val="24"/>
              </w:rPr>
              <w:t>, n (%)</w:t>
            </w:r>
          </w:p>
        </w:tc>
        <w:tc>
          <w:tcPr>
            <w:tcW w:w="1350" w:type="dxa"/>
            <w:vAlign w:val="center"/>
          </w:tcPr>
          <w:p w14:paraId="7BAEDCA2"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2 (10.5%)</w:t>
            </w:r>
          </w:p>
        </w:tc>
        <w:tc>
          <w:tcPr>
            <w:tcW w:w="1890" w:type="dxa"/>
            <w:vAlign w:val="center"/>
          </w:tcPr>
          <w:p w14:paraId="7E533320"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3 (4.8%)</w:t>
            </w:r>
          </w:p>
        </w:tc>
        <w:tc>
          <w:tcPr>
            <w:tcW w:w="1795" w:type="dxa"/>
            <w:vAlign w:val="center"/>
          </w:tcPr>
          <w:p w14:paraId="58DD51A1"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0 (0%)</w:t>
            </w:r>
          </w:p>
        </w:tc>
      </w:tr>
      <w:tr w:rsidR="00221903" w:rsidRPr="00CF568A" w14:paraId="6972E063" w14:textId="77777777" w:rsidTr="00CA78CA">
        <w:tc>
          <w:tcPr>
            <w:tcW w:w="9350" w:type="dxa"/>
            <w:gridSpan w:val="4"/>
            <w:vAlign w:val="center"/>
          </w:tcPr>
          <w:p w14:paraId="0D895AF3" w14:textId="77777777" w:rsidR="00221903" w:rsidRPr="00CF568A" w:rsidRDefault="00221903" w:rsidP="00CA78CA">
            <w:pPr>
              <w:spacing w:before="80" w:after="80" w:line="480" w:lineRule="auto"/>
              <w:rPr>
                <w:rFonts w:ascii="Times New Roman" w:hAnsi="Times New Roman" w:cs="Times New Roman"/>
                <w:i/>
                <w:iCs/>
                <w:sz w:val="24"/>
                <w:szCs w:val="24"/>
              </w:rPr>
            </w:pPr>
            <w:r w:rsidRPr="00CF568A">
              <w:rPr>
                <w:rFonts w:ascii="Times New Roman" w:hAnsi="Times New Roman" w:cs="Times New Roman"/>
                <w:i/>
                <w:iCs/>
                <w:sz w:val="24"/>
                <w:szCs w:val="24"/>
              </w:rPr>
              <w:t>Over the past 12 months, did you regularly use any of the following tools in making antibiotic prescribing decisions?</w:t>
            </w:r>
          </w:p>
        </w:tc>
      </w:tr>
      <w:tr w:rsidR="00221903" w:rsidRPr="00CF568A" w14:paraId="3A5A75CD" w14:textId="77777777" w:rsidTr="00CA78CA">
        <w:tc>
          <w:tcPr>
            <w:tcW w:w="4315" w:type="dxa"/>
            <w:vAlign w:val="center"/>
          </w:tcPr>
          <w:p w14:paraId="77171412" w14:textId="77777777" w:rsidR="00221903" w:rsidRPr="00CF568A" w:rsidRDefault="00221903" w:rsidP="00CA78CA">
            <w:pPr>
              <w:spacing w:before="80" w:after="80" w:line="480" w:lineRule="auto"/>
              <w:rPr>
                <w:rFonts w:ascii="Times New Roman" w:hAnsi="Times New Roman" w:cs="Times New Roman"/>
                <w:sz w:val="24"/>
                <w:szCs w:val="24"/>
              </w:rPr>
            </w:pPr>
            <w:r w:rsidRPr="00CF568A">
              <w:rPr>
                <w:rFonts w:ascii="Times New Roman" w:hAnsi="Times New Roman" w:cs="Times New Roman"/>
                <w:sz w:val="24"/>
                <w:szCs w:val="24"/>
              </w:rPr>
              <w:t>Antibiogram, n (</w:t>
            </w:r>
            <w:proofErr w:type="gramStart"/>
            <w:r w:rsidRPr="00CF568A">
              <w:rPr>
                <w:rFonts w:ascii="Times New Roman" w:hAnsi="Times New Roman" w:cs="Times New Roman"/>
                <w:sz w:val="24"/>
                <w:szCs w:val="24"/>
              </w:rPr>
              <w:t>%)*</w:t>
            </w:r>
            <w:proofErr w:type="gramEnd"/>
          </w:p>
        </w:tc>
        <w:tc>
          <w:tcPr>
            <w:tcW w:w="1350" w:type="dxa"/>
            <w:vAlign w:val="center"/>
          </w:tcPr>
          <w:p w14:paraId="4B69FC23"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16 (84.2%)</w:t>
            </w:r>
          </w:p>
        </w:tc>
        <w:tc>
          <w:tcPr>
            <w:tcW w:w="1890" w:type="dxa"/>
            <w:vAlign w:val="center"/>
          </w:tcPr>
          <w:p w14:paraId="3BFA9F76"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45 (72.6%)</w:t>
            </w:r>
          </w:p>
        </w:tc>
        <w:tc>
          <w:tcPr>
            <w:tcW w:w="1795" w:type="dxa"/>
            <w:vAlign w:val="center"/>
          </w:tcPr>
          <w:p w14:paraId="18C4360E"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31 (53.4%)</w:t>
            </w:r>
          </w:p>
        </w:tc>
      </w:tr>
      <w:tr w:rsidR="00221903" w:rsidRPr="00CF568A" w14:paraId="331D9049" w14:textId="77777777" w:rsidTr="00CA78CA">
        <w:tc>
          <w:tcPr>
            <w:tcW w:w="4315" w:type="dxa"/>
            <w:vAlign w:val="center"/>
          </w:tcPr>
          <w:p w14:paraId="3B661496" w14:textId="77777777" w:rsidR="00221903" w:rsidRPr="00CF568A" w:rsidRDefault="00221903" w:rsidP="00CA78CA">
            <w:pPr>
              <w:spacing w:before="80" w:after="80" w:line="480" w:lineRule="auto"/>
              <w:rPr>
                <w:rFonts w:ascii="Times New Roman" w:hAnsi="Times New Roman" w:cs="Times New Roman"/>
                <w:sz w:val="24"/>
                <w:szCs w:val="24"/>
              </w:rPr>
            </w:pPr>
            <w:r w:rsidRPr="00CF568A">
              <w:rPr>
                <w:rFonts w:ascii="Times New Roman" w:hAnsi="Times New Roman" w:cs="Times New Roman"/>
                <w:sz w:val="24"/>
                <w:szCs w:val="24"/>
              </w:rPr>
              <w:t>Electronic health record templates or menus, n (%)</w:t>
            </w:r>
          </w:p>
        </w:tc>
        <w:tc>
          <w:tcPr>
            <w:tcW w:w="1350" w:type="dxa"/>
            <w:vAlign w:val="center"/>
          </w:tcPr>
          <w:p w14:paraId="56309389"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3 (15.8%)</w:t>
            </w:r>
          </w:p>
        </w:tc>
        <w:tc>
          <w:tcPr>
            <w:tcW w:w="1890" w:type="dxa"/>
            <w:vAlign w:val="center"/>
          </w:tcPr>
          <w:p w14:paraId="2098CED4"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25 (40.3%)</w:t>
            </w:r>
          </w:p>
        </w:tc>
        <w:tc>
          <w:tcPr>
            <w:tcW w:w="1795" w:type="dxa"/>
            <w:vAlign w:val="center"/>
          </w:tcPr>
          <w:p w14:paraId="21436F9D"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21 (36.2%)</w:t>
            </w:r>
          </w:p>
        </w:tc>
      </w:tr>
      <w:tr w:rsidR="00221903" w:rsidRPr="00CF568A" w14:paraId="4C75D6D2" w14:textId="77777777" w:rsidTr="00CA78CA">
        <w:tc>
          <w:tcPr>
            <w:tcW w:w="4315" w:type="dxa"/>
            <w:vAlign w:val="center"/>
          </w:tcPr>
          <w:p w14:paraId="1035077B" w14:textId="77777777" w:rsidR="00221903" w:rsidRPr="00CF568A" w:rsidRDefault="00221903" w:rsidP="00CA78CA">
            <w:pPr>
              <w:spacing w:before="80" w:after="80" w:line="480" w:lineRule="auto"/>
              <w:rPr>
                <w:rFonts w:ascii="Times New Roman" w:hAnsi="Times New Roman" w:cs="Times New Roman"/>
                <w:sz w:val="24"/>
                <w:szCs w:val="24"/>
              </w:rPr>
            </w:pPr>
            <w:r w:rsidRPr="00CF568A">
              <w:rPr>
                <w:rFonts w:ascii="Times New Roman" w:hAnsi="Times New Roman" w:cs="Times New Roman"/>
                <w:sz w:val="24"/>
                <w:szCs w:val="24"/>
              </w:rPr>
              <w:t>Local ID intranet/internet site, n (%)</w:t>
            </w:r>
          </w:p>
        </w:tc>
        <w:tc>
          <w:tcPr>
            <w:tcW w:w="1350" w:type="dxa"/>
            <w:vAlign w:val="center"/>
          </w:tcPr>
          <w:p w14:paraId="5D6CADAF"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8 (42.1%)</w:t>
            </w:r>
          </w:p>
        </w:tc>
        <w:tc>
          <w:tcPr>
            <w:tcW w:w="1890" w:type="dxa"/>
            <w:vAlign w:val="center"/>
          </w:tcPr>
          <w:p w14:paraId="2D4FEEAA"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16 (25.8%)</w:t>
            </w:r>
          </w:p>
        </w:tc>
        <w:tc>
          <w:tcPr>
            <w:tcW w:w="1795" w:type="dxa"/>
            <w:vAlign w:val="center"/>
          </w:tcPr>
          <w:p w14:paraId="6E83AC4C"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12 (20.7%)</w:t>
            </w:r>
          </w:p>
        </w:tc>
      </w:tr>
      <w:tr w:rsidR="00221903" w:rsidRPr="00CF568A" w14:paraId="3CEA632A" w14:textId="77777777" w:rsidTr="00CA78CA">
        <w:tc>
          <w:tcPr>
            <w:tcW w:w="4315" w:type="dxa"/>
            <w:vAlign w:val="center"/>
          </w:tcPr>
          <w:p w14:paraId="5FBF0FD4" w14:textId="77777777" w:rsidR="00221903" w:rsidRPr="00CF568A" w:rsidRDefault="00221903" w:rsidP="00CA78CA">
            <w:pPr>
              <w:spacing w:before="80" w:after="80" w:line="480" w:lineRule="auto"/>
              <w:rPr>
                <w:rFonts w:ascii="Times New Roman" w:hAnsi="Times New Roman" w:cs="Times New Roman"/>
                <w:sz w:val="24"/>
                <w:szCs w:val="24"/>
              </w:rPr>
            </w:pPr>
            <w:r w:rsidRPr="00CF568A">
              <w:rPr>
                <w:rFonts w:ascii="Times New Roman" w:hAnsi="Times New Roman" w:cs="Times New Roman"/>
                <w:sz w:val="24"/>
                <w:szCs w:val="24"/>
              </w:rPr>
              <w:t>UpToDate or other online general reference, n (%)</w:t>
            </w:r>
          </w:p>
        </w:tc>
        <w:tc>
          <w:tcPr>
            <w:tcW w:w="1350" w:type="dxa"/>
            <w:vAlign w:val="center"/>
          </w:tcPr>
          <w:p w14:paraId="3FCF142E"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15 (78.9%)</w:t>
            </w:r>
          </w:p>
        </w:tc>
        <w:tc>
          <w:tcPr>
            <w:tcW w:w="1890" w:type="dxa"/>
            <w:vAlign w:val="center"/>
          </w:tcPr>
          <w:p w14:paraId="0645EC3A"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52 (83.9%)</w:t>
            </w:r>
          </w:p>
        </w:tc>
        <w:tc>
          <w:tcPr>
            <w:tcW w:w="1795" w:type="dxa"/>
            <w:vAlign w:val="center"/>
          </w:tcPr>
          <w:p w14:paraId="4384136F"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45 (77.6%)</w:t>
            </w:r>
          </w:p>
        </w:tc>
      </w:tr>
      <w:tr w:rsidR="00221903" w:rsidRPr="00CF568A" w14:paraId="73B89AE2" w14:textId="77777777" w:rsidTr="00CA78CA">
        <w:tc>
          <w:tcPr>
            <w:tcW w:w="4315" w:type="dxa"/>
            <w:vAlign w:val="center"/>
          </w:tcPr>
          <w:p w14:paraId="06EB13EF" w14:textId="77777777" w:rsidR="00221903" w:rsidRPr="00CF568A" w:rsidRDefault="00221903" w:rsidP="00CA78CA">
            <w:pPr>
              <w:spacing w:before="80" w:after="80" w:line="480" w:lineRule="auto"/>
              <w:rPr>
                <w:rFonts w:ascii="Times New Roman" w:hAnsi="Times New Roman" w:cs="Times New Roman"/>
                <w:sz w:val="24"/>
                <w:szCs w:val="24"/>
              </w:rPr>
            </w:pPr>
            <w:r w:rsidRPr="00CF568A">
              <w:rPr>
                <w:rFonts w:ascii="Times New Roman" w:hAnsi="Times New Roman" w:cs="Times New Roman"/>
                <w:sz w:val="24"/>
                <w:szCs w:val="24"/>
              </w:rPr>
              <w:t>Sanford guide or other antibiotic reference, n (%)</w:t>
            </w:r>
          </w:p>
        </w:tc>
        <w:tc>
          <w:tcPr>
            <w:tcW w:w="1350" w:type="dxa"/>
            <w:vAlign w:val="center"/>
          </w:tcPr>
          <w:p w14:paraId="03686ADB"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11 (57.9%)</w:t>
            </w:r>
          </w:p>
        </w:tc>
        <w:tc>
          <w:tcPr>
            <w:tcW w:w="1890" w:type="dxa"/>
            <w:vAlign w:val="center"/>
          </w:tcPr>
          <w:p w14:paraId="57D7FB6B"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27 (43.5%)</w:t>
            </w:r>
          </w:p>
        </w:tc>
        <w:tc>
          <w:tcPr>
            <w:tcW w:w="1795" w:type="dxa"/>
            <w:vAlign w:val="center"/>
          </w:tcPr>
          <w:p w14:paraId="13D529FD"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19 (32.8%)</w:t>
            </w:r>
          </w:p>
        </w:tc>
      </w:tr>
      <w:tr w:rsidR="00221903" w:rsidRPr="00CF568A" w14:paraId="7CC445EC" w14:textId="77777777" w:rsidTr="00CA78CA">
        <w:tc>
          <w:tcPr>
            <w:tcW w:w="9350" w:type="dxa"/>
            <w:gridSpan w:val="4"/>
            <w:vAlign w:val="center"/>
          </w:tcPr>
          <w:p w14:paraId="0C1AD75A" w14:textId="77777777" w:rsidR="00221903" w:rsidRPr="00CF568A" w:rsidRDefault="00221903" w:rsidP="00CA78CA">
            <w:pPr>
              <w:spacing w:before="80" w:after="80" w:line="480" w:lineRule="auto"/>
              <w:rPr>
                <w:rFonts w:ascii="Times New Roman" w:hAnsi="Times New Roman" w:cs="Times New Roman"/>
                <w:i/>
                <w:iCs/>
                <w:sz w:val="24"/>
                <w:szCs w:val="24"/>
              </w:rPr>
            </w:pPr>
            <w:r w:rsidRPr="00CF568A">
              <w:rPr>
                <w:rFonts w:ascii="Times New Roman" w:hAnsi="Times New Roman" w:cs="Times New Roman"/>
                <w:i/>
                <w:iCs/>
                <w:sz w:val="24"/>
                <w:szCs w:val="24"/>
              </w:rPr>
              <w:t>How helpful would the following be in improving your antibiotic prescribing?</w:t>
            </w:r>
          </w:p>
        </w:tc>
      </w:tr>
      <w:tr w:rsidR="00221903" w:rsidRPr="00CF568A" w14:paraId="7E3BA84A" w14:textId="77777777" w:rsidTr="00CA78CA">
        <w:tc>
          <w:tcPr>
            <w:tcW w:w="4315" w:type="dxa"/>
            <w:vAlign w:val="center"/>
          </w:tcPr>
          <w:p w14:paraId="10BB71B6" w14:textId="77777777" w:rsidR="00221903" w:rsidRPr="00CF568A" w:rsidRDefault="00221903" w:rsidP="00CA78CA">
            <w:pPr>
              <w:spacing w:before="80" w:after="80" w:line="480" w:lineRule="auto"/>
              <w:rPr>
                <w:rFonts w:ascii="Times New Roman" w:hAnsi="Times New Roman" w:cs="Times New Roman"/>
                <w:sz w:val="24"/>
                <w:szCs w:val="24"/>
              </w:rPr>
            </w:pPr>
            <w:r w:rsidRPr="00CF568A">
              <w:rPr>
                <w:rFonts w:ascii="Times New Roman" w:hAnsi="Times New Roman" w:cs="Times New Roman"/>
                <w:sz w:val="24"/>
                <w:szCs w:val="24"/>
              </w:rPr>
              <w:t>Additional feedback on your antibiotic selections, “extremely/very helpful” (</w:t>
            </w:r>
            <w:proofErr w:type="gramStart"/>
            <w:r w:rsidRPr="00CF568A">
              <w:rPr>
                <w:rFonts w:ascii="Times New Roman" w:hAnsi="Times New Roman" w:cs="Times New Roman"/>
                <w:sz w:val="24"/>
                <w:szCs w:val="24"/>
              </w:rPr>
              <w:t>%)*</w:t>
            </w:r>
            <w:proofErr w:type="gramEnd"/>
          </w:p>
        </w:tc>
        <w:tc>
          <w:tcPr>
            <w:tcW w:w="1350" w:type="dxa"/>
            <w:vAlign w:val="center"/>
          </w:tcPr>
          <w:p w14:paraId="02061A14"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10 (52.6%)</w:t>
            </w:r>
          </w:p>
        </w:tc>
        <w:tc>
          <w:tcPr>
            <w:tcW w:w="1890" w:type="dxa"/>
            <w:vAlign w:val="center"/>
          </w:tcPr>
          <w:p w14:paraId="3F232544"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51 (82.3%)</w:t>
            </w:r>
          </w:p>
        </w:tc>
        <w:tc>
          <w:tcPr>
            <w:tcW w:w="1795" w:type="dxa"/>
            <w:vAlign w:val="center"/>
          </w:tcPr>
          <w:p w14:paraId="42597DCB"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42 (72.4%)</w:t>
            </w:r>
          </w:p>
        </w:tc>
      </w:tr>
      <w:tr w:rsidR="00221903" w:rsidRPr="00CF568A" w14:paraId="13D16A24" w14:textId="77777777" w:rsidTr="00CA78CA">
        <w:tc>
          <w:tcPr>
            <w:tcW w:w="4315" w:type="dxa"/>
            <w:vAlign w:val="center"/>
          </w:tcPr>
          <w:p w14:paraId="51B40D07" w14:textId="77777777" w:rsidR="00221903" w:rsidRPr="00CF568A" w:rsidRDefault="00221903" w:rsidP="00CA78CA">
            <w:pPr>
              <w:spacing w:before="80" w:after="80" w:line="480" w:lineRule="auto"/>
              <w:rPr>
                <w:rFonts w:ascii="Times New Roman" w:hAnsi="Times New Roman" w:cs="Times New Roman"/>
                <w:sz w:val="24"/>
                <w:szCs w:val="24"/>
              </w:rPr>
            </w:pPr>
            <w:r w:rsidRPr="00CF568A">
              <w:rPr>
                <w:rFonts w:ascii="Times New Roman" w:hAnsi="Times New Roman" w:cs="Times New Roman"/>
                <w:sz w:val="24"/>
                <w:szCs w:val="24"/>
              </w:rPr>
              <w:lastRenderedPageBreak/>
              <w:t>Additional education or guidance on antibiotic prescribing, “extremely/very helpful” (</w:t>
            </w:r>
            <w:proofErr w:type="gramStart"/>
            <w:r w:rsidRPr="00CF568A">
              <w:rPr>
                <w:rFonts w:ascii="Times New Roman" w:hAnsi="Times New Roman" w:cs="Times New Roman"/>
                <w:sz w:val="24"/>
                <w:szCs w:val="24"/>
              </w:rPr>
              <w:t>%)*</w:t>
            </w:r>
            <w:proofErr w:type="gramEnd"/>
            <w:r w:rsidRPr="00CF568A">
              <w:rPr>
                <w:rFonts w:ascii="Times New Roman" w:hAnsi="Times New Roman" w:cs="Times New Roman"/>
                <w:sz w:val="24"/>
                <w:szCs w:val="24"/>
              </w:rPr>
              <w:t>*</w:t>
            </w:r>
          </w:p>
        </w:tc>
        <w:tc>
          <w:tcPr>
            <w:tcW w:w="1350" w:type="dxa"/>
            <w:vAlign w:val="center"/>
          </w:tcPr>
          <w:p w14:paraId="03649FFC"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5 (26.3%)</w:t>
            </w:r>
          </w:p>
        </w:tc>
        <w:tc>
          <w:tcPr>
            <w:tcW w:w="1890" w:type="dxa"/>
            <w:vAlign w:val="center"/>
          </w:tcPr>
          <w:p w14:paraId="465A433D"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46 (74.2%)</w:t>
            </w:r>
          </w:p>
        </w:tc>
        <w:tc>
          <w:tcPr>
            <w:tcW w:w="1795" w:type="dxa"/>
            <w:vAlign w:val="center"/>
          </w:tcPr>
          <w:p w14:paraId="0FD259F3"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27 (46.6%)</w:t>
            </w:r>
          </w:p>
        </w:tc>
      </w:tr>
      <w:tr w:rsidR="00221903" w:rsidRPr="00CF568A" w14:paraId="00C6DF72" w14:textId="77777777" w:rsidTr="00CA78CA">
        <w:tc>
          <w:tcPr>
            <w:tcW w:w="4315" w:type="dxa"/>
            <w:vAlign w:val="center"/>
          </w:tcPr>
          <w:p w14:paraId="63E196A8" w14:textId="77777777" w:rsidR="00221903" w:rsidRPr="00CF568A" w:rsidRDefault="00221903" w:rsidP="00CA78CA">
            <w:pPr>
              <w:spacing w:before="80" w:after="80" w:line="480" w:lineRule="auto"/>
              <w:rPr>
                <w:rFonts w:ascii="Times New Roman" w:hAnsi="Times New Roman" w:cs="Times New Roman"/>
                <w:sz w:val="24"/>
                <w:szCs w:val="24"/>
              </w:rPr>
            </w:pPr>
            <w:r w:rsidRPr="00CF568A">
              <w:rPr>
                <w:rFonts w:ascii="Times New Roman" w:hAnsi="Times New Roman" w:cs="Times New Roman"/>
                <w:sz w:val="24"/>
                <w:szCs w:val="24"/>
              </w:rPr>
              <w:t>Additional electronic health record or other electronic templates to guide antibiotic prescribing, “extremely/very helpful” (%)</w:t>
            </w:r>
          </w:p>
        </w:tc>
        <w:tc>
          <w:tcPr>
            <w:tcW w:w="1350" w:type="dxa"/>
            <w:vAlign w:val="center"/>
          </w:tcPr>
          <w:p w14:paraId="605D91FB"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6 (31.6%)</w:t>
            </w:r>
          </w:p>
        </w:tc>
        <w:tc>
          <w:tcPr>
            <w:tcW w:w="1890" w:type="dxa"/>
            <w:vAlign w:val="center"/>
          </w:tcPr>
          <w:p w14:paraId="00B63A0E"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33 (53.2%)</w:t>
            </w:r>
          </w:p>
        </w:tc>
        <w:tc>
          <w:tcPr>
            <w:tcW w:w="1795" w:type="dxa"/>
            <w:vAlign w:val="center"/>
          </w:tcPr>
          <w:p w14:paraId="69DDE5D4"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33 (56.9%)</w:t>
            </w:r>
          </w:p>
        </w:tc>
      </w:tr>
    </w:tbl>
    <w:p w14:paraId="6876C6CB" w14:textId="77777777" w:rsidR="00221903" w:rsidRPr="00CF568A" w:rsidRDefault="00221903" w:rsidP="00221903">
      <w:pPr>
        <w:spacing w:line="480" w:lineRule="auto"/>
        <w:rPr>
          <w:rFonts w:ascii="Times New Roman" w:hAnsi="Times New Roman" w:cs="Times New Roman"/>
          <w:sz w:val="24"/>
          <w:szCs w:val="24"/>
        </w:rPr>
      </w:pPr>
      <w:r w:rsidRPr="00CF568A">
        <w:rPr>
          <w:rFonts w:ascii="Times New Roman" w:hAnsi="Times New Roman" w:cs="Times New Roman"/>
          <w:sz w:val="24"/>
          <w:szCs w:val="24"/>
        </w:rPr>
        <w:t>*: p &lt;0.05</w:t>
      </w:r>
    </w:p>
    <w:p w14:paraId="2FB5444C" w14:textId="77777777" w:rsidR="00221903" w:rsidRPr="00CF568A" w:rsidRDefault="00221903" w:rsidP="00221903">
      <w:pPr>
        <w:spacing w:line="480" w:lineRule="auto"/>
        <w:rPr>
          <w:rFonts w:ascii="Times New Roman" w:hAnsi="Times New Roman" w:cs="Times New Roman"/>
          <w:sz w:val="24"/>
          <w:szCs w:val="24"/>
        </w:rPr>
      </w:pPr>
      <w:r w:rsidRPr="00CF568A">
        <w:rPr>
          <w:rFonts w:ascii="Times New Roman" w:hAnsi="Times New Roman" w:cs="Times New Roman"/>
          <w:sz w:val="24"/>
          <w:szCs w:val="24"/>
        </w:rPr>
        <w:t>**: p &lt;0.001</w:t>
      </w:r>
    </w:p>
    <w:p w14:paraId="5809E1CA" w14:textId="77777777" w:rsidR="00221903" w:rsidRPr="00CF568A" w:rsidRDefault="00221903" w:rsidP="00221903">
      <w:pPr>
        <w:spacing w:line="480" w:lineRule="auto"/>
        <w:rPr>
          <w:rFonts w:ascii="Times New Roman" w:hAnsi="Times New Roman" w:cs="Times New Roman"/>
          <w:sz w:val="24"/>
          <w:szCs w:val="24"/>
        </w:rPr>
      </w:pPr>
    </w:p>
    <w:p w14:paraId="0E27D57B" w14:textId="77777777" w:rsidR="00221903" w:rsidRPr="00CF568A" w:rsidRDefault="00221903" w:rsidP="00221903">
      <w:pPr>
        <w:spacing w:line="480" w:lineRule="auto"/>
        <w:rPr>
          <w:rFonts w:ascii="Times New Roman" w:hAnsi="Times New Roman" w:cs="Times New Roman"/>
          <w:sz w:val="24"/>
          <w:szCs w:val="24"/>
        </w:rPr>
      </w:pPr>
    </w:p>
    <w:p w14:paraId="68E4E8E0" w14:textId="77777777" w:rsidR="00221903" w:rsidRDefault="00221903">
      <w:pPr>
        <w:rPr>
          <w:rFonts w:ascii="Times New Roman" w:hAnsi="Times New Roman" w:cs="Times New Roman"/>
          <w:b/>
          <w:bCs/>
          <w:sz w:val="24"/>
          <w:szCs w:val="24"/>
        </w:rPr>
      </w:pPr>
      <w:r>
        <w:rPr>
          <w:rFonts w:ascii="Times New Roman" w:hAnsi="Times New Roman" w:cs="Times New Roman"/>
          <w:b/>
          <w:bCs/>
          <w:sz w:val="24"/>
          <w:szCs w:val="24"/>
        </w:rPr>
        <w:br w:type="page"/>
      </w:r>
    </w:p>
    <w:p w14:paraId="44DAD61A" w14:textId="67211E61" w:rsidR="009B0656" w:rsidRPr="00CF568A" w:rsidRDefault="009B0656" w:rsidP="009B0656">
      <w:pPr>
        <w:spacing w:line="480" w:lineRule="auto"/>
        <w:rPr>
          <w:rFonts w:ascii="Times New Roman" w:hAnsi="Times New Roman" w:cs="Times New Roman"/>
          <w:sz w:val="24"/>
          <w:szCs w:val="24"/>
        </w:rPr>
      </w:pPr>
      <w:r w:rsidRPr="00CF568A">
        <w:rPr>
          <w:rFonts w:ascii="Times New Roman" w:hAnsi="Times New Roman" w:cs="Times New Roman"/>
          <w:b/>
          <w:bCs/>
          <w:sz w:val="24"/>
          <w:szCs w:val="24"/>
        </w:rPr>
        <w:lastRenderedPageBreak/>
        <w:t xml:space="preserve">Supplemental Table </w:t>
      </w:r>
      <w:r w:rsidR="00221903">
        <w:rPr>
          <w:rFonts w:ascii="Times New Roman" w:hAnsi="Times New Roman" w:cs="Times New Roman"/>
          <w:b/>
          <w:bCs/>
          <w:sz w:val="24"/>
          <w:szCs w:val="24"/>
        </w:rPr>
        <w:t>2</w:t>
      </w:r>
      <w:r w:rsidRPr="00CF568A">
        <w:rPr>
          <w:rFonts w:ascii="Times New Roman" w:hAnsi="Times New Roman" w:cs="Times New Roman"/>
          <w:b/>
          <w:bCs/>
          <w:sz w:val="24"/>
          <w:szCs w:val="24"/>
        </w:rPr>
        <w:t>: Utilization of ID/antimicrobial stewardship team guidance in prior 12 months, by clinical condition (n=120 non-ID physicians)</w:t>
      </w:r>
    </w:p>
    <w:tbl>
      <w:tblPr>
        <w:tblStyle w:val="TableGrid"/>
        <w:tblW w:w="0" w:type="auto"/>
        <w:tblLook w:val="04A0" w:firstRow="1" w:lastRow="0" w:firstColumn="1" w:lastColumn="0" w:noHBand="0" w:noVBand="1"/>
      </w:tblPr>
      <w:tblGrid>
        <w:gridCol w:w="4945"/>
        <w:gridCol w:w="1620"/>
        <w:gridCol w:w="1356"/>
        <w:gridCol w:w="1429"/>
      </w:tblGrid>
      <w:tr w:rsidR="009B0656" w:rsidRPr="00CF568A" w14:paraId="0CB102C3" w14:textId="77777777" w:rsidTr="002865F1">
        <w:tc>
          <w:tcPr>
            <w:tcW w:w="4945" w:type="dxa"/>
          </w:tcPr>
          <w:p w14:paraId="1A548275" w14:textId="77777777" w:rsidR="009B0656" w:rsidRPr="00CF568A" w:rsidRDefault="009B0656" w:rsidP="002865F1">
            <w:pPr>
              <w:spacing w:before="80" w:after="80" w:line="480" w:lineRule="auto"/>
              <w:rPr>
                <w:rFonts w:ascii="Times New Roman" w:hAnsi="Times New Roman" w:cs="Times New Roman"/>
                <w:sz w:val="24"/>
                <w:szCs w:val="24"/>
              </w:rPr>
            </w:pPr>
          </w:p>
        </w:tc>
        <w:tc>
          <w:tcPr>
            <w:tcW w:w="1620" w:type="dxa"/>
            <w:vAlign w:val="center"/>
          </w:tcPr>
          <w:p w14:paraId="371D8245" w14:textId="77777777" w:rsidR="009B0656" w:rsidRPr="00CF568A" w:rsidRDefault="009B0656" w:rsidP="002865F1">
            <w:pPr>
              <w:spacing w:before="80" w:after="80" w:line="480" w:lineRule="auto"/>
              <w:jc w:val="center"/>
              <w:rPr>
                <w:rFonts w:ascii="Times New Roman" w:hAnsi="Times New Roman" w:cs="Times New Roman"/>
                <w:b/>
                <w:bCs/>
                <w:sz w:val="24"/>
                <w:szCs w:val="24"/>
              </w:rPr>
            </w:pPr>
            <w:r w:rsidRPr="00CF568A">
              <w:rPr>
                <w:rFonts w:ascii="Times New Roman" w:hAnsi="Times New Roman" w:cs="Times New Roman"/>
                <w:b/>
                <w:bCs/>
                <w:sz w:val="24"/>
                <w:szCs w:val="24"/>
              </w:rPr>
              <w:t>Pneumonia</w:t>
            </w:r>
          </w:p>
        </w:tc>
        <w:tc>
          <w:tcPr>
            <w:tcW w:w="1356" w:type="dxa"/>
            <w:vAlign w:val="center"/>
          </w:tcPr>
          <w:p w14:paraId="021B5AA6" w14:textId="77777777" w:rsidR="009B0656" w:rsidRPr="00CF568A" w:rsidRDefault="009B0656" w:rsidP="002865F1">
            <w:pPr>
              <w:spacing w:before="80" w:after="80" w:line="480" w:lineRule="auto"/>
              <w:jc w:val="center"/>
              <w:rPr>
                <w:rFonts w:ascii="Times New Roman" w:hAnsi="Times New Roman" w:cs="Times New Roman"/>
                <w:b/>
                <w:bCs/>
                <w:sz w:val="24"/>
                <w:szCs w:val="24"/>
              </w:rPr>
            </w:pPr>
            <w:r w:rsidRPr="00CF568A">
              <w:rPr>
                <w:rFonts w:ascii="Times New Roman" w:hAnsi="Times New Roman" w:cs="Times New Roman"/>
                <w:b/>
                <w:bCs/>
                <w:sz w:val="24"/>
                <w:szCs w:val="24"/>
              </w:rPr>
              <w:t>Skin-Soft Tissue Infection</w:t>
            </w:r>
          </w:p>
        </w:tc>
        <w:tc>
          <w:tcPr>
            <w:tcW w:w="1429" w:type="dxa"/>
            <w:vAlign w:val="center"/>
          </w:tcPr>
          <w:p w14:paraId="6E715404" w14:textId="77777777" w:rsidR="009B0656" w:rsidRPr="00CF568A" w:rsidRDefault="009B0656" w:rsidP="002865F1">
            <w:pPr>
              <w:spacing w:before="80" w:after="80" w:line="480" w:lineRule="auto"/>
              <w:jc w:val="center"/>
              <w:rPr>
                <w:rFonts w:ascii="Times New Roman" w:hAnsi="Times New Roman" w:cs="Times New Roman"/>
                <w:b/>
                <w:bCs/>
                <w:sz w:val="24"/>
                <w:szCs w:val="24"/>
              </w:rPr>
            </w:pPr>
            <w:r w:rsidRPr="00CF568A">
              <w:rPr>
                <w:rFonts w:ascii="Times New Roman" w:hAnsi="Times New Roman" w:cs="Times New Roman"/>
                <w:b/>
                <w:bCs/>
                <w:sz w:val="24"/>
                <w:szCs w:val="24"/>
              </w:rPr>
              <w:t>Urinary Tract Infection</w:t>
            </w:r>
          </w:p>
        </w:tc>
      </w:tr>
      <w:tr w:rsidR="009B0656" w:rsidRPr="00CF568A" w14:paraId="56D8B733" w14:textId="77777777" w:rsidTr="002865F1">
        <w:tc>
          <w:tcPr>
            <w:tcW w:w="9350" w:type="dxa"/>
            <w:gridSpan w:val="4"/>
          </w:tcPr>
          <w:p w14:paraId="7DC3AD35" w14:textId="77777777" w:rsidR="009B0656" w:rsidRPr="00CF568A" w:rsidRDefault="009B0656" w:rsidP="002865F1">
            <w:pPr>
              <w:spacing w:before="80" w:after="80" w:line="480" w:lineRule="auto"/>
              <w:rPr>
                <w:rFonts w:ascii="Times New Roman" w:hAnsi="Times New Roman" w:cs="Times New Roman"/>
                <w:i/>
                <w:iCs/>
                <w:sz w:val="24"/>
                <w:szCs w:val="24"/>
              </w:rPr>
            </w:pPr>
            <w:r w:rsidRPr="00CF568A">
              <w:rPr>
                <w:rFonts w:ascii="Times New Roman" w:hAnsi="Times New Roman" w:cs="Times New Roman"/>
                <w:i/>
                <w:iCs/>
                <w:sz w:val="24"/>
                <w:szCs w:val="24"/>
              </w:rPr>
              <w:t>Did your facility’s ID or antimicrobial stewardship team provide any new general guidance for the following decision points in conjunction with the following conditions?</w:t>
            </w:r>
          </w:p>
        </w:tc>
      </w:tr>
      <w:tr w:rsidR="009B0656" w:rsidRPr="00CF568A" w14:paraId="27DBD31B" w14:textId="77777777" w:rsidTr="002865F1">
        <w:tc>
          <w:tcPr>
            <w:tcW w:w="4945" w:type="dxa"/>
          </w:tcPr>
          <w:p w14:paraId="52F8FD90" w14:textId="77777777" w:rsidR="009B0656" w:rsidRPr="00CF568A" w:rsidRDefault="009B0656" w:rsidP="002865F1">
            <w:pPr>
              <w:spacing w:before="80" w:after="80" w:line="480" w:lineRule="auto"/>
              <w:rPr>
                <w:rFonts w:ascii="Times New Roman" w:hAnsi="Times New Roman" w:cs="Times New Roman"/>
                <w:sz w:val="24"/>
                <w:szCs w:val="24"/>
              </w:rPr>
            </w:pPr>
            <w:r w:rsidRPr="00CF568A">
              <w:rPr>
                <w:rFonts w:ascii="Times New Roman" w:hAnsi="Times New Roman" w:cs="Times New Roman"/>
                <w:sz w:val="24"/>
                <w:szCs w:val="24"/>
              </w:rPr>
              <w:t>Initial choice of antibiotics, n (%)</w:t>
            </w:r>
          </w:p>
        </w:tc>
        <w:tc>
          <w:tcPr>
            <w:tcW w:w="1620" w:type="dxa"/>
            <w:vAlign w:val="center"/>
          </w:tcPr>
          <w:p w14:paraId="35245594" w14:textId="77777777" w:rsidR="009B0656" w:rsidRPr="00CF568A" w:rsidRDefault="009B0656" w:rsidP="002865F1">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40 (33.3%)</w:t>
            </w:r>
          </w:p>
        </w:tc>
        <w:tc>
          <w:tcPr>
            <w:tcW w:w="1356" w:type="dxa"/>
            <w:vAlign w:val="center"/>
          </w:tcPr>
          <w:p w14:paraId="4DF3E78E" w14:textId="77777777" w:rsidR="009B0656" w:rsidRPr="00CF568A" w:rsidRDefault="009B0656" w:rsidP="002865F1">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32 (26.7%)</w:t>
            </w:r>
          </w:p>
        </w:tc>
        <w:tc>
          <w:tcPr>
            <w:tcW w:w="1429" w:type="dxa"/>
            <w:vAlign w:val="center"/>
          </w:tcPr>
          <w:p w14:paraId="210715CB" w14:textId="77777777" w:rsidR="009B0656" w:rsidRPr="00CF568A" w:rsidRDefault="009B0656" w:rsidP="002865F1">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34 (28.3%)</w:t>
            </w:r>
          </w:p>
        </w:tc>
      </w:tr>
      <w:tr w:rsidR="009B0656" w:rsidRPr="00CF568A" w14:paraId="095EA233" w14:textId="77777777" w:rsidTr="002865F1">
        <w:tc>
          <w:tcPr>
            <w:tcW w:w="4945" w:type="dxa"/>
          </w:tcPr>
          <w:p w14:paraId="373E7BCA" w14:textId="77777777" w:rsidR="009B0656" w:rsidRPr="00CF568A" w:rsidRDefault="009B0656" w:rsidP="002865F1">
            <w:pPr>
              <w:spacing w:before="80" w:after="80" w:line="480" w:lineRule="auto"/>
              <w:rPr>
                <w:rFonts w:ascii="Times New Roman" w:hAnsi="Times New Roman" w:cs="Times New Roman"/>
                <w:sz w:val="24"/>
                <w:szCs w:val="24"/>
              </w:rPr>
            </w:pPr>
            <w:r w:rsidRPr="00CF568A">
              <w:rPr>
                <w:rFonts w:ascii="Times New Roman" w:hAnsi="Times New Roman" w:cs="Times New Roman"/>
                <w:sz w:val="24"/>
                <w:szCs w:val="24"/>
              </w:rPr>
              <w:t>Changing or tailoring the antibiotic regimen after approximately 3 days, n (%)</w:t>
            </w:r>
          </w:p>
        </w:tc>
        <w:tc>
          <w:tcPr>
            <w:tcW w:w="1620" w:type="dxa"/>
            <w:vAlign w:val="center"/>
          </w:tcPr>
          <w:p w14:paraId="731FCB12" w14:textId="77777777" w:rsidR="009B0656" w:rsidRPr="00CF568A" w:rsidRDefault="009B0656" w:rsidP="002865F1">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35 (29.2%)</w:t>
            </w:r>
          </w:p>
        </w:tc>
        <w:tc>
          <w:tcPr>
            <w:tcW w:w="1356" w:type="dxa"/>
            <w:vAlign w:val="center"/>
          </w:tcPr>
          <w:p w14:paraId="25BE77D0" w14:textId="77777777" w:rsidR="009B0656" w:rsidRPr="00CF568A" w:rsidRDefault="009B0656" w:rsidP="002865F1">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30 (25%)</w:t>
            </w:r>
          </w:p>
        </w:tc>
        <w:tc>
          <w:tcPr>
            <w:tcW w:w="1429" w:type="dxa"/>
            <w:vAlign w:val="center"/>
          </w:tcPr>
          <w:p w14:paraId="17072D39" w14:textId="77777777" w:rsidR="009B0656" w:rsidRPr="00CF568A" w:rsidRDefault="009B0656" w:rsidP="002865F1">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30 (25%)</w:t>
            </w:r>
          </w:p>
        </w:tc>
      </w:tr>
      <w:tr w:rsidR="009B0656" w:rsidRPr="00CF568A" w14:paraId="449EDAC3" w14:textId="77777777" w:rsidTr="002865F1">
        <w:tc>
          <w:tcPr>
            <w:tcW w:w="4945" w:type="dxa"/>
          </w:tcPr>
          <w:p w14:paraId="0E8144BD" w14:textId="77777777" w:rsidR="009B0656" w:rsidRPr="00CF568A" w:rsidRDefault="009B0656" w:rsidP="002865F1">
            <w:pPr>
              <w:spacing w:before="80" w:after="80" w:line="480" w:lineRule="auto"/>
              <w:rPr>
                <w:rFonts w:ascii="Times New Roman" w:hAnsi="Times New Roman" w:cs="Times New Roman"/>
                <w:sz w:val="24"/>
                <w:szCs w:val="24"/>
              </w:rPr>
            </w:pPr>
            <w:r w:rsidRPr="00CF568A">
              <w:rPr>
                <w:rFonts w:ascii="Times New Roman" w:hAnsi="Times New Roman" w:cs="Times New Roman"/>
                <w:sz w:val="24"/>
                <w:szCs w:val="24"/>
              </w:rPr>
              <w:t>The completion or duration of the antibiotic treatment course, n (%)</w:t>
            </w:r>
          </w:p>
        </w:tc>
        <w:tc>
          <w:tcPr>
            <w:tcW w:w="1620" w:type="dxa"/>
            <w:vAlign w:val="center"/>
          </w:tcPr>
          <w:p w14:paraId="1036C1B5" w14:textId="77777777" w:rsidR="009B0656" w:rsidRPr="00CF568A" w:rsidRDefault="009B0656" w:rsidP="002865F1">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35 (29.2%)</w:t>
            </w:r>
          </w:p>
        </w:tc>
        <w:tc>
          <w:tcPr>
            <w:tcW w:w="1356" w:type="dxa"/>
            <w:vAlign w:val="center"/>
          </w:tcPr>
          <w:p w14:paraId="1FB1F554" w14:textId="77777777" w:rsidR="009B0656" w:rsidRPr="00CF568A" w:rsidRDefault="009B0656" w:rsidP="002865F1">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32 (26.7%)</w:t>
            </w:r>
          </w:p>
        </w:tc>
        <w:tc>
          <w:tcPr>
            <w:tcW w:w="1429" w:type="dxa"/>
            <w:vAlign w:val="center"/>
          </w:tcPr>
          <w:p w14:paraId="091D5051" w14:textId="77777777" w:rsidR="009B0656" w:rsidRPr="00CF568A" w:rsidRDefault="009B0656" w:rsidP="002865F1">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35 (29.2%)</w:t>
            </w:r>
          </w:p>
        </w:tc>
      </w:tr>
      <w:tr w:rsidR="009B0656" w:rsidRPr="00CF568A" w14:paraId="07DA60F6" w14:textId="77777777" w:rsidTr="002865F1">
        <w:tc>
          <w:tcPr>
            <w:tcW w:w="9350" w:type="dxa"/>
            <w:gridSpan w:val="4"/>
          </w:tcPr>
          <w:p w14:paraId="1D3B528B" w14:textId="77777777" w:rsidR="009B0656" w:rsidRPr="00CF568A" w:rsidRDefault="009B0656" w:rsidP="002865F1">
            <w:pPr>
              <w:spacing w:before="80" w:after="80" w:line="480" w:lineRule="auto"/>
              <w:rPr>
                <w:rFonts w:ascii="Times New Roman" w:hAnsi="Times New Roman" w:cs="Times New Roman"/>
                <w:i/>
                <w:iCs/>
                <w:sz w:val="24"/>
                <w:szCs w:val="24"/>
              </w:rPr>
            </w:pPr>
            <w:r w:rsidRPr="00CF568A">
              <w:rPr>
                <w:rFonts w:ascii="Times New Roman" w:hAnsi="Times New Roman" w:cs="Times New Roman"/>
                <w:i/>
                <w:iCs/>
                <w:sz w:val="24"/>
                <w:szCs w:val="24"/>
              </w:rPr>
              <w:t>Did this guidance impact your antibiotic prescribing practices?</w:t>
            </w:r>
          </w:p>
        </w:tc>
      </w:tr>
      <w:tr w:rsidR="009B0656" w:rsidRPr="00CF568A" w14:paraId="76CEF9CF" w14:textId="77777777" w:rsidTr="002865F1">
        <w:tc>
          <w:tcPr>
            <w:tcW w:w="4945" w:type="dxa"/>
          </w:tcPr>
          <w:p w14:paraId="5FC67543" w14:textId="77777777" w:rsidR="009B0656" w:rsidRPr="00CF568A" w:rsidRDefault="009B0656" w:rsidP="002865F1">
            <w:pPr>
              <w:spacing w:before="80" w:after="80" w:line="480" w:lineRule="auto"/>
              <w:rPr>
                <w:rFonts w:ascii="Times New Roman" w:hAnsi="Times New Roman" w:cs="Times New Roman"/>
                <w:sz w:val="24"/>
                <w:szCs w:val="24"/>
              </w:rPr>
            </w:pPr>
            <w:r w:rsidRPr="00CF568A">
              <w:rPr>
                <w:rFonts w:ascii="Times New Roman" w:hAnsi="Times New Roman" w:cs="Times New Roman"/>
                <w:sz w:val="24"/>
                <w:szCs w:val="24"/>
              </w:rPr>
              <w:t>Yes, at initial choice of antibiotics, n (%)</w:t>
            </w:r>
          </w:p>
        </w:tc>
        <w:tc>
          <w:tcPr>
            <w:tcW w:w="1620" w:type="dxa"/>
            <w:vAlign w:val="center"/>
          </w:tcPr>
          <w:p w14:paraId="5B8D7882" w14:textId="77777777" w:rsidR="009B0656" w:rsidRPr="00CF568A" w:rsidRDefault="009B0656" w:rsidP="002865F1">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35 (87.5%)</w:t>
            </w:r>
          </w:p>
        </w:tc>
        <w:tc>
          <w:tcPr>
            <w:tcW w:w="1356" w:type="dxa"/>
            <w:vAlign w:val="center"/>
          </w:tcPr>
          <w:p w14:paraId="5D550604" w14:textId="77777777" w:rsidR="009B0656" w:rsidRPr="00CF568A" w:rsidRDefault="009B0656" w:rsidP="002865F1">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25 (78.1%)</w:t>
            </w:r>
          </w:p>
        </w:tc>
        <w:tc>
          <w:tcPr>
            <w:tcW w:w="1429" w:type="dxa"/>
            <w:vAlign w:val="center"/>
          </w:tcPr>
          <w:p w14:paraId="21D4ABC9" w14:textId="77777777" w:rsidR="009B0656" w:rsidRPr="00CF568A" w:rsidRDefault="009B0656" w:rsidP="002865F1">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26 (76.5%)</w:t>
            </w:r>
          </w:p>
        </w:tc>
      </w:tr>
      <w:tr w:rsidR="009B0656" w:rsidRPr="00CF568A" w14:paraId="0D86884A" w14:textId="77777777" w:rsidTr="002865F1">
        <w:tc>
          <w:tcPr>
            <w:tcW w:w="4945" w:type="dxa"/>
          </w:tcPr>
          <w:p w14:paraId="7D527873" w14:textId="77777777" w:rsidR="009B0656" w:rsidRPr="00CF568A" w:rsidRDefault="009B0656" w:rsidP="002865F1">
            <w:pPr>
              <w:spacing w:before="80" w:after="80" w:line="480" w:lineRule="auto"/>
              <w:rPr>
                <w:rFonts w:ascii="Times New Roman" w:hAnsi="Times New Roman" w:cs="Times New Roman"/>
                <w:sz w:val="24"/>
                <w:szCs w:val="24"/>
              </w:rPr>
            </w:pPr>
            <w:r w:rsidRPr="00CF568A">
              <w:rPr>
                <w:rFonts w:ascii="Times New Roman" w:hAnsi="Times New Roman" w:cs="Times New Roman"/>
                <w:sz w:val="24"/>
                <w:szCs w:val="24"/>
              </w:rPr>
              <w:t>Yes, at changing or tailoring after approximately 3 days, n (</w:t>
            </w:r>
            <w:proofErr w:type="gramStart"/>
            <w:r w:rsidRPr="00CF568A">
              <w:rPr>
                <w:rFonts w:ascii="Times New Roman" w:hAnsi="Times New Roman" w:cs="Times New Roman"/>
                <w:sz w:val="24"/>
                <w:szCs w:val="24"/>
              </w:rPr>
              <w:t>%)*</w:t>
            </w:r>
            <w:proofErr w:type="gramEnd"/>
          </w:p>
        </w:tc>
        <w:tc>
          <w:tcPr>
            <w:tcW w:w="1620" w:type="dxa"/>
            <w:vAlign w:val="center"/>
          </w:tcPr>
          <w:p w14:paraId="5FE3D687" w14:textId="77777777" w:rsidR="009B0656" w:rsidRPr="00CF568A" w:rsidRDefault="009B0656" w:rsidP="002865F1">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34 (97.1%)</w:t>
            </w:r>
          </w:p>
        </w:tc>
        <w:tc>
          <w:tcPr>
            <w:tcW w:w="1356" w:type="dxa"/>
            <w:vAlign w:val="center"/>
          </w:tcPr>
          <w:p w14:paraId="42A9D189" w14:textId="77777777" w:rsidR="009B0656" w:rsidRPr="00CF568A" w:rsidRDefault="009B0656" w:rsidP="002865F1">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24 (80%)</w:t>
            </w:r>
          </w:p>
        </w:tc>
        <w:tc>
          <w:tcPr>
            <w:tcW w:w="1429" w:type="dxa"/>
            <w:vAlign w:val="center"/>
          </w:tcPr>
          <w:p w14:paraId="07D83C1B" w14:textId="77777777" w:rsidR="009B0656" w:rsidRPr="00CF568A" w:rsidRDefault="009B0656" w:rsidP="002865F1">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27 (90%)</w:t>
            </w:r>
          </w:p>
        </w:tc>
      </w:tr>
      <w:tr w:rsidR="009B0656" w:rsidRPr="00CF568A" w14:paraId="041E7939" w14:textId="77777777" w:rsidTr="002865F1">
        <w:tc>
          <w:tcPr>
            <w:tcW w:w="4945" w:type="dxa"/>
          </w:tcPr>
          <w:p w14:paraId="7D27465C" w14:textId="77777777" w:rsidR="009B0656" w:rsidRPr="00CF568A" w:rsidRDefault="009B0656" w:rsidP="002865F1">
            <w:pPr>
              <w:spacing w:before="80" w:after="80" w:line="480" w:lineRule="auto"/>
              <w:rPr>
                <w:rFonts w:ascii="Times New Roman" w:hAnsi="Times New Roman" w:cs="Times New Roman"/>
                <w:sz w:val="24"/>
                <w:szCs w:val="24"/>
              </w:rPr>
            </w:pPr>
            <w:r w:rsidRPr="00CF568A">
              <w:rPr>
                <w:rFonts w:ascii="Times New Roman" w:hAnsi="Times New Roman" w:cs="Times New Roman"/>
                <w:sz w:val="24"/>
                <w:szCs w:val="24"/>
              </w:rPr>
              <w:t>Yes, at completion or duration of antibiotic treatment course, n (%)</w:t>
            </w:r>
          </w:p>
        </w:tc>
        <w:tc>
          <w:tcPr>
            <w:tcW w:w="1620" w:type="dxa"/>
            <w:vAlign w:val="center"/>
          </w:tcPr>
          <w:p w14:paraId="66C34290" w14:textId="77777777" w:rsidR="009B0656" w:rsidRPr="00CF568A" w:rsidRDefault="009B0656" w:rsidP="002865F1">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32 (91.4%)</w:t>
            </w:r>
          </w:p>
        </w:tc>
        <w:tc>
          <w:tcPr>
            <w:tcW w:w="1356" w:type="dxa"/>
            <w:vAlign w:val="center"/>
          </w:tcPr>
          <w:p w14:paraId="6BDD73FD" w14:textId="77777777" w:rsidR="009B0656" w:rsidRPr="00CF568A" w:rsidRDefault="009B0656" w:rsidP="002865F1">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30 (93.8%)</w:t>
            </w:r>
          </w:p>
        </w:tc>
        <w:tc>
          <w:tcPr>
            <w:tcW w:w="1429" w:type="dxa"/>
            <w:vAlign w:val="center"/>
          </w:tcPr>
          <w:p w14:paraId="29B79D68" w14:textId="77777777" w:rsidR="009B0656" w:rsidRPr="00CF568A" w:rsidRDefault="009B0656" w:rsidP="002865F1">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30 (85.7%)</w:t>
            </w:r>
          </w:p>
        </w:tc>
      </w:tr>
    </w:tbl>
    <w:p w14:paraId="201D3C67" w14:textId="77777777" w:rsidR="009B0656" w:rsidRPr="00CF568A" w:rsidRDefault="009B0656" w:rsidP="009B0656">
      <w:pPr>
        <w:spacing w:line="480" w:lineRule="auto"/>
        <w:rPr>
          <w:rFonts w:ascii="Times New Roman" w:hAnsi="Times New Roman" w:cs="Times New Roman"/>
          <w:sz w:val="24"/>
          <w:szCs w:val="24"/>
        </w:rPr>
      </w:pPr>
      <w:r w:rsidRPr="00CF568A">
        <w:rPr>
          <w:rFonts w:ascii="Times New Roman" w:hAnsi="Times New Roman" w:cs="Times New Roman"/>
          <w:sz w:val="24"/>
          <w:szCs w:val="24"/>
        </w:rPr>
        <w:t>*: p &lt;0.05</w:t>
      </w:r>
    </w:p>
    <w:bookmarkEnd w:id="0"/>
    <w:p w14:paraId="1CA2F3D7" w14:textId="77777777" w:rsidR="009B0656" w:rsidRPr="00CF568A" w:rsidRDefault="009B0656" w:rsidP="009B0656">
      <w:pPr>
        <w:spacing w:line="480" w:lineRule="auto"/>
        <w:rPr>
          <w:rFonts w:ascii="Times New Roman" w:hAnsi="Times New Roman" w:cs="Times New Roman"/>
          <w:sz w:val="24"/>
          <w:szCs w:val="24"/>
        </w:rPr>
      </w:pPr>
    </w:p>
    <w:p w14:paraId="32715054" w14:textId="77777777" w:rsidR="009B0656" w:rsidRPr="00CF568A" w:rsidRDefault="009B0656" w:rsidP="009B0656">
      <w:pPr>
        <w:spacing w:line="480" w:lineRule="auto"/>
        <w:rPr>
          <w:rFonts w:ascii="Times New Roman" w:hAnsi="Times New Roman" w:cs="Times New Roman"/>
          <w:b/>
          <w:bCs/>
          <w:sz w:val="24"/>
          <w:szCs w:val="24"/>
        </w:rPr>
      </w:pPr>
      <w:r w:rsidRPr="00CF568A">
        <w:rPr>
          <w:rFonts w:ascii="Times New Roman" w:hAnsi="Times New Roman" w:cs="Times New Roman"/>
          <w:b/>
          <w:bCs/>
          <w:sz w:val="24"/>
          <w:szCs w:val="24"/>
        </w:rPr>
        <w:br w:type="page"/>
      </w:r>
    </w:p>
    <w:p w14:paraId="5BEE3D1A" w14:textId="7732688D" w:rsidR="00221903" w:rsidRPr="00CF568A" w:rsidRDefault="00221903" w:rsidP="00221903">
      <w:pPr>
        <w:spacing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Supplemental </w:t>
      </w:r>
      <w:r w:rsidRPr="00CF568A">
        <w:rPr>
          <w:rFonts w:ascii="Times New Roman" w:hAnsi="Times New Roman" w:cs="Times New Roman"/>
          <w:b/>
          <w:bCs/>
          <w:sz w:val="24"/>
          <w:szCs w:val="24"/>
        </w:rPr>
        <w:t>Table 3: Clinical scenario responses by practice type</w:t>
      </w:r>
      <w:r w:rsidRPr="00CF568A">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3415"/>
        <w:gridCol w:w="2057"/>
        <w:gridCol w:w="1939"/>
        <w:gridCol w:w="1939"/>
      </w:tblGrid>
      <w:tr w:rsidR="00221903" w:rsidRPr="00CF568A" w14:paraId="34202E23" w14:textId="77777777" w:rsidTr="00CA78CA">
        <w:tc>
          <w:tcPr>
            <w:tcW w:w="3415" w:type="dxa"/>
            <w:vAlign w:val="center"/>
          </w:tcPr>
          <w:p w14:paraId="5DAB0342" w14:textId="77777777" w:rsidR="00221903" w:rsidRPr="00CF568A" w:rsidRDefault="00221903" w:rsidP="00CA78CA">
            <w:pPr>
              <w:spacing w:before="80" w:after="80" w:line="480" w:lineRule="auto"/>
              <w:rPr>
                <w:rFonts w:ascii="Times New Roman" w:hAnsi="Times New Roman" w:cs="Times New Roman"/>
                <w:sz w:val="24"/>
                <w:szCs w:val="24"/>
              </w:rPr>
            </w:pPr>
          </w:p>
        </w:tc>
        <w:tc>
          <w:tcPr>
            <w:tcW w:w="2057" w:type="dxa"/>
            <w:vAlign w:val="center"/>
          </w:tcPr>
          <w:p w14:paraId="04A8DBA3" w14:textId="77777777" w:rsidR="00221903" w:rsidRPr="00CF568A" w:rsidRDefault="00221903" w:rsidP="00CA78CA">
            <w:pPr>
              <w:spacing w:before="80" w:after="80" w:line="480" w:lineRule="auto"/>
              <w:jc w:val="center"/>
              <w:rPr>
                <w:rFonts w:ascii="Times New Roman" w:hAnsi="Times New Roman" w:cs="Times New Roman"/>
                <w:b/>
                <w:bCs/>
                <w:sz w:val="24"/>
                <w:szCs w:val="24"/>
              </w:rPr>
            </w:pPr>
            <w:r w:rsidRPr="00CF568A">
              <w:rPr>
                <w:rFonts w:ascii="Times New Roman" w:hAnsi="Times New Roman" w:cs="Times New Roman"/>
                <w:b/>
                <w:bCs/>
                <w:sz w:val="24"/>
                <w:szCs w:val="24"/>
              </w:rPr>
              <w:t>ID (n=19)</w:t>
            </w:r>
          </w:p>
        </w:tc>
        <w:tc>
          <w:tcPr>
            <w:tcW w:w="1939" w:type="dxa"/>
            <w:vAlign w:val="center"/>
          </w:tcPr>
          <w:p w14:paraId="5CFEBBD4" w14:textId="77777777" w:rsidR="00221903" w:rsidRPr="00CF568A" w:rsidRDefault="00221903" w:rsidP="00CA78CA">
            <w:pPr>
              <w:spacing w:before="80" w:after="80" w:line="480" w:lineRule="auto"/>
              <w:jc w:val="center"/>
              <w:rPr>
                <w:rFonts w:ascii="Times New Roman" w:hAnsi="Times New Roman" w:cs="Times New Roman"/>
                <w:b/>
                <w:bCs/>
                <w:sz w:val="24"/>
                <w:szCs w:val="24"/>
              </w:rPr>
            </w:pPr>
            <w:r w:rsidRPr="00CF568A">
              <w:rPr>
                <w:rFonts w:ascii="Times New Roman" w:hAnsi="Times New Roman" w:cs="Times New Roman"/>
                <w:b/>
                <w:bCs/>
                <w:sz w:val="24"/>
                <w:szCs w:val="24"/>
              </w:rPr>
              <w:t>Hospitalists (n=62)</w:t>
            </w:r>
          </w:p>
        </w:tc>
        <w:tc>
          <w:tcPr>
            <w:tcW w:w="1939" w:type="dxa"/>
            <w:vAlign w:val="center"/>
          </w:tcPr>
          <w:p w14:paraId="33789606" w14:textId="77777777" w:rsidR="00221903" w:rsidRPr="00CF568A" w:rsidRDefault="00221903" w:rsidP="00CA78CA">
            <w:pPr>
              <w:spacing w:before="80" w:after="80" w:line="480" w:lineRule="auto"/>
              <w:jc w:val="center"/>
              <w:rPr>
                <w:rFonts w:ascii="Times New Roman" w:hAnsi="Times New Roman" w:cs="Times New Roman"/>
                <w:b/>
                <w:bCs/>
                <w:sz w:val="24"/>
                <w:szCs w:val="24"/>
              </w:rPr>
            </w:pPr>
            <w:r w:rsidRPr="00CF568A">
              <w:rPr>
                <w:rFonts w:ascii="Times New Roman" w:hAnsi="Times New Roman" w:cs="Times New Roman"/>
                <w:b/>
                <w:bCs/>
                <w:sz w:val="24"/>
                <w:szCs w:val="24"/>
              </w:rPr>
              <w:t>Other Internists (n=58)</w:t>
            </w:r>
          </w:p>
        </w:tc>
      </w:tr>
      <w:tr w:rsidR="00221903" w:rsidRPr="00CF568A" w14:paraId="1D5A3EFB" w14:textId="77777777" w:rsidTr="00CA78CA">
        <w:tc>
          <w:tcPr>
            <w:tcW w:w="9350" w:type="dxa"/>
            <w:gridSpan w:val="4"/>
            <w:vAlign w:val="center"/>
          </w:tcPr>
          <w:p w14:paraId="5196B2E8" w14:textId="77777777" w:rsidR="00221903" w:rsidRPr="00CF568A" w:rsidRDefault="00221903" w:rsidP="00CA78CA">
            <w:pPr>
              <w:spacing w:before="80" w:after="80" w:line="480" w:lineRule="auto"/>
              <w:rPr>
                <w:rFonts w:ascii="Times New Roman" w:hAnsi="Times New Roman" w:cs="Times New Roman"/>
                <w:sz w:val="24"/>
                <w:szCs w:val="24"/>
              </w:rPr>
            </w:pPr>
            <w:r w:rsidRPr="00CF568A">
              <w:rPr>
                <w:rFonts w:ascii="Times New Roman" w:hAnsi="Times New Roman" w:cs="Times New Roman"/>
                <w:i/>
                <w:iCs/>
                <w:sz w:val="24"/>
                <w:szCs w:val="24"/>
                <w:u w:val="single"/>
              </w:rPr>
              <w:t>Scenario 1:</w:t>
            </w:r>
            <w:r w:rsidRPr="00CF568A">
              <w:rPr>
                <w:rFonts w:ascii="Times New Roman" w:hAnsi="Times New Roman" w:cs="Times New Roman"/>
                <w:i/>
                <w:iCs/>
                <w:sz w:val="24"/>
                <w:szCs w:val="24"/>
              </w:rPr>
              <w:t xml:space="preserve"> A </w:t>
            </w:r>
            <w:proofErr w:type="gramStart"/>
            <w:r w:rsidRPr="00CF568A">
              <w:rPr>
                <w:rFonts w:ascii="Times New Roman" w:hAnsi="Times New Roman" w:cs="Times New Roman"/>
                <w:i/>
                <w:iCs/>
                <w:sz w:val="24"/>
                <w:szCs w:val="24"/>
              </w:rPr>
              <w:t>67 year-old</w:t>
            </w:r>
            <w:proofErr w:type="gramEnd"/>
            <w:r w:rsidRPr="00CF568A">
              <w:rPr>
                <w:rFonts w:ascii="Times New Roman" w:hAnsi="Times New Roman" w:cs="Times New Roman"/>
                <w:i/>
                <w:iCs/>
                <w:sz w:val="24"/>
                <w:szCs w:val="24"/>
              </w:rPr>
              <w:t xml:space="preserve"> man with well controlled diabetes mellitus is admitted to your inpatient service complaining of redness and swelling of his left foot, spreading up his leg.  He has no history of chronic foot lesions or ulcers. He is moderately febrile (101.5˚ Fahrenheit) but vital signs are otherwise stable. He appears non-toxic, with normal mental status.  His left foot is mildly </w:t>
            </w:r>
            <w:proofErr w:type="gramStart"/>
            <w:r w:rsidRPr="00CF568A">
              <w:rPr>
                <w:rFonts w:ascii="Times New Roman" w:hAnsi="Times New Roman" w:cs="Times New Roman"/>
                <w:i/>
                <w:iCs/>
                <w:sz w:val="24"/>
                <w:szCs w:val="24"/>
              </w:rPr>
              <w:t>swollen</w:t>
            </w:r>
            <w:proofErr w:type="gramEnd"/>
            <w:r w:rsidRPr="00CF568A">
              <w:rPr>
                <w:rFonts w:ascii="Times New Roman" w:hAnsi="Times New Roman" w:cs="Times New Roman"/>
                <w:i/>
                <w:iCs/>
                <w:sz w:val="24"/>
                <w:szCs w:val="24"/>
              </w:rPr>
              <w:t xml:space="preserve"> and erythema extends from his foot to the upper calf with lymphangitic streaking.  There is no underlying induration or abscess.  His white cell count is 14,000 (80% neutrophils) and electrolytes are normal.</w:t>
            </w:r>
          </w:p>
        </w:tc>
      </w:tr>
      <w:tr w:rsidR="00221903" w:rsidRPr="00CF568A" w14:paraId="6588998D" w14:textId="77777777" w:rsidTr="00CA78CA">
        <w:tc>
          <w:tcPr>
            <w:tcW w:w="9350" w:type="dxa"/>
            <w:gridSpan w:val="4"/>
            <w:vAlign w:val="center"/>
          </w:tcPr>
          <w:p w14:paraId="2A2EEEB7" w14:textId="77777777" w:rsidR="00221903" w:rsidRPr="00CF568A" w:rsidRDefault="00221903" w:rsidP="00CA78CA">
            <w:pPr>
              <w:spacing w:before="80" w:after="80" w:line="480" w:lineRule="auto"/>
              <w:rPr>
                <w:rFonts w:ascii="Times New Roman" w:hAnsi="Times New Roman" w:cs="Times New Roman"/>
                <w:i/>
                <w:iCs/>
                <w:sz w:val="24"/>
                <w:szCs w:val="24"/>
              </w:rPr>
            </w:pPr>
            <w:r w:rsidRPr="00CF568A">
              <w:rPr>
                <w:rFonts w:ascii="Times New Roman" w:hAnsi="Times New Roman" w:cs="Times New Roman"/>
                <w:i/>
                <w:iCs/>
                <w:sz w:val="24"/>
                <w:szCs w:val="24"/>
              </w:rPr>
              <w:t>How would you classify the clinical presentation described above?</w:t>
            </w:r>
          </w:p>
        </w:tc>
      </w:tr>
      <w:tr w:rsidR="00221903" w:rsidRPr="00CF568A" w14:paraId="5FA14054" w14:textId="77777777" w:rsidTr="00CA78CA">
        <w:tc>
          <w:tcPr>
            <w:tcW w:w="3415" w:type="dxa"/>
            <w:vAlign w:val="center"/>
          </w:tcPr>
          <w:p w14:paraId="4477A378" w14:textId="77777777" w:rsidR="00221903" w:rsidRPr="00CF568A" w:rsidRDefault="00221903" w:rsidP="00CA78CA">
            <w:pPr>
              <w:spacing w:before="80" w:after="80" w:line="480" w:lineRule="auto"/>
              <w:rPr>
                <w:rFonts w:ascii="Times New Roman" w:hAnsi="Times New Roman" w:cs="Times New Roman"/>
                <w:sz w:val="24"/>
                <w:szCs w:val="24"/>
              </w:rPr>
            </w:pPr>
            <w:r w:rsidRPr="00CF568A">
              <w:rPr>
                <w:rFonts w:ascii="Times New Roman" w:hAnsi="Times New Roman" w:cs="Times New Roman"/>
                <w:sz w:val="24"/>
                <w:szCs w:val="24"/>
              </w:rPr>
              <w:t>Most guideline-concordant (cellulitis) (+1 point), n (</w:t>
            </w:r>
            <w:proofErr w:type="gramStart"/>
            <w:r w:rsidRPr="00CF568A">
              <w:rPr>
                <w:rFonts w:ascii="Times New Roman" w:hAnsi="Times New Roman" w:cs="Times New Roman"/>
                <w:sz w:val="24"/>
                <w:szCs w:val="24"/>
              </w:rPr>
              <w:t>%)*</w:t>
            </w:r>
            <w:proofErr w:type="gramEnd"/>
          </w:p>
        </w:tc>
        <w:tc>
          <w:tcPr>
            <w:tcW w:w="2057" w:type="dxa"/>
            <w:vAlign w:val="center"/>
          </w:tcPr>
          <w:p w14:paraId="3CC705FD"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19 (100%)</w:t>
            </w:r>
          </w:p>
        </w:tc>
        <w:tc>
          <w:tcPr>
            <w:tcW w:w="1939" w:type="dxa"/>
            <w:vAlign w:val="center"/>
          </w:tcPr>
          <w:p w14:paraId="3A3D9B1E"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43 (69.4%)</w:t>
            </w:r>
          </w:p>
        </w:tc>
        <w:tc>
          <w:tcPr>
            <w:tcW w:w="1939" w:type="dxa"/>
            <w:vAlign w:val="center"/>
          </w:tcPr>
          <w:p w14:paraId="6874B06D"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40 (69%)</w:t>
            </w:r>
          </w:p>
        </w:tc>
      </w:tr>
      <w:tr w:rsidR="00221903" w:rsidRPr="00CF568A" w14:paraId="2E190B9F" w14:textId="77777777" w:rsidTr="00CA78CA">
        <w:tc>
          <w:tcPr>
            <w:tcW w:w="3415" w:type="dxa"/>
            <w:vAlign w:val="center"/>
          </w:tcPr>
          <w:p w14:paraId="482DC496" w14:textId="77777777" w:rsidR="00221903" w:rsidRPr="00CF568A" w:rsidRDefault="00221903" w:rsidP="00CA78CA">
            <w:pPr>
              <w:spacing w:before="80" w:after="80" w:line="480" w:lineRule="auto"/>
              <w:rPr>
                <w:rFonts w:ascii="Times New Roman" w:hAnsi="Times New Roman" w:cs="Times New Roman"/>
                <w:sz w:val="24"/>
                <w:szCs w:val="24"/>
              </w:rPr>
            </w:pPr>
            <w:r w:rsidRPr="00CF568A">
              <w:rPr>
                <w:rFonts w:ascii="Times New Roman" w:hAnsi="Times New Roman" w:cs="Times New Roman"/>
                <w:sz w:val="24"/>
                <w:szCs w:val="24"/>
              </w:rPr>
              <w:t>Less guideline-concordant (diabetic foot infection) (0 points), n (%)</w:t>
            </w:r>
          </w:p>
        </w:tc>
        <w:tc>
          <w:tcPr>
            <w:tcW w:w="2057" w:type="dxa"/>
            <w:vAlign w:val="center"/>
          </w:tcPr>
          <w:p w14:paraId="1EDB81D1"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0 (0%)</w:t>
            </w:r>
          </w:p>
        </w:tc>
        <w:tc>
          <w:tcPr>
            <w:tcW w:w="1939" w:type="dxa"/>
            <w:vAlign w:val="center"/>
          </w:tcPr>
          <w:p w14:paraId="660FE1CD"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15 (24.2%)</w:t>
            </w:r>
          </w:p>
        </w:tc>
        <w:tc>
          <w:tcPr>
            <w:tcW w:w="1939" w:type="dxa"/>
            <w:vAlign w:val="center"/>
          </w:tcPr>
          <w:p w14:paraId="0A565C21"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14 (24.1%)</w:t>
            </w:r>
          </w:p>
        </w:tc>
      </w:tr>
      <w:tr w:rsidR="00221903" w:rsidRPr="00CF568A" w14:paraId="7A1E2178" w14:textId="77777777" w:rsidTr="00CA78CA">
        <w:tc>
          <w:tcPr>
            <w:tcW w:w="3415" w:type="dxa"/>
            <w:vAlign w:val="center"/>
          </w:tcPr>
          <w:p w14:paraId="11DF9DFE" w14:textId="77777777" w:rsidR="00221903" w:rsidRPr="00CF568A" w:rsidRDefault="00221903" w:rsidP="00CA78CA">
            <w:pPr>
              <w:spacing w:before="80" w:after="80" w:line="480" w:lineRule="auto"/>
              <w:rPr>
                <w:rFonts w:ascii="Times New Roman" w:hAnsi="Times New Roman" w:cs="Times New Roman"/>
                <w:sz w:val="24"/>
                <w:szCs w:val="24"/>
              </w:rPr>
            </w:pPr>
            <w:r w:rsidRPr="00CF568A">
              <w:rPr>
                <w:rFonts w:ascii="Times New Roman" w:hAnsi="Times New Roman" w:cs="Times New Roman"/>
                <w:sz w:val="24"/>
                <w:szCs w:val="24"/>
              </w:rPr>
              <w:t>Guideline-discordant (MRSA infection, necrotizing fasciitis) (-1 point), n (%)</w:t>
            </w:r>
          </w:p>
        </w:tc>
        <w:tc>
          <w:tcPr>
            <w:tcW w:w="2057" w:type="dxa"/>
            <w:vAlign w:val="center"/>
          </w:tcPr>
          <w:p w14:paraId="4ABCDAD6"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0 (0%)</w:t>
            </w:r>
          </w:p>
        </w:tc>
        <w:tc>
          <w:tcPr>
            <w:tcW w:w="1939" w:type="dxa"/>
            <w:vAlign w:val="center"/>
          </w:tcPr>
          <w:p w14:paraId="4A241B1C"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3 (4.8%)</w:t>
            </w:r>
          </w:p>
        </w:tc>
        <w:tc>
          <w:tcPr>
            <w:tcW w:w="1939" w:type="dxa"/>
            <w:vAlign w:val="center"/>
          </w:tcPr>
          <w:p w14:paraId="6630D311"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0 (0%)</w:t>
            </w:r>
          </w:p>
        </w:tc>
      </w:tr>
      <w:tr w:rsidR="00221903" w:rsidRPr="00CF568A" w14:paraId="4A1BA53D" w14:textId="77777777" w:rsidTr="00CA78CA">
        <w:tc>
          <w:tcPr>
            <w:tcW w:w="9350" w:type="dxa"/>
            <w:gridSpan w:val="4"/>
            <w:vAlign w:val="center"/>
          </w:tcPr>
          <w:p w14:paraId="70F6E0D1" w14:textId="77777777" w:rsidR="00221903" w:rsidRPr="00CF568A" w:rsidRDefault="00221903" w:rsidP="00CA78CA">
            <w:pPr>
              <w:spacing w:before="80" w:after="80" w:line="480" w:lineRule="auto"/>
              <w:rPr>
                <w:rFonts w:ascii="Times New Roman" w:hAnsi="Times New Roman" w:cs="Times New Roman"/>
                <w:i/>
                <w:iCs/>
                <w:sz w:val="24"/>
                <w:szCs w:val="24"/>
              </w:rPr>
            </w:pPr>
            <w:r w:rsidRPr="00CF568A">
              <w:rPr>
                <w:rFonts w:ascii="Times New Roman" w:hAnsi="Times New Roman" w:cs="Times New Roman"/>
                <w:i/>
                <w:iCs/>
                <w:sz w:val="24"/>
                <w:szCs w:val="24"/>
              </w:rPr>
              <w:t>Which antibiotic therapy would you prescribe for this patient?</w:t>
            </w:r>
          </w:p>
        </w:tc>
      </w:tr>
      <w:tr w:rsidR="00221903" w:rsidRPr="00CF568A" w14:paraId="252CDCE4" w14:textId="77777777" w:rsidTr="00CA78CA">
        <w:tc>
          <w:tcPr>
            <w:tcW w:w="3415" w:type="dxa"/>
            <w:vAlign w:val="center"/>
          </w:tcPr>
          <w:p w14:paraId="219F03FB" w14:textId="77777777" w:rsidR="00221903" w:rsidRPr="00CF568A" w:rsidRDefault="00221903" w:rsidP="00CA78CA">
            <w:pPr>
              <w:spacing w:before="80" w:after="80" w:line="480" w:lineRule="auto"/>
              <w:rPr>
                <w:rFonts w:ascii="Times New Roman" w:hAnsi="Times New Roman" w:cs="Times New Roman"/>
                <w:sz w:val="24"/>
                <w:szCs w:val="24"/>
              </w:rPr>
            </w:pPr>
            <w:r w:rsidRPr="00CF568A">
              <w:rPr>
                <w:rFonts w:ascii="Times New Roman" w:hAnsi="Times New Roman" w:cs="Times New Roman"/>
                <w:sz w:val="24"/>
                <w:szCs w:val="24"/>
              </w:rPr>
              <w:lastRenderedPageBreak/>
              <w:t>Most guideline-concordant (cefazolin) (+1 point), n (%)</w:t>
            </w:r>
          </w:p>
        </w:tc>
        <w:tc>
          <w:tcPr>
            <w:tcW w:w="2057" w:type="dxa"/>
            <w:vAlign w:val="center"/>
          </w:tcPr>
          <w:p w14:paraId="6C688075"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10 (52.6%)</w:t>
            </w:r>
          </w:p>
        </w:tc>
        <w:tc>
          <w:tcPr>
            <w:tcW w:w="1939" w:type="dxa"/>
            <w:vAlign w:val="center"/>
          </w:tcPr>
          <w:p w14:paraId="00150544"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24 (38.7%)</w:t>
            </w:r>
          </w:p>
        </w:tc>
        <w:tc>
          <w:tcPr>
            <w:tcW w:w="1939" w:type="dxa"/>
            <w:vAlign w:val="center"/>
          </w:tcPr>
          <w:p w14:paraId="41779F73"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23 (39.7%)</w:t>
            </w:r>
          </w:p>
        </w:tc>
      </w:tr>
      <w:tr w:rsidR="00221903" w:rsidRPr="00CF568A" w14:paraId="65768A1A" w14:textId="77777777" w:rsidTr="00CA78CA">
        <w:tc>
          <w:tcPr>
            <w:tcW w:w="3415" w:type="dxa"/>
            <w:vAlign w:val="center"/>
          </w:tcPr>
          <w:p w14:paraId="4522DD56" w14:textId="77777777" w:rsidR="00221903" w:rsidRPr="00CF568A" w:rsidRDefault="00221903" w:rsidP="00CA78CA">
            <w:pPr>
              <w:spacing w:before="80" w:after="80" w:line="480" w:lineRule="auto"/>
              <w:rPr>
                <w:rFonts w:ascii="Times New Roman" w:hAnsi="Times New Roman" w:cs="Times New Roman"/>
                <w:sz w:val="24"/>
                <w:szCs w:val="24"/>
              </w:rPr>
            </w:pPr>
            <w:r w:rsidRPr="00CF568A">
              <w:rPr>
                <w:rFonts w:ascii="Times New Roman" w:hAnsi="Times New Roman" w:cs="Times New Roman"/>
                <w:sz w:val="24"/>
                <w:szCs w:val="24"/>
              </w:rPr>
              <w:t>Less guideline-concordant (vancomycin, ceftriaxone, clindamycin, ampicillin-sulbactam, cephalexin) (0 points), n (%)</w:t>
            </w:r>
          </w:p>
        </w:tc>
        <w:tc>
          <w:tcPr>
            <w:tcW w:w="2057" w:type="dxa"/>
            <w:vAlign w:val="center"/>
          </w:tcPr>
          <w:p w14:paraId="65920328"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9 (47.4%)</w:t>
            </w:r>
          </w:p>
        </w:tc>
        <w:tc>
          <w:tcPr>
            <w:tcW w:w="1939" w:type="dxa"/>
            <w:vAlign w:val="center"/>
          </w:tcPr>
          <w:p w14:paraId="2D900A59"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26 (41.9%)</w:t>
            </w:r>
          </w:p>
        </w:tc>
        <w:tc>
          <w:tcPr>
            <w:tcW w:w="1939" w:type="dxa"/>
            <w:vAlign w:val="center"/>
          </w:tcPr>
          <w:p w14:paraId="09E9B2A1"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17 (29.3%)</w:t>
            </w:r>
          </w:p>
        </w:tc>
      </w:tr>
      <w:tr w:rsidR="00221903" w:rsidRPr="00CF568A" w14:paraId="76284D83" w14:textId="77777777" w:rsidTr="00CA78CA">
        <w:tc>
          <w:tcPr>
            <w:tcW w:w="3415" w:type="dxa"/>
            <w:vAlign w:val="center"/>
          </w:tcPr>
          <w:p w14:paraId="0F9CE974" w14:textId="77777777" w:rsidR="00221903" w:rsidRPr="00CF568A" w:rsidRDefault="00221903" w:rsidP="00CA78CA">
            <w:pPr>
              <w:spacing w:before="80" w:after="80" w:line="480" w:lineRule="auto"/>
              <w:rPr>
                <w:rFonts w:ascii="Times New Roman" w:hAnsi="Times New Roman" w:cs="Times New Roman"/>
                <w:sz w:val="24"/>
                <w:szCs w:val="24"/>
              </w:rPr>
            </w:pPr>
            <w:r w:rsidRPr="00CF568A">
              <w:rPr>
                <w:rFonts w:ascii="Times New Roman" w:hAnsi="Times New Roman" w:cs="Times New Roman"/>
                <w:sz w:val="24"/>
                <w:szCs w:val="24"/>
              </w:rPr>
              <w:t>Guideline-discordant (piperacillin-tazobactam, levofloxacin, ertapenem, no antibiotic) (-1 point), n (%)</w:t>
            </w:r>
          </w:p>
        </w:tc>
        <w:tc>
          <w:tcPr>
            <w:tcW w:w="2057" w:type="dxa"/>
            <w:vAlign w:val="center"/>
          </w:tcPr>
          <w:p w14:paraId="11B4D119"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0 (0%)</w:t>
            </w:r>
          </w:p>
        </w:tc>
        <w:tc>
          <w:tcPr>
            <w:tcW w:w="1939" w:type="dxa"/>
            <w:vAlign w:val="center"/>
          </w:tcPr>
          <w:p w14:paraId="60C66A45"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11 (17.7%)</w:t>
            </w:r>
          </w:p>
        </w:tc>
        <w:tc>
          <w:tcPr>
            <w:tcW w:w="1939" w:type="dxa"/>
            <w:vAlign w:val="center"/>
          </w:tcPr>
          <w:p w14:paraId="36E7D021"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13 (22.4%)</w:t>
            </w:r>
          </w:p>
        </w:tc>
      </w:tr>
      <w:tr w:rsidR="00221903" w:rsidRPr="00CF568A" w14:paraId="47F32949" w14:textId="77777777" w:rsidTr="00CA78CA">
        <w:tc>
          <w:tcPr>
            <w:tcW w:w="9350" w:type="dxa"/>
            <w:gridSpan w:val="4"/>
            <w:vAlign w:val="center"/>
          </w:tcPr>
          <w:p w14:paraId="03329E65" w14:textId="77777777" w:rsidR="00221903" w:rsidRPr="00CF568A" w:rsidRDefault="00221903" w:rsidP="00CA78CA">
            <w:pPr>
              <w:spacing w:before="80" w:after="80" w:line="480" w:lineRule="auto"/>
              <w:rPr>
                <w:rFonts w:ascii="Times New Roman" w:hAnsi="Times New Roman" w:cs="Times New Roman"/>
                <w:i/>
                <w:iCs/>
                <w:sz w:val="24"/>
                <w:szCs w:val="24"/>
              </w:rPr>
            </w:pPr>
            <w:r w:rsidRPr="00CF568A">
              <w:rPr>
                <w:rFonts w:ascii="Times New Roman" w:hAnsi="Times New Roman" w:cs="Times New Roman"/>
                <w:i/>
                <w:iCs/>
                <w:sz w:val="24"/>
                <w:szCs w:val="24"/>
              </w:rPr>
              <w:t>The patient above was started on appropriate antibiotics and transferred to your care on day 3. His blood cultures were originally positive for group A streptococcus but have since cleared. Your evaluation of the patient indicates that his cellulitis has improved, but he needs another 1-2 days of intravenous antibiotic therapy.  Which antibiotic regimen would you prescribe at this time?</w:t>
            </w:r>
          </w:p>
        </w:tc>
      </w:tr>
      <w:tr w:rsidR="00221903" w:rsidRPr="00CF568A" w14:paraId="19CE8EA4" w14:textId="77777777" w:rsidTr="00CA78CA">
        <w:tc>
          <w:tcPr>
            <w:tcW w:w="3415" w:type="dxa"/>
            <w:vAlign w:val="center"/>
          </w:tcPr>
          <w:p w14:paraId="5683AFE2" w14:textId="77777777" w:rsidR="00221903" w:rsidRPr="00CF568A" w:rsidRDefault="00221903" w:rsidP="00CA78CA">
            <w:pPr>
              <w:spacing w:before="80" w:after="80" w:line="480" w:lineRule="auto"/>
              <w:rPr>
                <w:rFonts w:ascii="Times New Roman" w:hAnsi="Times New Roman" w:cs="Times New Roman"/>
                <w:sz w:val="24"/>
                <w:szCs w:val="24"/>
              </w:rPr>
            </w:pPr>
            <w:r w:rsidRPr="00CF568A">
              <w:rPr>
                <w:rFonts w:ascii="Times New Roman" w:hAnsi="Times New Roman" w:cs="Times New Roman"/>
                <w:sz w:val="24"/>
                <w:szCs w:val="24"/>
              </w:rPr>
              <w:t>Most guideline-concordant (cefazolin, penicillin, ampicillin, cephalexin) (+1 point), n (%)</w:t>
            </w:r>
          </w:p>
        </w:tc>
        <w:tc>
          <w:tcPr>
            <w:tcW w:w="2057" w:type="dxa"/>
            <w:vAlign w:val="center"/>
          </w:tcPr>
          <w:p w14:paraId="14FF6432"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16 (84.2%)</w:t>
            </w:r>
          </w:p>
        </w:tc>
        <w:tc>
          <w:tcPr>
            <w:tcW w:w="1939" w:type="dxa"/>
            <w:vAlign w:val="center"/>
          </w:tcPr>
          <w:p w14:paraId="24B385A4"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42 (67.7%)</w:t>
            </w:r>
          </w:p>
        </w:tc>
        <w:tc>
          <w:tcPr>
            <w:tcW w:w="1939" w:type="dxa"/>
            <w:vAlign w:val="center"/>
          </w:tcPr>
          <w:p w14:paraId="161AB641"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27 (46.5%)</w:t>
            </w:r>
          </w:p>
        </w:tc>
      </w:tr>
      <w:tr w:rsidR="00221903" w:rsidRPr="00CF568A" w14:paraId="58E7BFDC" w14:textId="77777777" w:rsidTr="00CA78CA">
        <w:tc>
          <w:tcPr>
            <w:tcW w:w="3415" w:type="dxa"/>
            <w:vAlign w:val="center"/>
          </w:tcPr>
          <w:p w14:paraId="2442F7CE" w14:textId="77777777" w:rsidR="00221903" w:rsidRPr="00CF568A" w:rsidRDefault="00221903" w:rsidP="00CA78CA">
            <w:pPr>
              <w:spacing w:before="80" w:after="80" w:line="480" w:lineRule="auto"/>
              <w:rPr>
                <w:rFonts w:ascii="Times New Roman" w:hAnsi="Times New Roman" w:cs="Times New Roman"/>
                <w:sz w:val="24"/>
                <w:szCs w:val="24"/>
              </w:rPr>
            </w:pPr>
            <w:r w:rsidRPr="00CF568A">
              <w:rPr>
                <w:rFonts w:ascii="Times New Roman" w:hAnsi="Times New Roman" w:cs="Times New Roman"/>
                <w:sz w:val="24"/>
                <w:szCs w:val="24"/>
              </w:rPr>
              <w:t xml:space="preserve">Less guideline-concordant (ceftriaxone, clindamycin, </w:t>
            </w:r>
            <w:r w:rsidRPr="00CF568A">
              <w:rPr>
                <w:rFonts w:ascii="Times New Roman" w:hAnsi="Times New Roman" w:cs="Times New Roman"/>
                <w:sz w:val="24"/>
                <w:szCs w:val="24"/>
              </w:rPr>
              <w:lastRenderedPageBreak/>
              <w:t>ampicillin-sulbactam) (0 points), n (%)</w:t>
            </w:r>
          </w:p>
        </w:tc>
        <w:tc>
          <w:tcPr>
            <w:tcW w:w="2057" w:type="dxa"/>
            <w:vAlign w:val="center"/>
          </w:tcPr>
          <w:p w14:paraId="38296597"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lastRenderedPageBreak/>
              <w:t>3 (15.8%)</w:t>
            </w:r>
          </w:p>
        </w:tc>
        <w:tc>
          <w:tcPr>
            <w:tcW w:w="1939" w:type="dxa"/>
            <w:vAlign w:val="center"/>
          </w:tcPr>
          <w:p w14:paraId="272B1DD6"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17 (27.4%)</w:t>
            </w:r>
          </w:p>
        </w:tc>
        <w:tc>
          <w:tcPr>
            <w:tcW w:w="1939" w:type="dxa"/>
            <w:vAlign w:val="center"/>
          </w:tcPr>
          <w:p w14:paraId="3C245543"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24 (41.4%)</w:t>
            </w:r>
          </w:p>
        </w:tc>
      </w:tr>
      <w:tr w:rsidR="00221903" w:rsidRPr="00CF568A" w14:paraId="7FA2BA3B" w14:textId="77777777" w:rsidTr="00CA78CA">
        <w:tc>
          <w:tcPr>
            <w:tcW w:w="3415" w:type="dxa"/>
            <w:vAlign w:val="center"/>
          </w:tcPr>
          <w:p w14:paraId="4DB83090" w14:textId="77777777" w:rsidR="00221903" w:rsidRPr="00CF568A" w:rsidRDefault="00221903" w:rsidP="00CA78CA">
            <w:pPr>
              <w:spacing w:before="80" w:after="80" w:line="480" w:lineRule="auto"/>
              <w:rPr>
                <w:rFonts w:ascii="Times New Roman" w:hAnsi="Times New Roman" w:cs="Times New Roman"/>
                <w:sz w:val="24"/>
                <w:szCs w:val="24"/>
              </w:rPr>
            </w:pPr>
            <w:r w:rsidRPr="00CF568A">
              <w:rPr>
                <w:rFonts w:ascii="Times New Roman" w:hAnsi="Times New Roman" w:cs="Times New Roman"/>
                <w:sz w:val="24"/>
                <w:szCs w:val="24"/>
              </w:rPr>
              <w:t>Guideline-discordant (vancomycin, piperacillin-tazobactam, levofloxacin, ertapenem, no antibiotic) (-1 point), n (%)</w:t>
            </w:r>
          </w:p>
        </w:tc>
        <w:tc>
          <w:tcPr>
            <w:tcW w:w="2057" w:type="dxa"/>
            <w:vAlign w:val="center"/>
          </w:tcPr>
          <w:p w14:paraId="2E2BF5C1"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0 (0%)</w:t>
            </w:r>
          </w:p>
        </w:tc>
        <w:tc>
          <w:tcPr>
            <w:tcW w:w="1939" w:type="dxa"/>
            <w:vAlign w:val="center"/>
          </w:tcPr>
          <w:p w14:paraId="677FC71A"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2 (3.2%)</w:t>
            </w:r>
          </w:p>
        </w:tc>
        <w:tc>
          <w:tcPr>
            <w:tcW w:w="1939" w:type="dxa"/>
            <w:vAlign w:val="center"/>
          </w:tcPr>
          <w:p w14:paraId="2C06100E"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1 (1.7%)</w:t>
            </w:r>
          </w:p>
        </w:tc>
      </w:tr>
      <w:tr w:rsidR="00221903" w:rsidRPr="00CF568A" w14:paraId="4E7396CA" w14:textId="77777777" w:rsidTr="00CA78CA">
        <w:tc>
          <w:tcPr>
            <w:tcW w:w="9350" w:type="dxa"/>
            <w:gridSpan w:val="4"/>
            <w:vAlign w:val="center"/>
          </w:tcPr>
          <w:p w14:paraId="20CF5EC6" w14:textId="77777777" w:rsidR="00221903" w:rsidRPr="00CF568A" w:rsidRDefault="00221903" w:rsidP="00CA78CA">
            <w:pPr>
              <w:spacing w:before="80" w:after="80" w:line="480" w:lineRule="auto"/>
              <w:rPr>
                <w:rFonts w:ascii="Times New Roman" w:hAnsi="Times New Roman" w:cs="Times New Roman"/>
                <w:i/>
                <w:iCs/>
                <w:sz w:val="24"/>
                <w:szCs w:val="24"/>
              </w:rPr>
            </w:pPr>
            <w:r w:rsidRPr="00CF568A">
              <w:rPr>
                <w:rFonts w:ascii="Times New Roman" w:hAnsi="Times New Roman" w:cs="Times New Roman"/>
                <w:i/>
                <w:iCs/>
                <w:sz w:val="24"/>
                <w:szCs w:val="24"/>
              </w:rPr>
              <w:t>It is now day 5 since this patient was admitted.  He is much improved and is being discharged home.  Which antibiotic therapy would you use at this point?</w:t>
            </w:r>
          </w:p>
        </w:tc>
      </w:tr>
      <w:tr w:rsidR="00221903" w:rsidRPr="00CF568A" w14:paraId="05A378A9" w14:textId="77777777" w:rsidTr="00CA78CA">
        <w:tc>
          <w:tcPr>
            <w:tcW w:w="3415" w:type="dxa"/>
            <w:vAlign w:val="center"/>
          </w:tcPr>
          <w:p w14:paraId="436C9A73" w14:textId="77777777" w:rsidR="00221903" w:rsidRPr="00CF568A" w:rsidRDefault="00221903" w:rsidP="00CA78CA">
            <w:pPr>
              <w:spacing w:before="80" w:after="80" w:line="480" w:lineRule="auto"/>
              <w:rPr>
                <w:rFonts w:ascii="Times New Roman" w:hAnsi="Times New Roman" w:cs="Times New Roman"/>
                <w:sz w:val="24"/>
                <w:szCs w:val="24"/>
              </w:rPr>
            </w:pPr>
            <w:r w:rsidRPr="00CF568A">
              <w:rPr>
                <w:rFonts w:ascii="Times New Roman" w:hAnsi="Times New Roman" w:cs="Times New Roman"/>
                <w:sz w:val="24"/>
                <w:szCs w:val="24"/>
              </w:rPr>
              <w:t>Most guideline-concordant (amoxicillin, cephalexin, penicillin, dicloxacillin, no antibiotic) (+1 point), n (%)</w:t>
            </w:r>
          </w:p>
        </w:tc>
        <w:tc>
          <w:tcPr>
            <w:tcW w:w="2057" w:type="dxa"/>
            <w:vAlign w:val="center"/>
          </w:tcPr>
          <w:p w14:paraId="386E0A2A"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16 (84.2%)</w:t>
            </w:r>
          </w:p>
        </w:tc>
        <w:tc>
          <w:tcPr>
            <w:tcW w:w="1939" w:type="dxa"/>
            <w:vAlign w:val="center"/>
          </w:tcPr>
          <w:p w14:paraId="7088C5AC"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46 (74.2%)</w:t>
            </w:r>
          </w:p>
        </w:tc>
        <w:tc>
          <w:tcPr>
            <w:tcW w:w="1939" w:type="dxa"/>
            <w:vAlign w:val="center"/>
          </w:tcPr>
          <w:p w14:paraId="4A143E36"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33 (56.9%)</w:t>
            </w:r>
          </w:p>
        </w:tc>
      </w:tr>
      <w:tr w:rsidR="00221903" w:rsidRPr="00CF568A" w14:paraId="7C9C10B6" w14:textId="77777777" w:rsidTr="00CA78CA">
        <w:tc>
          <w:tcPr>
            <w:tcW w:w="3415" w:type="dxa"/>
            <w:vAlign w:val="center"/>
          </w:tcPr>
          <w:p w14:paraId="6B58931B" w14:textId="77777777" w:rsidR="00221903" w:rsidRPr="00CF568A" w:rsidRDefault="00221903" w:rsidP="00CA78CA">
            <w:pPr>
              <w:spacing w:before="80" w:after="80" w:line="480" w:lineRule="auto"/>
              <w:rPr>
                <w:rFonts w:ascii="Times New Roman" w:hAnsi="Times New Roman" w:cs="Times New Roman"/>
                <w:sz w:val="24"/>
                <w:szCs w:val="24"/>
              </w:rPr>
            </w:pPr>
            <w:r w:rsidRPr="00CF568A">
              <w:rPr>
                <w:rFonts w:ascii="Times New Roman" w:hAnsi="Times New Roman" w:cs="Times New Roman"/>
                <w:sz w:val="24"/>
                <w:szCs w:val="24"/>
              </w:rPr>
              <w:t>Less guideline-concordant (amoxicillin-clavulanate, clindamycin) (0 points), n (%)</w:t>
            </w:r>
          </w:p>
        </w:tc>
        <w:tc>
          <w:tcPr>
            <w:tcW w:w="2057" w:type="dxa"/>
            <w:vAlign w:val="center"/>
          </w:tcPr>
          <w:p w14:paraId="401056FD"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3 (15.8%)</w:t>
            </w:r>
          </w:p>
        </w:tc>
        <w:tc>
          <w:tcPr>
            <w:tcW w:w="1939" w:type="dxa"/>
            <w:vAlign w:val="center"/>
          </w:tcPr>
          <w:p w14:paraId="4DE5FC34"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12 (19.4%)</w:t>
            </w:r>
          </w:p>
        </w:tc>
        <w:tc>
          <w:tcPr>
            <w:tcW w:w="1939" w:type="dxa"/>
            <w:vAlign w:val="center"/>
          </w:tcPr>
          <w:p w14:paraId="0B093DFF"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17 (29.3%)</w:t>
            </w:r>
          </w:p>
        </w:tc>
      </w:tr>
      <w:tr w:rsidR="00221903" w:rsidRPr="00CF568A" w14:paraId="2C6EF5FF" w14:textId="77777777" w:rsidTr="00CA78CA">
        <w:tc>
          <w:tcPr>
            <w:tcW w:w="3415" w:type="dxa"/>
            <w:vAlign w:val="center"/>
          </w:tcPr>
          <w:p w14:paraId="0A3A1559" w14:textId="77777777" w:rsidR="00221903" w:rsidRPr="00CF568A" w:rsidRDefault="00221903" w:rsidP="00CA78CA">
            <w:pPr>
              <w:spacing w:before="80" w:after="80" w:line="480" w:lineRule="auto"/>
              <w:rPr>
                <w:rFonts w:ascii="Times New Roman" w:hAnsi="Times New Roman" w:cs="Times New Roman"/>
                <w:sz w:val="24"/>
                <w:szCs w:val="24"/>
              </w:rPr>
            </w:pPr>
            <w:r w:rsidRPr="00CF568A">
              <w:rPr>
                <w:rFonts w:ascii="Times New Roman" w:hAnsi="Times New Roman" w:cs="Times New Roman"/>
                <w:sz w:val="24"/>
                <w:szCs w:val="24"/>
              </w:rPr>
              <w:t>Guideline-discordant (doxycycline, levofloxacin, linezolid, trimethoprim-sulfamethoxazole) (-1 point), n (%)</w:t>
            </w:r>
          </w:p>
        </w:tc>
        <w:tc>
          <w:tcPr>
            <w:tcW w:w="2057" w:type="dxa"/>
            <w:vAlign w:val="center"/>
          </w:tcPr>
          <w:p w14:paraId="7151BB4A"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0 (0%)</w:t>
            </w:r>
          </w:p>
        </w:tc>
        <w:tc>
          <w:tcPr>
            <w:tcW w:w="1939" w:type="dxa"/>
            <w:vAlign w:val="center"/>
          </w:tcPr>
          <w:p w14:paraId="678AFC6B"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2 (3.2%)</w:t>
            </w:r>
          </w:p>
        </w:tc>
        <w:tc>
          <w:tcPr>
            <w:tcW w:w="1939" w:type="dxa"/>
            <w:vAlign w:val="center"/>
          </w:tcPr>
          <w:p w14:paraId="5A027C7F"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3 (5.2%)</w:t>
            </w:r>
          </w:p>
        </w:tc>
      </w:tr>
      <w:tr w:rsidR="00221903" w:rsidRPr="00CF568A" w14:paraId="25933A77" w14:textId="77777777" w:rsidTr="00CA78CA">
        <w:tc>
          <w:tcPr>
            <w:tcW w:w="9350" w:type="dxa"/>
            <w:gridSpan w:val="4"/>
            <w:vAlign w:val="center"/>
          </w:tcPr>
          <w:p w14:paraId="37DFF3A8" w14:textId="77777777" w:rsidR="00221903" w:rsidRPr="00CF568A" w:rsidRDefault="00221903" w:rsidP="00CA78CA">
            <w:pPr>
              <w:spacing w:before="80" w:after="80" w:line="480" w:lineRule="auto"/>
              <w:rPr>
                <w:rFonts w:ascii="Times New Roman" w:hAnsi="Times New Roman" w:cs="Times New Roman"/>
                <w:i/>
                <w:iCs/>
                <w:sz w:val="24"/>
                <w:szCs w:val="24"/>
              </w:rPr>
            </w:pPr>
            <w:r w:rsidRPr="00CF568A">
              <w:rPr>
                <w:rFonts w:ascii="Times New Roman" w:hAnsi="Times New Roman" w:cs="Times New Roman"/>
                <w:i/>
                <w:iCs/>
                <w:sz w:val="24"/>
                <w:szCs w:val="24"/>
              </w:rPr>
              <w:lastRenderedPageBreak/>
              <w:t>How many total days of antibiotic therapy would you utilize for this patient?</w:t>
            </w:r>
          </w:p>
        </w:tc>
      </w:tr>
      <w:tr w:rsidR="00221903" w:rsidRPr="00CF568A" w14:paraId="2109FFA2" w14:textId="77777777" w:rsidTr="00CA78CA">
        <w:tc>
          <w:tcPr>
            <w:tcW w:w="3415" w:type="dxa"/>
            <w:vAlign w:val="center"/>
          </w:tcPr>
          <w:p w14:paraId="1C36B72E" w14:textId="77777777" w:rsidR="00221903" w:rsidRPr="00CF568A" w:rsidRDefault="00221903" w:rsidP="00CA78CA">
            <w:pPr>
              <w:spacing w:before="80" w:after="80" w:line="480" w:lineRule="auto"/>
              <w:rPr>
                <w:rFonts w:ascii="Times New Roman" w:hAnsi="Times New Roman" w:cs="Times New Roman"/>
                <w:sz w:val="24"/>
                <w:szCs w:val="24"/>
              </w:rPr>
            </w:pPr>
            <w:r w:rsidRPr="00CF568A">
              <w:rPr>
                <w:rFonts w:ascii="Times New Roman" w:hAnsi="Times New Roman" w:cs="Times New Roman"/>
                <w:sz w:val="24"/>
                <w:szCs w:val="24"/>
              </w:rPr>
              <w:t>Most guideline-concordant (5-10 days) (+1 point), n (%)</w:t>
            </w:r>
          </w:p>
        </w:tc>
        <w:tc>
          <w:tcPr>
            <w:tcW w:w="2057" w:type="dxa"/>
            <w:vAlign w:val="center"/>
          </w:tcPr>
          <w:p w14:paraId="7A1E3247"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11 (57.9%)</w:t>
            </w:r>
          </w:p>
        </w:tc>
        <w:tc>
          <w:tcPr>
            <w:tcW w:w="1939" w:type="dxa"/>
            <w:vAlign w:val="center"/>
          </w:tcPr>
          <w:p w14:paraId="737BD470"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42 (67.7%)</w:t>
            </w:r>
          </w:p>
        </w:tc>
        <w:tc>
          <w:tcPr>
            <w:tcW w:w="1939" w:type="dxa"/>
            <w:vAlign w:val="center"/>
          </w:tcPr>
          <w:p w14:paraId="7091B642"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36 (62.1%)</w:t>
            </w:r>
          </w:p>
        </w:tc>
      </w:tr>
      <w:tr w:rsidR="00221903" w:rsidRPr="00CF568A" w14:paraId="5F89B624" w14:textId="77777777" w:rsidTr="00CA78CA">
        <w:tc>
          <w:tcPr>
            <w:tcW w:w="3415" w:type="dxa"/>
            <w:vAlign w:val="center"/>
          </w:tcPr>
          <w:p w14:paraId="17A0B4DC" w14:textId="77777777" w:rsidR="00221903" w:rsidRPr="00CF568A" w:rsidRDefault="00221903" w:rsidP="00CA78CA">
            <w:pPr>
              <w:spacing w:before="80" w:after="80" w:line="480" w:lineRule="auto"/>
              <w:rPr>
                <w:rFonts w:ascii="Times New Roman" w:hAnsi="Times New Roman" w:cs="Times New Roman"/>
                <w:sz w:val="24"/>
                <w:szCs w:val="24"/>
              </w:rPr>
            </w:pPr>
            <w:r w:rsidRPr="00CF568A">
              <w:rPr>
                <w:rFonts w:ascii="Times New Roman" w:hAnsi="Times New Roman" w:cs="Times New Roman"/>
                <w:sz w:val="24"/>
                <w:szCs w:val="24"/>
              </w:rPr>
              <w:t>Less guideline-concordant (11-14 days) (0 points), n (%)</w:t>
            </w:r>
          </w:p>
        </w:tc>
        <w:tc>
          <w:tcPr>
            <w:tcW w:w="2057" w:type="dxa"/>
            <w:vAlign w:val="center"/>
          </w:tcPr>
          <w:p w14:paraId="0B470895"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7 (36.8%)</w:t>
            </w:r>
          </w:p>
        </w:tc>
        <w:tc>
          <w:tcPr>
            <w:tcW w:w="1939" w:type="dxa"/>
            <w:vAlign w:val="center"/>
          </w:tcPr>
          <w:p w14:paraId="3F20F97F"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18 (29%)</w:t>
            </w:r>
          </w:p>
        </w:tc>
        <w:tc>
          <w:tcPr>
            <w:tcW w:w="1939" w:type="dxa"/>
            <w:vAlign w:val="center"/>
          </w:tcPr>
          <w:p w14:paraId="6F104DE8"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13 (22.4%)</w:t>
            </w:r>
          </w:p>
        </w:tc>
      </w:tr>
      <w:tr w:rsidR="00221903" w:rsidRPr="00CF568A" w14:paraId="0CCAAB7E" w14:textId="77777777" w:rsidTr="00CA78CA">
        <w:tc>
          <w:tcPr>
            <w:tcW w:w="3415" w:type="dxa"/>
            <w:vAlign w:val="center"/>
          </w:tcPr>
          <w:p w14:paraId="411D5C78" w14:textId="77777777" w:rsidR="00221903" w:rsidRPr="00CF568A" w:rsidRDefault="00221903" w:rsidP="00CA78CA">
            <w:pPr>
              <w:spacing w:before="80" w:after="80" w:line="480" w:lineRule="auto"/>
              <w:rPr>
                <w:rFonts w:ascii="Times New Roman" w:hAnsi="Times New Roman" w:cs="Times New Roman"/>
                <w:sz w:val="24"/>
                <w:szCs w:val="24"/>
              </w:rPr>
            </w:pPr>
            <w:r w:rsidRPr="00CF568A">
              <w:rPr>
                <w:rFonts w:ascii="Times New Roman" w:hAnsi="Times New Roman" w:cs="Times New Roman"/>
                <w:sz w:val="24"/>
                <w:szCs w:val="24"/>
              </w:rPr>
              <w:t>Guideline-discordant (0-4 days) (-1 point), n (%)</w:t>
            </w:r>
          </w:p>
        </w:tc>
        <w:tc>
          <w:tcPr>
            <w:tcW w:w="2057" w:type="dxa"/>
            <w:vAlign w:val="center"/>
          </w:tcPr>
          <w:p w14:paraId="1E7135D2"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0 (0%)</w:t>
            </w:r>
          </w:p>
        </w:tc>
        <w:tc>
          <w:tcPr>
            <w:tcW w:w="1939" w:type="dxa"/>
            <w:vAlign w:val="center"/>
          </w:tcPr>
          <w:p w14:paraId="782A850A"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0 (0%)</w:t>
            </w:r>
          </w:p>
        </w:tc>
        <w:tc>
          <w:tcPr>
            <w:tcW w:w="1939" w:type="dxa"/>
            <w:vAlign w:val="center"/>
          </w:tcPr>
          <w:p w14:paraId="123EC2FA"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1 (1.7%)</w:t>
            </w:r>
          </w:p>
        </w:tc>
      </w:tr>
      <w:tr w:rsidR="00221903" w:rsidRPr="00CF568A" w14:paraId="6723F442" w14:textId="77777777" w:rsidTr="00CA78CA">
        <w:tc>
          <w:tcPr>
            <w:tcW w:w="9350" w:type="dxa"/>
            <w:gridSpan w:val="4"/>
            <w:vAlign w:val="center"/>
          </w:tcPr>
          <w:p w14:paraId="245EE27F" w14:textId="77777777" w:rsidR="00221903" w:rsidRPr="00CF568A" w:rsidRDefault="00221903" w:rsidP="00CA78CA">
            <w:pPr>
              <w:spacing w:before="80" w:after="80" w:line="480" w:lineRule="auto"/>
              <w:jc w:val="center"/>
              <w:rPr>
                <w:rFonts w:ascii="Times New Roman" w:hAnsi="Times New Roman" w:cs="Times New Roman"/>
                <w:sz w:val="24"/>
                <w:szCs w:val="24"/>
              </w:rPr>
            </w:pPr>
          </w:p>
        </w:tc>
      </w:tr>
      <w:tr w:rsidR="00221903" w:rsidRPr="00CF568A" w14:paraId="654E5B6C" w14:textId="77777777" w:rsidTr="00CA78CA">
        <w:tc>
          <w:tcPr>
            <w:tcW w:w="9350" w:type="dxa"/>
            <w:gridSpan w:val="4"/>
            <w:vAlign w:val="center"/>
          </w:tcPr>
          <w:p w14:paraId="695E64CF" w14:textId="77777777" w:rsidR="00221903" w:rsidRPr="00CF568A" w:rsidRDefault="00221903" w:rsidP="00CA78CA">
            <w:pPr>
              <w:spacing w:before="80" w:after="80" w:line="480" w:lineRule="auto"/>
              <w:rPr>
                <w:rFonts w:ascii="Times New Roman" w:hAnsi="Times New Roman" w:cs="Times New Roman"/>
                <w:i/>
                <w:iCs/>
                <w:sz w:val="24"/>
                <w:szCs w:val="24"/>
              </w:rPr>
            </w:pPr>
            <w:r w:rsidRPr="00CF568A">
              <w:rPr>
                <w:rFonts w:ascii="Times New Roman" w:hAnsi="Times New Roman" w:cs="Times New Roman"/>
                <w:i/>
                <w:iCs/>
                <w:sz w:val="24"/>
                <w:szCs w:val="24"/>
                <w:u w:val="single"/>
              </w:rPr>
              <w:t>Scenario 2:</w:t>
            </w:r>
            <w:r w:rsidRPr="00CF568A">
              <w:rPr>
                <w:rFonts w:ascii="Times New Roman" w:hAnsi="Times New Roman" w:cs="Times New Roman"/>
                <w:i/>
                <w:iCs/>
                <w:sz w:val="24"/>
                <w:szCs w:val="24"/>
              </w:rPr>
              <w:t xml:space="preserve"> An </w:t>
            </w:r>
            <w:proofErr w:type="gramStart"/>
            <w:r w:rsidRPr="00CF568A">
              <w:rPr>
                <w:rFonts w:ascii="Times New Roman" w:hAnsi="Times New Roman" w:cs="Times New Roman"/>
                <w:i/>
                <w:iCs/>
                <w:sz w:val="24"/>
                <w:szCs w:val="24"/>
              </w:rPr>
              <w:t>80 year-old</w:t>
            </w:r>
            <w:proofErr w:type="gramEnd"/>
            <w:r w:rsidRPr="00CF568A">
              <w:rPr>
                <w:rFonts w:ascii="Times New Roman" w:hAnsi="Times New Roman" w:cs="Times New Roman"/>
                <w:i/>
                <w:iCs/>
                <w:sz w:val="24"/>
                <w:szCs w:val="24"/>
              </w:rPr>
              <w:t xml:space="preserve"> man is admitted to the general medical ward from home due to increasing shortness of breath and a productive cough and fever.  He has mild dementia, </w:t>
            </w:r>
            <w:proofErr w:type="gramStart"/>
            <w:r w:rsidRPr="00CF568A">
              <w:rPr>
                <w:rFonts w:ascii="Times New Roman" w:hAnsi="Times New Roman" w:cs="Times New Roman"/>
                <w:i/>
                <w:iCs/>
                <w:sz w:val="24"/>
                <w:szCs w:val="24"/>
              </w:rPr>
              <w:t>hypertension</w:t>
            </w:r>
            <w:proofErr w:type="gramEnd"/>
            <w:r w:rsidRPr="00CF568A">
              <w:rPr>
                <w:rFonts w:ascii="Times New Roman" w:hAnsi="Times New Roman" w:cs="Times New Roman"/>
                <w:i/>
                <w:iCs/>
                <w:sz w:val="24"/>
                <w:szCs w:val="24"/>
              </w:rPr>
              <w:t xml:space="preserve"> and prostate hypertrophy. He has no drug allergies.  A chest radiograph indicates left and right lower lobes with patchy opacifications.  He looks moderately ill though not in distress; his lung examination is consistent with the radiographic findings. His temperature is 101°F, blood pressure 110/55, heart rate 104, and respiratory rate 18.  His white cell count is 16 with 85% neutrophils; he has normal renal function and other laboratory tests.  Blood cultures, sputum gram stain and culture are pending.  A rapid influenza test is negative.</w:t>
            </w:r>
          </w:p>
        </w:tc>
      </w:tr>
      <w:tr w:rsidR="00221903" w:rsidRPr="00CF568A" w14:paraId="109FF4CC" w14:textId="77777777" w:rsidTr="00CA78CA">
        <w:tc>
          <w:tcPr>
            <w:tcW w:w="9350" w:type="dxa"/>
            <w:gridSpan w:val="4"/>
            <w:vAlign w:val="center"/>
          </w:tcPr>
          <w:p w14:paraId="0A16329A" w14:textId="77777777" w:rsidR="00221903" w:rsidRPr="00CF568A" w:rsidRDefault="00221903" w:rsidP="00CA78CA">
            <w:pPr>
              <w:spacing w:before="80" w:after="80" w:line="480" w:lineRule="auto"/>
              <w:rPr>
                <w:rFonts w:ascii="Times New Roman" w:hAnsi="Times New Roman" w:cs="Times New Roman"/>
                <w:i/>
                <w:iCs/>
                <w:sz w:val="24"/>
                <w:szCs w:val="24"/>
              </w:rPr>
            </w:pPr>
            <w:r w:rsidRPr="00CF568A">
              <w:rPr>
                <w:rFonts w:ascii="Times New Roman" w:hAnsi="Times New Roman" w:cs="Times New Roman"/>
                <w:i/>
                <w:iCs/>
                <w:sz w:val="24"/>
                <w:szCs w:val="24"/>
              </w:rPr>
              <w:t>How would you classify the clinical presentation described above?</w:t>
            </w:r>
          </w:p>
        </w:tc>
      </w:tr>
      <w:tr w:rsidR="00221903" w:rsidRPr="00CF568A" w14:paraId="741B88C7" w14:textId="77777777" w:rsidTr="00CA78CA">
        <w:tc>
          <w:tcPr>
            <w:tcW w:w="3415" w:type="dxa"/>
            <w:vAlign w:val="center"/>
          </w:tcPr>
          <w:p w14:paraId="637EE816" w14:textId="77777777" w:rsidR="00221903" w:rsidRPr="00CF568A" w:rsidRDefault="00221903" w:rsidP="00CA78CA">
            <w:pPr>
              <w:spacing w:before="80" w:after="80" w:line="480" w:lineRule="auto"/>
              <w:rPr>
                <w:rFonts w:ascii="Times New Roman" w:hAnsi="Times New Roman" w:cs="Times New Roman"/>
                <w:sz w:val="24"/>
                <w:szCs w:val="24"/>
              </w:rPr>
            </w:pPr>
            <w:r w:rsidRPr="00CF568A">
              <w:rPr>
                <w:rFonts w:ascii="Times New Roman" w:hAnsi="Times New Roman" w:cs="Times New Roman"/>
                <w:sz w:val="24"/>
                <w:szCs w:val="24"/>
              </w:rPr>
              <w:lastRenderedPageBreak/>
              <w:t>Most guideline-concordant (community-acquired pneumonia) (+1 point), n (%)</w:t>
            </w:r>
          </w:p>
        </w:tc>
        <w:tc>
          <w:tcPr>
            <w:tcW w:w="2057" w:type="dxa"/>
            <w:vAlign w:val="center"/>
          </w:tcPr>
          <w:p w14:paraId="169A73C1"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15 (79%)</w:t>
            </w:r>
          </w:p>
        </w:tc>
        <w:tc>
          <w:tcPr>
            <w:tcW w:w="1939" w:type="dxa"/>
            <w:vAlign w:val="center"/>
          </w:tcPr>
          <w:p w14:paraId="3E576BD6"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43 (69.4%)</w:t>
            </w:r>
          </w:p>
        </w:tc>
        <w:tc>
          <w:tcPr>
            <w:tcW w:w="1939" w:type="dxa"/>
            <w:vAlign w:val="center"/>
          </w:tcPr>
          <w:p w14:paraId="3AD0B77A"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41 (70.7%)</w:t>
            </w:r>
          </w:p>
        </w:tc>
      </w:tr>
      <w:tr w:rsidR="00221903" w:rsidRPr="00CF568A" w14:paraId="772619D0" w14:textId="77777777" w:rsidTr="00CA78CA">
        <w:tc>
          <w:tcPr>
            <w:tcW w:w="3415" w:type="dxa"/>
            <w:vAlign w:val="center"/>
          </w:tcPr>
          <w:p w14:paraId="5F5B22BE" w14:textId="77777777" w:rsidR="00221903" w:rsidRPr="00CF568A" w:rsidRDefault="00221903" w:rsidP="00CA78CA">
            <w:pPr>
              <w:spacing w:before="80" w:after="80" w:line="480" w:lineRule="auto"/>
              <w:rPr>
                <w:rFonts w:ascii="Times New Roman" w:hAnsi="Times New Roman" w:cs="Times New Roman"/>
                <w:sz w:val="24"/>
                <w:szCs w:val="24"/>
              </w:rPr>
            </w:pPr>
            <w:r w:rsidRPr="00CF568A">
              <w:rPr>
                <w:rFonts w:ascii="Times New Roman" w:hAnsi="Times New Roman" w:cs="Times New Roman"/>
                <w:sz w:val="24"/>
                <w:szCs w:val="24"/>
              </w:rPr>
              <w:t>Less guideline-concordant (aspiration pneumonia) (0 points), n (%)</w:t>
            </w:r>
          </w:p>
        </w:tc>
        <w:tc>
          <w:tcPr>
            <w:tcW w:w="2057" w:type="dxa"/>
            <w:vAlign w:val="center"/>
          </w:tcPr>
          <w:p w14:paraId="4650B4F4"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2 (10.5%)</w:t>
            </w:r>
          </w:p>
        </w:tc>
        <w:tc>
          <w:tcPr>
            <w:tcW w:w="1939" w:type="dxa"/>
            <w:vAlign w:val="center"/>
          </w:tcPr>
          <w:p w14:paraId="213ADDFE"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10 (16.1%)</w:t>
            </w:r>
          </w:p>
        </w:tc>
        <w:tc>
          <w:tcPr>
            <w:tcW w:w="1939" w:type="dxa"/>
            <w:vAlign w:val="center"/>
          </w:tcPr>
          <w:p w14:paraId="6A631B95"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8 (13.8%)</w:t>
            </w:r>
          </w:p>
        </w:tc>
      </w:tr>
      <w:tr w:rsidR="00221903" w:rsidRPr="00CF568A" w14:paraId="5EF435DB" w14:textId="77777777" w:rsidTr="00CA78CA">
        <w:tc>
          <w:tcPr>
            <w:tcW w:w="3415" w:type="dxa"/>
            <w:vAlign w:val="center"/>
          </w:tcPr>
          <w:p w14:paraId="0BB935FB" w14:textId="77777777" w:rsidR="00221903" w:rsidRPr="00CF568A" w:rsidRDefault="00221903" w:rsidP="00CA78CA">
            <w:pPr>
              <w:spacing w:before="80" w:after="80" w:line="480" w:lineRule="auto"/>
              <w:rPr>
                <w:rFonts w:ascii="Times New Roman" w:hAnsi="Times New Roman" w:cs="Times New Roman"/>
                <w:sz w:val="24"/>
                <w:szCs w:val="24"/>
              </w:rPr>
            </w:pPr>
            <w:r w:rsidRPr="00CF568A">
              <w:rPr>
                <w:rFonts w:ascii="Times New Roman" w:hAnsi="Times New Roman" w:cs="Times New Roman"/>
                <w:sz w:val="24"/>
                <w:szCs w:val="24"/>
              </w:rPr>
              <w:t>Guideline-discordant (healthcare-associated pneumonia, sepsis of unclear etiology) (-1 point), n (%)</w:t>
            </w:r>
          </w:p>
        </w:tc>
        <w:tc>
          <w:tcPr>
            <w:tcW w:w="2057" w:type="dxa"/>
            <w:vAlign w:val="center"/>
          </w:tcPr>
          <w:p w14:paraId="5B588392"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1 (5.3%)</w:t>
            </w:r>
          </w:p>
        </w:tc>
        <w:tc>
          <w:tcPr>
            <w:tcW w:w="1939" w:type="dxa"/>
            <w:vAlign w:val="center"/>
          </w:tcPr>
          <w:p w14:paraId="6DBC6A61"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5 (8.1%)</w:t>
            </w:r>
          </w:p>
        </w:tc>
        <w:tc>
          <w:tcPr>
            <w:tcW w:w="1939" w:type="dxa"/>
            <w:vAlign w:val="center"/>
          </w:tcPr>
          <w:p w14:paraId="7049EC1E"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1 (1.7%)</w:t>
            </w:r>
          </w:p>
        </w:tc>
      </w:tr>
      <w:tr w:rsidR="00221903" w:rsidRPr="00CF568A" w14:paraId="266111D0" w14:textId="77777777" w:rsidTr="00CA78CA">
        <w:tc>
          <w:tcPr>
            <w:tcW w:w="9350" w:type="dxa"/>
            <w:gridSpan w:val="4"/>
            <w:vAlign w:val="center"/>
          </w:tcPr>
          <w:p w14:paraId="59C2EF3E" w14:textId="77777777" w:rsidR="00221903" w:rsidRPr="00CF568A" w:rsidRDefault="00221903" w:rsidP="00CA78CA">
            <w:pPr>
              <w:spacing w:before="80" w:after="80" w:line="480" w:lineRule="auto"/>
              <w:rPr>
                <w:rFonts w:ascii="Times New Roman" w:hAnsi="Times New Roman" w:cs="Times New Roman"/>
                <w:i/>
                <w:iCs/>
                <w:sz w:val="24"/>
                <w:szCs w:val="24"/>
              </w:rPr>
            </w:pPr>
            <w:r w:rsidRPr="00CF568A">
              <w:rPr>
                <w:rFonts w:ascii="Times New Roman" w:hAnsi="Times New Roman" w:cs="Times New Roman"/>
                <w:i/>
                <w:iCs/>
                <w:sz w:val="24"/>
                <w:szCs w:val="24"/>
              </w:rPr>
              <w:t>Which antibiotic therapy would you prescribe for this patient?</w:t>
            </w:r>
          </w:p>
        </w:tc>
      </w:tr>
      <w:tr w:rsidR="00221903" w:rsidRPr="00CF568A" w14:paraId="0A9137BB" w14:textId="77777777" w:rsidTr="00CA78CA">
        <w:tc>
          <w:tcPr>
            <w:tcW w:w="3415" w:type="dxa"/>
            <w:vAlign w:val="center"/>
          </w:tcPr>
          <w:p w14:paraId="74F52ECD" w14:textId="77777777" w:rsidR="00221903" w:rsidRPr="00CF568A" w:rsidRDefault="00221903" w:rsidP="00CA78CA">
            <w:pPr>
              <w:spacing w:before="80" w:after="80" w:line="480" w:lineRule="auto"/>
              <w:rPr>
                <w:rFonts w:ascii="Times New Roman" w:hAnsi="Times New Roman" w:cs="Times New Roman"/>
                <w:sz w:val="24"/>
                <w:szCs w:val="24"/>
              </w:rPr>
            </w:pPr>
            <w:r w:rsidRPr="00CF568A">
              <w:rPr>
                <w:rFonts w:ascii="Times New Roman" w:hAnsi="Times New Roman" w:cs="Times New Roman"/>
                <w:sz w:val="24"/>
                <w:szCs w:val="24"/>
              </w:rPr>
              <w:t>Most guideline-concordant (ceftriaxone, azithromycin, ampicillin-sulbactam, doxycycline) (+1 point), n (%)</w:t>
            </w:r>
          </w:p>
        </w:tc>
        <w:tc>
          <w:tcPr>
            <w:tcW w:w="2057" w:type="dxa"/>
            <w:vAlign w:val="center"/>
          </w:tcPr>
          <w:p w14:paraId="7D11714B"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14 (73.7%)</w:t>
            </w:r>
          </w:p>
        </w:tc>
        <w:tc>
          <w:tcPr>
            <w:tcW w:w="1939" w:type="dxa"/>
            <w:vAlign w:val="center"/>
          </w:tcPr>
          <w:p w14:paraId="21345025"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41 (66.1%)</w:t>
            </w:r>
          </w:p>
        </w:tc>
        <w:tc>
          <w:tcPr>
            <w:tcW w:w="1939" w:type="dxa"/>
            <w:vAlign w:val="center"/>
          </w:tcPr>
          <w:p w14:paraId="6EF365B1"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34 (58.6%)</w:t>
            </w:r>
          </w:p>
        </w:tc>
      </w:tr>
      <w:tr w:rsidR="00221903" w:rsidRPr="00CF568A" w14:paraId="2DBD6B4D" w14:textId="77777777" w:rsidTr="00CA78CA">
        <w:tc>
          <w:tcPr>
            <w:tcW w:w="3415" w:type="dxa"/>
            <w:vAlign w:val="center"/>
          </w:tcPr>
          <w:p w14:paraId="0013C14D" w14:textId="77777777" w:rsidR="00221903" w:rsidRPr="00CF568A" w:rsidRDefault="00221903" w:rsidP="00CA78CA">
            <w:pPr>
              <w:spacing w:before="80" w:after="80" w:line="480" w:lineRule="auto"/>
              <w:rPr>
                <w:rFonts w:ascii="Times New Roman" w:hAnsi="Times New Roman" w:cs="Times New Roman"/>
                <w:sz w:val="24"/>
                <w:szCs w:val="24"/>
              </w:rPr>
            </w:pPr>
            <w:r w:rsidRPr="00CF568A">
              <w:rPr>
                <w:rFonts w:ascii="Times New Roman" w:hAnsi="Times New Roman" w:cs="Times New Roman"/>
                <w:sz w:val="24"/>
                <w:szCs w:val="24"/>
              </w:rPr>
              <w:t>Less guideline-concordant (levofloxacin, metronidazole) (0 points), n (%)</w:t>
            </w:r>
          </w:p>
        </w:tc>
        <w:tc>
          <w:tcPr>
            <w:tcW w:w="2057" w:type="dxa"/>
            <w:vAlign w:val="center"/>
          </w:tcPr>
          <w:p w14:paraId="10EB5B93"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1 (5.3%)</w:t>
            </w:r>
          </w:p>
        </w:tc>
        <w:tc>
          <w:tcPr>
            <w:tcW w:w="1939" w:type="dxa"/>
            <w:vAlign w:val="center"/>
          </w:tcPr>
          <w:p w14:paraId="3024DD83"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15 (17.7%)</w:t>
            </w:r>
          </w:p>
        </w:tc>
        <w:tc>
          <w:tcPr>
            <w:tcW w:w="1939" w:type="dxa"/>
            <w:vAlign w:val="center"/>
          </w:tcPr>
          <w:p w14:paraId="1152BA30"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12 (20.7%)</w:t>
            </w:r>
          </w:p>
        </w:tc>
      </w:tr>
      <w:tr w:rsidR="00221903" w:rsidRPr="00CF568A" w14:paraId="40386124" w14:textId="77777777" w:rsidTr="00CA78CA">
        <w:tc>
          <w:tcPr>
            <w:tcW w:w="3415" w:type="dxa"/>
            <w:vAlign w:val="center"/>
          </w:tcPr>
          <w:p w14:paraId="56CA34B9" w14:textId="77777777" w:rsidR="00221903" w:rsidRPr="00CF568A" w:rsidRDefault="00221903" w:rsidP="00CA78CA">
            <w:pPr>
              <w:spacing w:before="80" w:after="80" w:line="480" w:lineRule="auto"/>
              <w:rPr>
                <w:rFonts w:ascii="Times New Roman" w:hAnsi="Times New Roman" w:cs="Times New Roman"/>
                <w:sz w:val="24"/>
                <w:szCs w:val="24"/>
              </w:rPr>
            </w:pPr>
            <w:r w:rsidRPr="00CF568A">
              <w:rPr>
                <w:rFonts w:ascii="Times New Roman" w:hAnsi="Times New Roman" w:cs="Times New Roman"/>
                <w:sz w:val="24"/>
                <w:szCs w:val="24"/>
              </w:rPr>
              <w:t xml:space="preserve">Guideline-discordant (vancomycin, piperacillin-tazobactam, cefepime, linezolid, </w:t>
            </w:r>
            <w:r w:rsidRPr="00CF568A">
              <w:rPr>
                <w:rFonts w:ascii="Times New Roman" w:hAnsi="Times New Roman" w:cs="Times New Roman"/>
                <w:sz w:val="24"/>
                <w:szCs w:val="24"/>
              </w:rPr>
              <w:lastRenderedPageBreak/>
              <w:t>meropenem, no antibiotic) (-1 point), n (%)</w:t>
            </w:r>
          </w:p>
        </w:tc>
        <w:tc>
          <w:tcPr>
            <w:tcW w:w="2057" w:type="dxa"/>
            <w:vAlign w:val="center"/>
          </w:tcPr>
          <w:p w14:paraId="26558F8D"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lastRenderedPageBreak/>
              <w:t>3 (15.8%)</w:t>
            </w:r>
          </w:p>
        </w:tc>
        <w:tc>
          <w:tcPr>
            <w:tcW w:w="1939" w:type="dxa"/>
            <w:vAlign w:val="center"/>
          </w:tcPr>
          <w:p w14:paraId="3B70CEBE"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6 (9.7%)</w:t>
            </w:r>
          </w:p>
        </w:tc>
        <w:tc>
          <w:tcPr>
            <w:tcW w:w="1939" w:type="dxa"/>
            <w:vAlign w:val="center"/>
          </w:tcPr>
          <w:p w14:paraId="71B8238A"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4 (6.9%)</w:t>
            </w:r>
          </w:p>
        </w:tc>
      </w:tr>
      <w:tr w:rsidR="00221903" w:rsidRPr="00CF568A" w14:paraId="0EB25165" w14:textId="77777777" w:rsidTr="00CA78CA">
        <w:tc>
          <w:tcPr>
            <w:tcW w:w="9350" w:type="dxa"/>
            <w:gridSpan w:val="4"/>
            <w:vAlign w:val="center"/>
          </w:tcPr>
          <w:p w14:paraId="4DF36D3B" w14:textId="77777777" w:rsidR="00221903" w:rsidRPr="00CF568A" w:rsidRDefault="00221903" w:rsidP="00CA78CA">
            <w:pPr>
              <w:spacing w:before="80" w:after="80" w:line="480" w:lineRule="auto"/>
              <w:rPr>
                <w:rFonts w:ascii="Times New Roman" w:hAnsi="Times New Roman" w:cs="Times New Roman"/>
                <w:i/>
                <w:iCs/>
                <w:sz w:val="24"/>
                <w:szCs w:val="24"/>
              </w:rPr>
            </w:pPr>
            <w:r w:rsidRPr="00CF568A">
              <w:rPr>
                <w:rFonts w:ascii="Times New Roman" w:hAnsi="Times New Roman" w:cs="Times New Roman"/>
                <w:i/>
                <w:iCs/>
                <w:sz w:val="24"/>
                <w:szCs w:val="24"/>
              </w:rPr>
              <w:t>It is now day 3 since the patient was admitted and he is doing well. The patient has negative blood cultures, but a high-quality sputum culture grew Streptococcus pneumoniae that is susceptible to penicillin, azithromycin, and levofloxacin.  Which oral antibiotic(s) would you prescribe at this point?</w:t>
            </w:r>
          </w:p>
        </w:tc>
      </w:tr>
      <w:tr w:rsidR="00221903" w:rsidRPr="00CF568A" w14:paraId="067CF3ED" w14:textId="77777777" w:rsidTr="00CA78CA">
        <w:tc>
          <w:tcPr>
            <w:tcW w:w="3415" w:type="dxa"/>
            <w:vAlign w:val="center"/>
          </w:tcPr>
          <w:p w14:paraId="69E944D0" w14:textId="77777777" w:rsidR="00221903" w:rsidRPr="00CF568A" w:rsidRDefault="00221903" w:rsidP="00CA78CA">
            <w:pPr>
              <w:spacing w:before="80" w:after="80" w:line="480" w:lineRule="auto"/>
              <w:rPr>
                <w:rFonts w:ascii="Times New Roman" w:hAnsi="Times New Roman" w:cs="Times New Roman"/>
                <w:sz w:val="24"/>
                <w:szCs w:val="24"/>
              </w:rPr>
            </w:pPr>
            <w:r w:rsidRPr="00CF568A">
              <w:rPr>
                <w:rFonts w:ascii="Times New Roman" w:hAnsi="Times New Roman" w:cs="Times New Roman"/>
                <w:sz w:val="24"/>
                <w:szCs w:val="24"/>
              </w:rPr>
              <w:t>Most guideline-concordant (amoxicillin, penicillin, cephalexin) (+1 point), n (</w:t>
            </w:r>
            <w:proofErr w:type="gramStart"/>
            <w:r w:rsidRPr="00CF568A">
              <w:rPr>
                <w:rFonts w:ascii="Times New Roman" w:hAnsi="Times New Roman" w:cs="Times New Roman"/>
                <w:sz w:val="24"/>
                <w:szCs w:val="24"/>
              </w:rPr>
              <w:t>%)*</w:t>
            </w:r>
            <w:proofErr w:type="gramEnd"/>
          </w:p>
        </w:tc>
        <w:tc>
          <w:tcPr>
            <w:tcW w:w="2057" w:type="dxa"/>
            <w:vAlign w:val="center"/>
          </w:tcPr>
          <w:p w14:paraId="3501D773"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14 (73.7%)</w:t>
            </w:r>
          </w:p>
        </w:tc>
        <w:tc>
          <w:tcPr>
            <w:tcW w:w="1939" w:type="dxa"/>
            <w:vAlign w:val="center"/>
          </w:tcPr>
          <w:p w14:paraId="22B3223B"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21 (33.9%)</w:t>
            </w:r>
          </w:p>
        </w:tc>
        <w:tc>
          <w:tcPr>
            <w:tcW w:w="1939" w:type="dxa"/>
            <w:vAlign w:val="center"/>
          </w:tcPr>
          <w:p w14:paraId="4D3507E6"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19 (32.8%)</w:t>
            </w:r>
          </w:p>
        </w:tc>
      </w:tr>
      <w:tr w:rsidR="00221903" w:rsidRPr="00CF568A" w14:paraId="5354B36D" w14:textId="77777777" w:rsidTr="00CA78CA">
        <w:tc>
          <w:tcPr>
            <w:tcW w:w="3415" w:type="dxa"/>
            <w:vAlign w:val="center"/>
          </w:tcPr>
          <w:p w14:paraId="02A677C2" w14:textId="77777777" w:rsidR="00221903" w:rsidRPr="00CF568A" w:rsidRDefault="00221903" w:rsidP="00CA78CA">
            <w:pPr>
              <w:spacing w:before="80" w:after="80" w:line="480" w:lineRule="auto"/>
              <w:rPr>
                <w:rFonts w:ascii="Times New Roman" w:hAnsi="Times New Roman" w:cs="Times New Roman"/>
                <w:sz w:val="24"/>
                <w:szCs w:val="24"/>
              </w:rPr>
            </w:pPr>
            <w:r w:rsidRPr="00CF568A">
              <w:rPr>
                <w:rFonts w:ascii="Times New Roman" w:hAnsi="Times New Roman" w:cs="Times New Roman"/>
                <w:sz w:val="24"/>
                <w:szCs w:val="24"/>
              </w:rPr>
              <w:t>Less guideline-concordant (amoxicillin-clavulanate, azithromycin, clindamycin, doxycycline, levofloxacin, cefdinir) (0 points), n (%)</w:t>
            </w:r>
          </w:p>
        </w:tc>
        <w:tc>
          <w:tcPr>
            <w:tcW w:w="2057" w:type="dxa"/>
            <w:vAlign w:val="center"/>
          </w:tcPr>
          <w:p w14:paraId="474D0AD8"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4 (21.1%)</w:t>
            </w:r>
          </w:p>
        </w:tc>
        <w:tc>
          <w:tcPr>
            <w:tcW w:w="1939" w:type="dxa"/>
            <w:vAlign w:val="center"/>
          </w:tcPr>
          <w:p w14:paraId="71A5D13E"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37 (59.7%)</w:t>
            </w:r>
          </w:p>
        </w:tc>
        <w:tc>
          <w:tcPr>
            <w:tcW w:w="1939" w:type="dxa"/>
            <w:vAlign w:val="center"/>
          </w:tcPr>
          <w:p w14:paraId="01592107"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31 (53.4%)</w:t>
            </w:r>
          </w:p>
        </w:tc>
      </w:tr>
      <w:tr w:rsidR="00221903" w:rsidRPr="00CF568A" w14:paraId="1E0BED6B" w14:textId="77777777" w:rsidTr="00CA78CA">
        <w:tc>
          <w:tcPr>
            <w:tcW w:w="3415" w:type="dxa"/>
            <w:vAlign w:val="center"/>
          </w:tcPr>
          <w:p w14:paraId="73744B0A" w14:textId="77777777" w:rsidR="00221903" w:rsidRPr="00CF568A" w:rsidRDefault="00221903" w:rsidP="00CA78CA">
            <w:pPr>
              <w:spacing w:before="80" w:after="80" w:line="480" w:lineRule="auto"/>
              <w:rPr>
                <w:rFonts w:ascii="Times New Roman" w:hAnsi="Times New Roman" w:cs="Times New Roman"/>
                <w:sz w:val="24"/>
                <w:szCs w:val="24"/>
              </w:rPr>
            </w:pPr>
            <w:r w:rsidRPr="00CF568A">
              <w:rPr>
                <w:rFonts w:ascii="Times New Roman" w:hAnsi="Times New Roman" w:cs="Times New Roman"/>
                <w:sz w:val="24"/>
                <w:szCs w:val="24"/>
              </w:rPr>
              <w:t>Guideline-discordant (linezolid, trimethoprim-sulfamethoxazole, no antibiotic) (-1 point), n (%)</w:t>
            </w:r>
          </w:p>
        </w:tc>
        <w:tc>
          <w:tcPr>
            <w:tcW w:w="2057" w:type="dxa"/>
            <w:vAlign w:val="center"/>
          </w:tcPr>
          <w:p w14:paraId="4F6FC042"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0 (0%)</w:t>
            </w:r>
          </w:p>
        </w:tc>
        <w:tc>
          <w:tcPr>
            <w:tcW w:w="1939" w:type="dxa"/>
            <w:vAlign w:val="center"/>
          </w:tcPr>
          <w:p w14:paraId="0D2F871C"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0 (0%)</w:t>
            </w:r>
          </w:p>
        </w:tc>
        <w:tc>
          <w:tcPr>
            <w:tcW w:w="1939" w:type="dxa"/>
            <w:vAlign w:val="center"/>
          </w:tcPr>
          <w:p w14:paraId="735EFC8F"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0 (0%)</w:t>
            </w:r>
          </w:p>
        </w:tc>
      </w:tr>
      <w:tr w:rsidR="00221903" w:rsidRPr="00CF568A" w14:paraId="70444EF3" w14:textId="77777777" w:rsidTr="00CA78CA">
        <w:tc>
          <w:tcPr>
            <w:tcW w:w="9350" w:type="dxa"/>
            <w:gridSpan w:val="4"/>
            <w:vAlign w:val="center"/>
          </w:tcPr>
          <w:p w14:paraId="4A9FD1E6" w14:textId="77777777" w:rsidR="00221903" w:rsidRPr="00CF568A" w:rsidRDefault="00221903" w:rsidP="00CA78CA">
            <w:pPr>
              <w:spacing w:before="80" w:after="80" w:line="480" w:lineRule="auto"/>
              <w:rPr>
                <w:rFonts w:ascii="Times New Roman" w:hAnsi="Times New Roman" w:cs="Times New Roman"/>
                <w:i/>
                <w:iCs/>
                <w:sz w:val="24"/>
                <w:szCs w:val="24"/>
              </w:rPr>
            </w:pPr>
            <w:r w:rsidRPr="00CF568A">
              <w:rPr>
                <w:rFonts w:ascii="Times New Roman" w:hAnsi="Times New Roman" w:cs="Times New Roman"/>
                <w:i/>
                <w:iCs/>
                <w:sz w:val="24"/>
                <w:szCs w:val="24"/>
              </w:rPr>
              <w:t>How many total days of antibiotic therapy would you utilize for this patient?</w:t>
            </w:r>
          </w:p>
        </w:tc>
      </w:tr>
      <w:tr w:rsidR="00221903" w:rsidRPr="00CF568A" w14:paraId="7B95F708" w14:textId="77777777" w:rsidTr="00CA78CA">
        <w:tc>
          <w:tcPr>
            <w:tcW w:w="3415" w:type="dxa"/>
            <w:vAlign w:val="center"/>
          </w:tcPr>
          <w:p w14:paraId="0795BDC9" w14:textId="77777777" w:rsidR="00221903" w:rsidRPr="00CF568A" w:rsidRDefault="00221903" w:rsidP="00CA78CA">
            <w:pPr>
              <w:spacing w:before="80" w:after="80" w:line="480" w:lineRule="auto"/>
              <w:rPr>
                <w:rFonts w:ascii="Times New Roman" w:hAnsi="Times New Roman" w:cs="Times New Roman"/>
                <w:sz w:val="24"/>
                <w:szCs w:val="24"/>
              </w:rPr>
            </w:pPr>
            <w:r w:rsidRPr="00CF568A">
              <w:rPr>
                <w:rFonts w:ascii="Times New Roman" w:hAnsi="Times New Roman" w:cs="Times New Roman"/>
                <w:sz w:val="24"/>
                <w:szCs w:val="24"/>
              </w:rPr>
              <w:t>Most guideline-concordant (5-7 days) (+1 point), n (%)</w:t>
            </w:r>
          </w:p>
        </w:tc>
        <w:tc>
          <w:tcPr>
            <w:tcW w:w="2057" w:type="dxa"/>
            <w:vAlign w:val="center"/>
          </w:tcPr>
          <w:p w14:paraId="169E8517"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17 (89.5%)</w:t>
            </w:r>
          </w:p>
        </w:tc>
        <w:tc>
          <w:tcPr>
            <w:tcW w:w="1939" w:type="dxa"/>
            <w:vAlign w:val="center"/>
          </w:tcPr>
          <w:p w14:paraId="5A647841"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55 (88.7%)</w:t>
            </w:r>
          </w:p>
        </w:tc>
        <w:tc>
          <w:tcPr>
            <w:tcW w:w="1939" w:type="dxa"/>
            <w:vAlign w:val="center"/>
          </w:tcPr>
          <w:p w14:paraId="5B663898"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40 (69%)</w:t>
            </w:r>
          </w:p>
        </w:tc>
      </w:tr>
      <w:tr w:rsidR="00221903" w:rsidRPr="00CF568A" w14:paraId="61CFCD9E" w14:textId="77777777" w:rsidTr="00CA78CA">
        <w:tc>
          <w:tcPr>
            <w:tcW w:w="3415" w:type="dxa"/>
            <w:vAlign w:val="center"/>
          </w:tcPr>
          <w:p w14:paraId="4332E99D" w14:textId="77777777" w:rsidR="00221903" w:rsidRPr="00CF568A" w:rsidRDefault="00221903" w:rsidP="00CA78CA">
            <w:pPr>
              <w:spacing w:before="80" w:after="80" w:line="480" w:lineRule="auto"/>
              <w:rPr>
                <w:rFonts w:ascii="Times New Roman" w:hAnsi="Times New Roman" w:cs="Times New Roman"/>
                <w:sz w:val="24"/>
                <w:szCs w:val="24"/>
              </w:rPr>
            </w:pPr>
            <w:r w:rsidRPr="00CF568A">
              <w:rPr>
                <w:rFonts w:ascii="Times New Roman" w:hAnsi="Times New Roman" w:cs="Times New Roman"/>
                <w:sz w:val="24"/>
                <w:szCs w:val="24"/>
              </w:rPr>
              <w:lastRenderedPageBreak/>
              <w:t>Less guideline-concordant (8-14 days) (0 points), n (%)</w:t>
            </w:r>
          </w:p>
        </w:tc>
        <w:tc>
          <w:tcPr>
            <w:tcW w:w="2057" w:type="dxa"/>
            <w:vAlign w:val="center"/>
          </w:tcPr>
          <w:p w14:paraId="133901AE"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0 (0%)</w:t>
            </w:r>
          </w:p>
        </w:tc>
        <w:tc>
          <w:tcPr>
            <w:tcW w:w="1939" w:type="dxa"/>
            <w:vAlign w:val="center"/>
          </w:tcPr>
          <w:p w14:paraId="0D023B4B"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3 (4.8%)</w:t>
            </w:r>
          </w:p>
        </w:tc>
        <w:tc>
          <w:tcPr>
            <w:tcW w:w="1939" w:type="dxa"/>
            <w:vAlign w:val="center"/>
          </w:tcPr>
          <w:p w14:paraId="29A95FE0"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8 (13.8%)</w:t>
            </w:r>
          </w:p>
        </w:tc>
      </w:tr>
      <w:tr w:rsidR="00221903" w:rsidRPr="00CF568A" w14:paraId="54F70567" w14:textId="77777777" w:rsidTr="00CA78CA">
        <w:tc>
          <w:tcPr>
            <w:tcW w:w="3415" w:type="dxa"/>
            <w:vAlign w:val="center"/>
          </w:tcPr>
          <w:p w14:paraId="7C101DE8" w14:textId="77777777" w:rsidR="00221903" w:rsidRPr="00CF568A" w:rsidRDefault="00221903" w:rsidP="00CA78CA">
            <w:pPr>
              <w:spacing w:before="80" w:after="80" w:line="480" w:lineRule="auto"/>
              <w:rPr>
                <w:rFonts w:ascii="Times New Roman" w:hAnsi="Times New Roman" w:cs="Times New Roman"/>
                <w:sz w:val="24"/>
                <w:szCs w:val="24"/>
              </w:rPr>
            </w:pPr>
            <w:r w:rsidRPr="00CF568A">
              <w:rPr>
                <w:rFonts w:ascii="Times New Roman" w:hAnsi="Times New Roman" w:cs="Times New Roman"/>
                <w:sz w:val="24"/>
                <w:szCs w:val="24"/>
              </w:rPr>
              <w:t>Guideline-discordant (0-4 days) (-1 point), n (%)</w:t>
            </w:r>
          </w:p>
        </w:tc>
        <w:tc>
          <w:tcPr>
            <w:tcW w:w="2057" w:type="dxa"/>
            <w:vAlign w:val="center"/>
          </w:tcPr>
          <w:p w14:paraId="1158429F"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0 (0%)</w:t>
            </w:r>
          </w:p>
        </w:tc>
        <w:tc>
          <w:tcPr>
            <w:tcW w:w="1939" w:type="dxa"/>
            <w:vAlign w:val="center"/>
          </w:tcPr>
          <w:p w14:paraId="020092A0"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0 (0%)</w:t>
            </w:r>
          </w:p>
        </w:tc>
        <w:tc>
          <w:tcPr>
            <w:tcW w:w="1939" w:type="dxa"/>
            <w:vAlign w:val="center"/>
          </w:tcPr>
          <w:p w14:paraId="6B05B4D3"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0 (0%)</w:t>
            </w:r>
          </w:p>
        </w:tc>
      </w:tr>
      <w:tr w:rsidR="00221903" w:rsidRPr="00CF568A" w14:paraId="1D2E1FFA" w14:textId="77777777" w:rsidTr="00CA78CA">
        <w:tc>
          <w:tcPr>
            <w:tcW w:w="3415" w:type="dxa"/>
          </w:tcPr>
          <w:p w14:paraId="43B56B0D" w14:textId="77777777" w:rsidR="00221903" w:rsidRPr="00CF568A" w:rsidRDefault="00221903" w:rsidP="00CA78CA">
            <w:pPr>
              <w:spacing w:before="80" w:after="80" w:line="480" w:lineRule="auto"/>
              <w:rPr>
                <w:rFonts w:ascii="Times New Roman" w:hAnsi="Times New Roman" w:cs="Times New Roman"/>
                <w:sz w:val="24"/>
                <w:szCs w:val="24"/>
              </w:rPr>
            </w:pPr>
          </w:p>
        </w:tc>
        <w:tc>
          <w:tcPr>
            <w:tcW w:w="2057" w:type="dxa"/>
            <w:vAlign w:val="center"/>
          </w:tcPr>
          <w:p w14:paraId="21D8B561" w14:textId="77777777" w:rsidR="00221903" w:rsidRPr="00CF568A" w:rsidRDefault="00221903" w:rsidP="00CA78CA">
            <w:pPr>
              <w:spacing w:before="80" w:after="80" w:line="480" w:lineRule="auto"/>
              <w:jc w:val="center"/>
              <w:rPr>
                <w:rFonts w:ascii="Times New Roman" w:hAnsi="Times New Roman" w:cs="Times New Roman"/>
                <w:sz w:val="24"/>
                <w:szCs w:val="24"/>
              </w:rPr>
            </w:pPr>
          </w:p>
        </w:tc>
        <w:tc>
          <w:tcPr>
            <w:tcW w:w="1939" w:type="dxa"/>
            <w:vAlign w:val="center"/>
          </w:tcPr>
          <w:p w14:paraId="11B3140C" w14:textId="77777777" w:rsidR="00221903" w:rsidRPr="00CF568A" w:rsidRDefault="00221903" w:rsidP="00CA78CA">
            <w:pPr>
              <w:spacing w:before="80" w:after="80" w:line="480" w:lineRule="auto"/>
              <w:jc w:val="center"/>
              <w:rPr>
                <w:rFonts w:ascii="Times New Roman" w:hAnsi="Times New Roman" w:cs="Times New Roman"/>
                <w:sz w:val="24"/>
                <w:szCs w:val="24"/>
              </w:rPr>
            </w:pPr>
          </w:p>
        </w:tc>
        <w:tc>
          <w:tcPr>
            <w:tcW w:w="1939" w:type="dxa"/>
            <w:vAlign w:val="center"/>
          </w:tcPr>
          <w:p w14:paraId="1E14C09E" w14:textId="77777777" w:rsidR="00221903" w:rsidRPr="00CF568A" w:rsidRDefault="00221903" w:rsidP="00CA78CA">
            <w:pPr>
              <w:spacing w:before="80" w:after="80" w:line="480" w:lineRule="auto"/>
              <w:jc w:val="center"/>
              <w:rPr>
                <w:rFonts w:ascii="Times New Roman" w:hAnsi="Times New Roman" w:cs="Times New Roman"/>
                <w:sz w:val="24"/>
                <w:szCs w:val="24"/>
              </w:rPr>
            </w:pPr>
          </w:p>
        </w:tc>
      </w:tr>
      <w:tr w:rsidR="00221903" w:rsidRPr="00CF568A" w14:paraId="0924C611" w14:textId="77777777" w:rsidTr="00CA78CA">
        <w:tc>
          <w:tcPr>
            <w:tcW w:w="9350" w:type="dxa"/>
            <w:gridSpan w:val="4"/>
            <w:vAlign w:val="center"/>
          </w:tcPr>
          <w:p w14:paraId="0D8D849A" w14:textId="77777777" w:rsidR="00221903" w:rsidRPr="00CF568A" w:rsidRDefault="00221903" w:rsidP="00CA78CA">
            <w:pPr>
              <w:spacing w:before="80" w:after="80" w:line="480" w:lineRule="auto"/>
              <w:rPr>
                <w:rFonts w:ascii="Times New Roman" w:hAnsi="Times New Roman" w:cs="Times New Roman"/>
                <w:sz w:val="24"/>
                <w:szCs w:val="24"/>
              </w:rPr>
            </w:pPr>
            <w:r w:rsidRPr="00CF568A">
              <w:rPr>
                <w:rFonts w:ascii="Times New Roman" w:hAnsi="Times New Roman" w:cs="Times New Roman"/>
                <w:i/>
                <w:iCs/>
                <w:sz w:val="24"/>
                <w:szCs w:val="24"/>
                <w:u w:val="single"/>
              </w:rPr>
              <w:t>Scenario 3:</w:t>
            </w:r>
            <w:r w:rsidRPr="00CF568A">
              <w:rPr>
                <w:rFonts w:ascii="Times New Roman" w:hAnsi="Times New Roman" w:cs="Times New Roman"/>
                <w:i/>
                <w:iCs/>
                <w:sz w:val="24"/>
                <w:szCs w:val="24"/>
              </w:rPr>
              <w:t xml:space="preserve"> A </w:t>
            </w:r>
            <w:proofErr w:type="gramStart"/>
            <w:r w:rsidRPr="00CF568A">
              <w:rPr>
                <w:rFonts w:ascii="Times New Roman" w:hAnsi="Times New Roman" w:cs="Times New Roman"/>
                <w:i/>
                <w:iCs/>
                <w:sz w:val="24"/>
                <w:szCs w:val="24"/>
              </w:rPr>
              <w:t>72 year old</w:t>
            </w:r>
            <w:proofErr w:type="gramEnd"/>
            <w:r w:rsidRPr="00CF568A">
              <w:rPr>
                <w:rFonts w:ascii="Times New Roman" w:hAnsi="Times New Roman" w:cs="Times New Roman"/>
                <w:i/>
                <w:iCs/>
                <w:sz w:val="24"/>
                <w:szCs w:val="24"/>
              </w:rPr>
              <w:t xml:space="preserve"> male with diabetes mellitus controlled on oral medications has a urinalysis sent upon admission for chest pain.  He denies frequency, urgency, flank pain, or fever but notes chronic nocturia (~2x/night, unchanged over the past several years).  The urinalysis shows 17 WBCs/HPF, 5 RBCs/HPF, and positive leukocyte esterase and nitrite.  A urine culture is reflexively sent that grows &gt;100,000 colonies of E. coli that is susceptible to all β-lactams, cephalosporins, fluoroquinolones, trimethoprim-sulfamethoxazole, and nitrofurantoin.</w:t>
            </w:r>
          </w:p>
        </w:tc>
      </w:tr>
      <w:tr w:rsidR="00221903" w:rsidRPr="00CF568A" w14:paraId="3EAD2D25" w14:textId="77777777" w:rsidTr="00CA78CA">
        <w:tc>
          <w:tcPr>
            <w:tcW w:w="9350" w:type="dxa"/>
            <w:gridSpan w:val="4"/>
            <w:vAlign w:val="center"/>
          </w:tcPr>
          <w:p w14:paraId="62CF1D8A" w14:textId="77777777" w:rsidR="00221903" w:rsidRPr="00CF568A" w:rsidRDefault="00221903" w:rsidP="00CA78CA">
            <w:pPr>
              <w:spacing w:before="80" w:after="80" w:line="480" w:lineRule="auto"/>
              <w:rPr>
                <w:rFonts w:ascii="Times New Roman" w:hAnsi="Times New Roman" w:cs="Times New Roman"/>
                <w:i/>
                <w:iCs/>
                <w:sz w:val="24"/>
                <w:szCs w:val="24"/>
              </w:rPr>
            </w:pPr>
            <w:r w:rsidRPr="00CF568A">
              <w:rPr>
                <w:rFonts w:ascii="Times New Roman" w:hAnsi="Times New Roman" w:cs="Times New Roman"/>
                <w:i/>
                <w:iCs/>
                <w:sz w:val="24"/>
                <w:szCs w:val="24"/>
              </w:rPr>
              <w:t>How would you describe the clinical presentation described above?</w:t>
            </w:r>
          </w:p>
        </w:tc>
      </w:tr>
      <w:tr w:rsidR="00221903" w:rsidRPr="00CF568A" w14:paraId="147BCC59" w14:textId="77777777" w:rsidTr="00CA78CA">
        <w:tc>
          <w:tcPr>
            <w:tcW w:w="3415" w:type="dxa"/>
            <w:vAlign w:val="center"/>
          </w:tcPr>
          <w:p w14:paraId="14A9C181" w14:textId="77777777" w:rsidR="00221903" w:rsidRPr="00CF568A" w:rsidRDefault="00221903" w:rsidP="00CA78CA">
            <w:pPr>
              <w:spacing w:before="80" w:after="80" w:line="480" w:lineRule="auto"/>
              <w:rPr>
                <w:rFonts w:ascii="Times New Roman" w:hAnsi="Times New Roman" w:cs="Times New Roman"/>
                <w:sz w:val="24"/>
                <w:szCs w:val="24"/>
              </w:rPr>
            </w:pPr>
            <w:r w:rsidRPr="00CF568A">
              <w:rPr>
                <w:rFonts w:ascii="Times New Roman" w:hAnsi="Times New Roman" w:cs="Times New Roman"/>
                <w:sz w:val="24"/>
                <w:szCs w:val="24"/>
              </w:rPr>
              <w:t>Most guideline-concordant (asymptomatic bacteriuria) (+1 point), n (%)</w:t>
            </w:r>
          </w:p>
        </w:tc>
        <w:tc>
          <w:tcPr>
            <w:tcW w:w="2057" w:type="dxa"/>
            <w:vAlign w:val="center"/>
          </w:tcPr>
          <w:p w14:paraId="4F713C44"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15 (79%)</w:t>
            </w:r>
          </w:p>
        </w:tc>
        <w:tc>
          <w:tcPr>
            <w:tcW w:w="1939" w:type="dxa"/>
            <w:vAlign w:val="center"/>
          </w:tcPr>
          <w:p w14:paraId="4621E4B4"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47 (75.8%)</w:t>
            </w:r>
          </w:p>
        </w:tc>
        <w:tc>
          <w:tcPr>
            <w:tcW w:w="1939" w:type="dxa"/>
            <w:vAlign w:val="center"/>
          </w:tcPr>
          <w:p w14:paraId="1D4FABBA"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38 (65.5%)</w:t>
            </w:r>
          </w:p>
        </w:tc>
      </w:tr>
      <w:tr w:rsidR="00221903" w:rsidRPr="00CF568A" w14:paraId="7EFE6D46" w14:textId="77777777" w:rsidTr="00CA78CA">
        <w:tc>
          <w:tcPr>
            <w:tcW w:w="3415" w:type="dxa"/>
            <w:vAlign w:val="center"/>
          </w:tcPr>
          <w:p w14:paraId="6C5B3AA3" w14:textId="77777777" w:rsidR="00221903" w:rsidRPr="00CF568A" w:rsidRDefault="00221903" w:rsidP="00CA78CA">
            <w:pPr>
              <w:spacing w:before="80" w:after="80" w:line="480" w:lineRule="auto"/>
              <w:rPr>
                <w:rFonts w:ascii="Times New Roman" w:hAnsi="Times New Roman" w:cs="Times New Roman"/>
                <w:sz w:val="24"/>
                <w:szCs w:val="24"/>
              </w:rPr>
            </w:pPr>
            <w:r w:rsidRPr="00CF568A">
              <w:rPr>
                <w:rFonts w:ascii="Times New Roman" w:hAnsi="Times New Roman" w:cs="Times New Roman"/>
                <w:sz w:val="24"/>
                <w:szCs w:val="24"/>
              </w:rPr>
              <w:t>Guideline-discordant (uncomplicated urinary tract infection, complicated urinary tract infection) (-1 point), n (%)</w:t>
            </w:r>
          </w:p>
        </w:tc>
        <w:tc>
          <w:tcPr>
            <w:tcW w:w="2057" w:type="dxa"/>
            <w:vAlign w:val="center"/>
          </w:tcPr>
          <w:p w14:paraId="02E563EC"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3 (15.8%)</w:t>
            </w:r>
          </w:p>
        </w:tc>
        <w:tc>
          <w:tcPr>
            <w:tcW w:w="1939" w:type="dxa"/>
            <w:vAlign w:val="center"/>
          </w:tcPr>
          <w:p w14:paraId="35370D02"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12 (19.4%)</w:t>
            </w:r>
          </w:p>
        </w:tc>
        <w:tc>
          <w:tcPr>
            <w:tcW w:w="1939" w:type="dxa"/>
            <w:vAlign w:val="center"/>
          </w:tcPr>
          <w:p w14:paraId="1BFAC904"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14 (24.1%)</w:t>
            </w:r>
          </w:p>
        </w:tc>
      </w:tr>
      <w:tr w:rsidR="00221903" w:rsidRPr="00CF568A" w14:paraId="4EF690E8" w14:textId="77777777" w:rsidTr="00CA78CA">
        <w:tc>
          <w:tcPr>
            <w:tcW w:w="9350" w:type="dxa"/>
            <w:gridSpan w:val="4"/>
            <w:vAlign w:val="center"/>
          </w:tcPr>
          <w:p w14:paraId="01B319EF" w14:textId="77777777" w:rsidR="00221903" w:rsidRPr="00CF568A" w:rsidRDefault="00221903" w:rsidP="00CA78CA">
            <w:pPr>
              <w:spacing w:before="80" w:after="80" w:line="480" w:lineRule="auto"/>
              <w:rPr>
                <w:rFonts w:ascii="Times New Roman" w:hAnsi="Times New Roman" w:cs="Times New Roman"/>
                <w:i/>
                <w:iCs/>
                <w:sz w:val="24"/>
                <w:szCs w:val="24"/>
              </w:rPr>
            </w:pPr>
            <w:r w:rsidRPr="00CF568A">
              <w:rPr>
                <w:rFonts w:ascii="Times New Roman" w:hAnsi="Times New Roman" w:cs="Times New Roman"/>
                <w:i/>
                <w:iCs/>
                <w:sz w:val="24"/>
                <w:szCs w:val="24"/>
              </w:rPr>
              <w:lastRenderedPageBreak/>
              <w:t>Which antibiotic would you prescribe for this patient?</w:t>
            </w:r>
          </w:p>
        </w:tc>
      </w:tr>
      <w:tr w:rsidR="00221903" w:rsidRPr="00CF568A" w14:paraId="17595605" w14:textId="77777777" w:rsidTr="00CA78CA">
        <w:tc>
          <w:tcPr>
            <w:tcW w:w="3415" w:type="dxa"/>
            <w:vAlign w:val="center"/>
          </w:tcPr>
          <w:p w14:paraId="6421FF21" w14:textId="77777777" w:rsidR="00221903" w:rsidRPr="00CF568A" w:rsidRDefault="00221903" w:rsidP="00CA78CA">
            <w:pPr>
              <w:spacing w:before="80" w:after="80" w:line="480" w:lineRule="auto"/>
              <w:rPr>
                <w:rFonts w:ascii="Times New Roman" w:hAnsi="Times New Roman" w:cs="Times New Roman"/>
                <w:sz w:val="24"/>
                <w:szCs w:val="24"/>
              </w:rPr>
            </w:pPr>
            <w:r w:rsidRPr="00CF568A">
              <w:rPr>
                <w:rFonts w:ascii="Times New Roman" w:hAnsi="Times New Roman" w:cs="Times New Roman"/>
                <w:sz w:val="24"/>
                <w:szCs w:val="24"/>
              </w:rPr>
              <w:t>Most guideline-concordant (no antibiotic) (+1 point), n (</w:t>
            </w:r>
            <w:proofErr w:type="gramStart"/>
            <w:r w:rsidRPr="00CF568A">
              <w:rPr>
                <w:rFonts w:ascii="Times New Roman" w:hAnsi="Times New Roman" w:cs="Times New Roman"/>
                <w:sz w:val="24"/>
                <w:szCs w:val="24"/>
              </w:rPr>
              <w:t>%)*</w:t>
            </w:r>
            <w:proofErr w:type="gramEnd"/>
          </w:p>
        </w:tc>
        <w:tc>
          <w:tcPr>
            <w:tcW w:w="2057" w:type="dxa"/>
            <w:vAlign w:val="center"/>
          </w:tcPr>
          <w:p w14:paraId="07458695"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15 (79%)</w:t>
            </w:r>
          </w:p>
        </w:tc>
        <w:tc>
          <w:tcPr>
            <w:tcW w:w="1939" w:type="dxa"/>
            <w:vAlign w:val="center"/>
          </w:tcPr>
          <w:p w14:paraId="1148C3B2"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46 (74.2%)</w:t>
            </w:r>
          </w:p>
        </w:tc>
        <w:tc>
          <w:tcPr>
            <w:tcW w:w="1939" w:type="dxa"/>
            <w:vAlign w:val="center"/>
          </w:tcPr>
          <w:p w14:paraId="2F8834AB"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35 (60.3%)</w:t>
            </w:r>
          </w:p>
        </w:tc>
      </w:tr>
      <w:tr w:rsidR="00221903" w:rsidRPr="00CF568A" w14:paraId="74F4E5A9" w14:textId="77777777" w:rsidTr="00CA78CA">
        <w:tc>
          <w:tcPr>
            <w:tcW w:w="3415" w:type="dxa"/>
            <w:vAlign w:val="center"/>
          </w:tcPr>
          <w:p w14:paraId="5945C5BF" w14:textId="77777777" w:rsidR="00221903" w:rsidRPr="00CF568A" w:rsidRDefault="00221903" w:rsidP="00CA78CA">
            <w:pPr>
              <w:spacing w:before="80" w:after="80" w:line="480" w:lineRule="auto"/>
              <w:rPr>
                <w:rFonts w:ascii="Times New Roman" w:hAnsi="Times New Roman" w:cs="Times New Roman"/>
                <w:sz w:val="24"/>
                <w:szCs w:val="24"/>
              </w:rPr>
            </w:pPr>
            <w:r w:rsidRPr="00CF568A">
              <w:rPr>
                <w:rFonts w:ascii="Times New Roman" w:hAnsi="Times New Roman" w:cs="Times New Roman"/>
                <w:sz w:val="24"/>
                <w:szCs w:val="24"/>
              </w:rPr>
              <w:t>Guideline-discordant (ciprofloxacin, trimethoprim-sulfamethoxazole, cephalexin, amoxicillin) (-1 point), n (%)</w:t>
            </w:r>
          </w:p>
        </w:tc>
        <w:tc>
          <w:tcPr>
            <w:tcW w:w="2057" w:type="dxa"/>
            <w:vAlign w:val="center"/>
          </w:tcPr>
          <w:p w14:paraId="64C0189C"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3 (15.8%)</w:t>
            </w:r>
          </w:p>
        </w:tc>
        <w:tc>
          <w:tcPr>
            <w:tcW w:w="1939" w:type="dxa"/>
            <w:vAlign w:val="center"/>
          </w:tcPr>
          <w:p w14:paraId="387D0BEA"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14 (22.5%)</w:t>
            </w:r>
          </w:p>
        </w:tc>
        <w:tc>
          <w:tcPr>
            <w:tcW w:w="1939" w:type="dxa"/>
            <w:vAlign w:val="center"/>
          </w:tcPr>
          <w:p w14:paraId="303ED16C"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15 (25.8%)</w:t>
            </w:r>
          </w:p>
        </w:tc>
      </w:tr>
      <w:tr w:rsidR="00221903" w:rsidRPr="00CF568A" w14:paraId="37167D16" w14:textId="77777777" w:rsidTr="00CA78CA">
        <w:tc>
          <w:tcPr>
            <w:tcW w:w="9350" w:type="dxa"/>
            <w:gridSpan w:val="4"/>
            <w:vAlign w:val="center"/>
          </w:tcPr>
          <w:p w14:paraId="5ABA45D9" w14:textId="77777777" w:rsidR="00221903" w:rsidRPr="00CF568A" w:rsidRDefault="00221903" w:rsidP="00CA78CA">
            <w:pPr>
              <w:spacing w:before="80" w:after="80" w:line="480" w:lineRule="auto"/>
              <w:rPr>
                <w:rFonts w:ascii="Times New Roman" w:hAnsi="Times New Roman" w:cs="Times New Roman"/>
                <w:sz w:val="24"/>
                <w:szCs w:val="24"/>
              </w:rPr>
            </w:pPr>
          </w:p>
        </w:tc>
      </w:tr>
      <w:tr w:rsidR="00221903" w:rsidRPr="00CF568A" w14:paraId="6F744159" w14:textId="77777777" w:rsidTr="00CA78CA">
        <w:tc>
          <w:tcPr>
            <w:tcW w:w="9350" w:type="dxa"/>
            <w:gridSpan w:val="4"/>
            <w:vAlign w:val="center"/>
          </w:tcPr>
          <w:p w14:paraId="74C97401" w14:textId="77777777" w:rsidR="00221903" w:rsidRPr="00CF568A" w:rsidRDefault="00221903" w:rsidP="00CA78CA">
            <w:pPr>
              <w:spacing w:before="80" w:after="80" w:line="480" w:lineRule="auto"/>
              <w:rPr>
                <w:rFonts w:ascii="Times New Roman" w:hAnsi="Times New Roman" w:cs="Times New Roman"/>
                <w:i/>
                <w:iCs/>
                <w:sz w:val="24"/>
                <w:szCs w:val="24"/>
              </w:rPr>
            </w:pPr>
            <w:r w:rsidRPr="00CF568A">
              <w:rPr>
                <w:rFonts w:ascii="Times New Roman" w:hAnsi="Times New Roman" w:cs="Times New Roman"/>
                <w:i/>
                <w:iCs/>
                <w:sz w:val="24"/>
                <w:szCs w:val="24"/>
                <w:u w:val="single"/>
              </w:rPr>
              <w:t>Scenario 4:</w:t>
            </w:r>
            <w:r w:rsidRPr="00CF568A">
              <w:rPr>
                <w:rFonts w:ascii="Times New Roman" w:hAnsi="Times New Roman" w:cs="Times New Roman"/>
                <w:i/>
                <w:iCs/>
                <w:sz w:val="24"/>
                <w:szCs w:val="24"/>
              </w:rPr>
              <w:t xml:space="preserve"> An </w:t>
            </w:r>
            <w:proofErr w:type="gramStart"/>
            <w:r w:rsidRPr="00CF568A">
              <w:rPr>
                <w:rFonts w:ascii="Times New Roman" w:hAnsi="Times New Roman" w:cs="Times New Roman"/>
                <w:i/>
                <w:iCs/>
                <w:sz w:val="24"/>
                <w:szCs w:val="24"/>
              </w:rPr>
              <w:t>87 year old</w:t>
            </w:r>
            <w:proofErr w:type="gramEnd"/>
            <w:r w:rsidRPr="00CF568A">
              <w:rPr>
                <w:rFonts w:ascii="Times New Roman" w:hAnsi="Times New Roman" w:cs="Times New Roman"/>
                <w:i/>
                <w:iCs/>
                <w:sz w:val="24"/>
                <w:szCs w:val="24"/>
              </w:rPr>
              <w:t xml:space="preserve"> male nursing home resident with mild dementia and an indwelling Foley catheter is seen for increasing agitation of one day’s duration.  He was recently prescribed diphenhydramine for pruritis.  He is afebrile with normal vital signs.  He denies flank or abdominal pain, and on physical exam, there is no abdominal or suprapubic tenderness.  Urinalysis shows 56 WBCs/HPF, 17 RBCs/HPF, and positive leukocyte esterase and nitrite.  A urine culture grows &gt;100,000 colonies of E. coli that is resistant to fluoroquinolones and trimethoprim-sulfamethoxazole but susceptible to cephalexin, amoxicillin-clavulanate, and nitrofurantoin.  Estimated creatinine clearance is 70 mL/min.</w:t>
            </w:r>
          </w:p>
        </w:tc>
      </w:tr>
      <w:tr w:rsidR="00221903" w:rsidRPr="00CF568A" w14:paraId="2E8A453F" w14:textId="77777777" w:rsidTr="00CA78CA">
        <w:tc>
          <w:tcPr>
            <w:tcW w:w="9350" w:type="dxa"/>
            <w:gridSpan w:val="4"/>
            <w:vAlign w:val="center"/>
          </w:tcPr>
          <w:p w14:paraId="59FBDE41" w14:textId="77777777" w:rsidR="00221903" w:rsidRPr="00CF568A" w:rsidRDefault="00221903" w:rsidP="00CA78CA">
            <w:pPr>
              <w:spacing w:before="80" w:after="80" w:line="480" w:lineRule="auto"/>
              <w:rPr>
                <w:rFonts w:ascii="Times New Roman" w:hAnsi="Times New Roman" w:cs="Times New Roman"/>
                <w:i/>
                <w:iCs/>
                <w:sz w:val="24"/>
                <w:szCs w:val="24"/>
              </w:rPr>
            </w:pPr>
            <w:r w:rsidRPr="00CF568A">
              <w:rPr>
                <w:rFonts w:ascii="Times New Roman" w:hAnsi="Times New Roman" w:cs="Times New Roman"/>
                <w:i/>
                <w:iCs/>
                <w:sz w:val="24"/>
                <w:szCs w:val="24"/>
              </w:rPr>
              <w:t>How would you describe the clinical presentation described above?</w:t>
            </w:r>
          </w:p>
        </w:tc>
      </w:tr>
      <w:tr w:rsidR="00221903" w:rsidRPr="00CF568A" w14:paraId="1ADB37AB" w14:textId="77777777" w:rsidTr="00CA78CA">
        <w:tc>
          <w:tcPr>
            <w:tcW w:w="3415" w:type="dxa"/>
            <w:vAlign w:val="center"/>
          </w:tcPr>
          <w:p w14:paraId="098F4F5E" w14:textId="77777777" w:rsidR="00221903" w:rsidRPr="00CF568A" w:rsidRDefault="00221903" w:rsidP="00CA78CA">
            <w:pPr>
              <w:spacing w:before="80" w:after="80" w:line="480" w:lineRule="auto"/>
              <w:rPr>
                <w:rFonts w:ascii="Times New Roman" w:hAnsi="Times New Roman" w:cs="Times New Roman"/>
                <w:sz w:val="24"/>
                <w:szCs w:val="24"/>
              </w:rPr>
            </w:pPr>
            <w:r w:rsidRPr="00CF568A">
              <w:rPr>
                <w:rFonts w:ascii="Times New Roman" w:hAnsi="Times New Roman" w:cs="Times New Roman"/>
                <w:sz w:val="24"/>
                <w:szCs w:val="24"/>
              </w:rPr>
              <w:t>Most guideline-concordant (asymptomatic bacteriuria) (+1 point), n (%)</w:t>
            </w:r>
          </w:p>
        </w:tc>
        <w:tc>
          <w:tcPr>
            <w:tcW w:w="2057" w:type="dxa"/>
            <w:vAlign w:val="center"/>
          </w:tcPr>
          <w:p w14:paraId="59E47594"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9 (47.4%)</w:t>
            </w:r>
          </w:p>
        </w:tc>
        <w:tc>
          <w:tcPr>
            <w:tcW w:w="1939" w:type="dxa"/>
            <w:vAlign w:val="center"/>
          </w:tcPr>
          <w:p w14:paraId="2C7FA3F4"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23 (37.1%)</w:t>
            </w:r>
          </w:p>
        </w:tc>
        <w:tc>
          <w:tcPr>
            <w:tcW w:w="1939" w:type="dxa"/>
            <w:vAlign w:val="center"/>
          </w:tcPr>
          <w:p w14:paraId="37C1A4C7"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19 (32.8%)</w:t>
            </w:r>
          </w:p>
        </w:tc>
      </w:tr>
      <w:tr w:rsidR="00221903" w:rsidRPr="00CF568A" w14:paraId="0167C40F" w14:textId="77777777" w:rsidTr="00CA78CA">
        <w:tc>
          <w:tcPr>
            <w:tcW w:w="3415" w:type="dxa"/>
            <w:vAlign w:val="center"/>
          </w:tcPr>
          <w:p w14:paraId="66F358A3" w14:textId="77777777" w:rsidR="00221903" w:rsidRPr="00CF568A" w:rsidRDefault="00221903" w:rsidP="00CA78CA">
            <w:pPr>
              <w:spacing w:before="80" w:after="80" w:line="480" w:lineRule="auto"/>
              <w:rPr>
                <w:rFonts w:ascii="Times New Roman" w:hAnsi="Times New Roman" w:cs="Times New Roman"/>
                <w:sz w:val="24"/>
                <w:szCs w:val="24"/>
              </w:rPr>
            </w:pPr>
            <w:r w:rsidRPr="00CF568A">
              <w:rPr>
                <w:rFonts w:ascii="Times New Roman" w:hAnsi="Times New Roman" w:cs="Times New Roman"/>
                <w:sz w:val="24"/>
                <w:szCs w:val="24"/>
              </w:rPr>
              <w:lastRenderedPageBreak/>
              <w:t>Guideline-discordant (uncomplicated catheter-associated urinary tract infection, complicated catheter-associated urinary tract infection) (-1 point), n (%)</w:t>
            </w:r>
          </w:p>
        </w:tc>
        <w:tc>
          <w:tcPr>
            <w:tcW w:w="2057" w:type="dxa"/>
            <w:vAlign w:val="center"/>
          </w:tcPr>
          <w:p w14:paraId="209C43ED"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9 (47.4%)</w:t>
            </w:r>
          </w:p>
        </w:tc>
        <w:tc>
          <w:tcPr>
            <w:tcW w:w="1939" w:type="dxa"/>
            <w:vAlign w:val="center"/>
          </w:tcPr>
          <w:p w14:paraId="25E6A55A"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34 (54.8%)</w:t>
            </w:r>
          </w:p>
        </w:tc>
        <w:tc>
          <w:tcPr>
            <w:tcW w:w="1939" w:type="dxa"/>
            <w:vAlign w:val="center"/>
          </w:tcPr>
          <w:p w14:paraId="1C6247C3"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31 (53.5%)</w:t>
            </w:r>
          </w:p>
        </w:tc>
      </w:tr>
      <w:tr w:rsidR="00221903" w:rsidRPr="00CF568A" w14:paraId="17CB99E3" w14:textId="77777777" w:rsidTr="00CA78CA">
        <w:tc>
          <w:tcPr>
            <w:tcW w:w="9350" w:type="dxa"/>
            <w:gridSpan w:val="4"/>
            <w:vAlign w:val="center"/>
          </w:tcPr>
          <w:p w14:paraId="04D91A1E" w14:textId="77777777" w:rsidR="00221903" w:rsidRPr="00CF568A" w:rsidRDefault="00221903" w:rsidP="00CA78CA">
            <w:pPr>
              <w:spacing w:before="80" w:after="80" w:line="480" w:lineRule="auto"/>
              <w:rPr>
                <w:rFonts w:ascii="Times New Roman" w:hAnsi="Times New Roman" w:cs="Times New Roman"/>
                <w:i/>
                <w:iCs/>
                <w:sz w:val="24"/>
                <w:szCs w:val="24"/>
              </w:rPr>
            </w:pPr>
            <w:r w:rsidRPr="00CF568A">
              <w:rPr>
                <w:rFonts w:ascii="Times New Roman" w:hAnsi="Times New Roman" w:cs="Times New Roman"/>
                <w:i/>
                <w:iCs/>
                <w:sz w:val="24"/>
                <w:szCs w:val="24"/>
              </w:rPr>
              <w:t>Which antibiotic would you prescribe for this patient?</w:t>
            </w:r>
          </w:p>
        </w:tc>
      </w:tr>
      <w:tr w:rsidR="00221903" w:rsidRPr="00CF568A" w14:paraId="3FBA8025" w14:textId="77777777" w:rsidTr="00CA78CA">
        <w:tc>
          <w:tcPr>
            <w:tcW w:w="3415" w:type="dxa"/>
            <w:vAlign w:val="center"/>
          </w:tcPr>
          <w:p w14:paraId="78DB6625" w14:textId="77777777" w:rsidR="00221903" w:rsidRPr="00CF568A" w:rsidRDefault="00221903" w:rsidP="00CA78CA">
            <w:pPr>
              <w:spacing w:before="80" w:after="80" w:line="480" w:lineRule="auto"/>
              <w:rPr>
                <w:rFonts w:ascii="Times New Roman" w:hAnsi="Times New Roman" w:cs="Times New Roman"/>
                <w:sz w:val="24"/>
                <w:szCs w:val="24"/>
              </w:rPr>
            </w:pPr>
            <w:r w:rsidRPr="00CF568A">
              <w:rPr>
                <w:rFonts w:ascii="Times New Roman" w:hAnsi="Times New Roman" w:cs="Times New Roman"/>
                <w:sz w:val="24"/>
                <w:szCs w:val="24"/>
              </w:rPr>
              <w:t>Most guideline-concordant (no antibiotic) (+1 point), n (%)</w:t>
            </w:r>
          </w:p>
        </w:tc>
        <w:tc>
          <w:tcPr>
            <w:tcW w:w="2057" w:type="dxa"/>
            <w:vAlign w:val="center"/>
          </w:tcPr>
          <w:p w14:paraId="13EAA1B8"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14 (73.7%)</w:t>
            </w:r>
          </w:p>
        </w:tc>
        <w:tc>
          <w:tcPr>
            <w:tcW w:w="1939" w:type="dxa"/>
            <w:vAlign w:val="center"/>
          </w:tcPr>
          <w:p w14:paraId="2B4ADAB3"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29 (46.8%)</w:t>
            </w:r>
          </w:p>
        </w:tc>
        <w:tc>
          <w:tcPr>
            <w:tcW w:w="1939" w:type="dxa"/>
            <w:vAlign w:val="center"/>
          </w:tcPr>
          <w:p w14:paraId="71B4CA1C"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24 (41.4%)</w:t>
            </w:r>
          </w:p>
        </w:tc>
      </w:tr>
      <w:tr w:rsidR="00221903" w:rsidRPr="00CF568A" w14:paraId="46141882" w14:textId="77777777" w:rsidTr="00CA78CA">
        <w:tc>
          <w:tcPr>
            <w:tcW w:w="3415" w:type="dxa"/>
            <w:vAlign w:val="center"/>
          </w:tcPr>
          <w:p w14:paraId="70D2DB89" w14:textId="77777777" w:rsidR="00221903" w:rsidRPr="00CF568A" w:rsidRDefault="00221903" w:rsidP="00CA78CA">
            <w:pPr>
              <w:spacing w:before="80" w:after="80" w:line="480" w:lineRule="auto"/>
              <w:rPr>
                <w:rFonts w:ascii="Times New Roman" w:hAnsi="Times New Roman" w:cs="Times New Roman"/>
                <w:sz w:val="24"/>
                <w:szCs w:val="24"/>
              </w:rPr>
            </w:pPr>
            <w:r w:rsidRPr="00CF568A">
              <w:rPr>
                <w:rFonts w:ascii="Times New Roman" w:hAnsi="Times New Roman" w:cs="Times New Roman"/>
                <w:sz w:val="24"/>
                <w:szCs w:val="24"/>
              </w:rPr>
              <w:t>Guideline-discordant (ceftriaxone, amoxicillin-clavulanate, nitrofurantoin, cephalexin) (-1 point), n (%)</w:t>
            </w:r>
          </w:p>
        </w:tc>
        <w:tc>
          <w:tcPr>
            <w:tcW w:w="2057" w:type="dxa"/>
            <w:vAlign w:val="center"/>
          </w:tcPr>
          <w:p w14:paraId="643D1DA3"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4 (21.1%)</w:t>
            </w:r>
          </w:p>
        </w:tc>
        <w:tc>
          <w:tcPr>
            <w:tcW w:w="1939" w:type="dxa"/>
            <w:vAlign w:val="center"/>
          </w:tcPr>
          <w:p w14:paraId="17A6F49F"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28 (45.2%)</w:t>
            </w:r>
          </w:p>
        </w:tc>
        <w:tc>
          <w:tcPr>
            <w:tcW w:w="1939" w:type="dxa"/>
            <w:vAlign w:val="center"/>
          </w:tcPr>
          <w:p w14:paraId="7B033BA5" w14:textId="77777777" w:rsidR="00221903" w:rsidRPr="00CF568A" w:rsidRDefault="00221903" w:rsidP="00CA78CA">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27 (46.6%)</w:t>
            </w:r>
          </w:p>
        </w:tc>
      </w:tr>
    </w:tbl>
    <w:p w14:paraId="4DD9BD7A" w14:textId="77777777" w:rsidR="00221903" w:rsidRPr="00CF568A" w:rsidRDefault="00221903" w:rsidP="00221903">
      <w:pPr>
        <w:spacing w:line="480" w:lineRule="auto"/>
        <w:rPr>
          <w:rFonts w:ascii="Times New Roman" w:hAnsi="Times New Roman" w:cs="Times New Roman"/>
          <w:sz w:val="24"/>
          <w:szCs w:val="24"/>
        </w:rPr>
      </w:pPr>
      <w:r w:rsidRPr="00CF568A">
        <w:rPr>
          <w:rFonts w:ascii="Times New Roman" w:hAnsi="Times New Roman" w:cs="Times New Roman"/>
          <w:sz w:val="24"/>
          <w:szCs w:val="24"/>
        </w:rPr>
        <w:t>*: p &lt;0.05</w:t>
      </w:r>
    </w:p>
    <w:p w14:paraId="3546C3AB" w14:textId="77777777" w:rsidR="00221903" w:rsidRPr="00CF568A" w:rsidRDefault="00221903" w:rsidP="00221903">
      <w:pPr>
        <w:spacing w:line="480" w:lineRule="auto"/>
        <w:rPr>
          <w:rFonts w:ascii="Times New Roman" w:hAnsi="Times New Roman" w:cs="Times New Roman"/>
          <w:sz w:val="24"/>
          <w:szCs w:val="24"/>
        </w:rPr>
      </w:pPr>
      <w:r w:rsidRPr="00CF568A">
        <w:rPr>
          <w:rFonts w:ascii="Times New Roman" w:hAnsi="Times New Roman" w:cs="Times New Roman"/>
          <w:sz w:val="24"/>
          <w:szCs w:val="24"/>
        </w:rPr>
        <w:t xml:space="preserve">†: As not all respondents completed all questions, percentages do not necessarily add up to 100% for each physician category and question </w:t>
      </w:r>
    </w:p>
    <w:p w14:paraId="113F7921" w14:textId="77777777" w:rsidR="00221903" w:rsidRDefault="00221903" w:rsidP="009B0656">
      <w:pPr>
        <w:spacing w:line="480" w:lineRule="auto"/>
        <w:rPr>
          <w:rFonts w:ascii="Times New Roman" w:hAnsi="Times New Roman" w:cs="Times New Roman"/>
          <w:b/>
          <w:bCs/>
          <w:sz w:val="24"/>
          <w:szCs w:val="24"/>
        </w:rPr>
      </w:pPr>
    </w:p>
    <w:p w14:paraId="3789E8A0" w14:textId="77777777" w:rsidR="00221903" w:rsidRDefault="00221903">
      <w:pPr>
        <w:rPr>
          <w:rFonts w:ascii="Times New Roman" w:hAnsi="Times New Roman" w:cs="Times New Roman"/>
          <w:b/>
          <w:bCs/>
          <w:sz w:val="24"/>
          <w:szCs w:val="24"/>
        </w:rPr>
      </w:pPr>
      <w:r>
        <w:rPr>
          <w:rFonts w:ascii="Times New Roman" w:hAnsi="Times New Roman" w:cs="Times New Roman"/>
          <w:b/>
          <w:bCs/>
          <w:sz w:val="24"/>
          <w:szCs w:val="24"/>
        </w:rPr>
        <w:br w:type="page"/>
      </w:r>
    </w:p>
    <w:p w14:paraId="40237C75" w14:textId="214CF8CD" w:rsidR="009B0656" w:rsidRPr="00CF568A" w:rsidRDefault="009B0656" w:rsidP="009B0656">
      <w:pPr>
        <w:spacing w:line="480" w:lineRule="auto"/>
        <w:rPr>
          <w:rFonts w:ascii="Times New Roman" w:hAnsi="Times New Roman" w:cs="Times New Roman"/>
          <w:b/>
          <w:bCs/>
          <w:sz w:val="24"/>
          <w:szCs w:val="24"/>
        </w:rPr>
      </w:pPr>
      <w:r w:rsidRPr="00CF568A">
        <w:rPr>
          <w:rFonts w:ascii="Times New Roman" w:hAnsi="Times New Roman" w:cs="Times New Roman"/>
          <w:b/>
          <w:bCs/>
          <w:sz w:val="24"/>
          <w:szCs w:val="24"/>
        </w:rPr>
        <w:lastRenderedPageBreak/>
        <w:t xml:space="preserve">Supplemental Table </w:t>
      </w:r>
      <w:r w:rsidR="00221903">
        <w:rPr>
          <w:rFonts w:ascii="Times New Roman" w:hAnsi="Times New Roman" w:cs="Times New Roman"/>
          <w:b/>
          <w:bCs/>
          <w:sz w:val="24"/>
          <w:szCs w:val="24"/>
        </w:rPr>
        <w:t>4</w:t>
      </w:r>
      <w:r w:rsidRPr="00CF568A">
        <w:rPr>
          <w:rFonts w:ascii="Times New Roman" w:hAnsi="Times New Roman" w:cs="Times New Roman"/>
          <w:b/>
          <w:bCs/>
          <w:sz w:val="24"/>
          <w:szCs w:val="24"/>
        </w:rPr>
        <w:t>: Resources Likely to Be Used in Patient Management Across Clinical Scenarios</w:t>
      </w:r>
    </w:p>
    <w:tbl>
      <w:tblPr>
        <w:tblStyle w:val="TableGrid"/>
        <w:tblW w:w="0" w:type="auto"/>
        <w:tblLook w:val="04A0" w:firstRow="1" w:lastRow="0" w:firstColumn="1" w:lastColumn="0" w:noHBand="0" w:noVBand="1"/>
      </w:tblPr>
      <w:tblGrid>
        <w:gridCol w:w="3955"/>
        <w:gridCol w:w="1350"/>
        <w:gridCol w:w="1350"/>
        <w:gridCol w:w="1350"/>
        <w:gridCol w:w="1345"/>
      </w:tblGrid>
      <w:tr w:rsidR="009B0656" w:rsidRPr="00CF568A" w14:paraId="7AA47919" w14:textId="77777777" w:rsidTr="002865F1">
        <w:tc>
          <w:tcPr>
            <w:tcW w:w="3955" w:type="dxa"/>
          </w:tcPr>
          <w:p w14:paraId="2C6A7B75" w14:textId="77777777" w:rsidR="009B0656" w:rsidRPr="00CF568A" w:rsidRDefault="009B0656" w:rsidP="002865F1">
            <w:pPr>
              <w:spacing w:before="80" w:after="80" w:line="480" w:lineRule="auto"/>
              <w:rPr>
                <w:rFonts w:ascii="Times New Roman" w:hAnsi="Times New Roman" w:cs="Times New Roman"/>
                <w:sz w:val="24"/>
                <w:szCs w:val="24"/>
              </w:rPr>
            </w:pPr>
          </w:p>
        </w:tc>
        <w:tc>
          <w:tcPr>
            <w:tcW w:w="1350" w:type="dxa"/>
            <w:vAlign w:val="bottom"/>
          </w:tcPr>
          <w:p w14:paraId="0C0F0103" w14:textId="77777777" w:rsidR="009B0656" w:rsidRPr="00CF568A" w:rsidRDefault="009B0656" w:rsidP="002865F1">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Scenario 1</w:t>
            </w:r>
          </w:p>
        </w:tc>
        <w:tc>
          <w:tcPr>
            <w:tcW w:w="1350" w:type="dxa"/>
            <w:vAlign w:val="bottom"/>
          </w:tcPr>
          <w:p w14:paraId="36A68AD6" w14:textId="77777777" w:rsidR="009B0656" w:rsidRPr="00CF568A" w:rsidRDefault="009B0656" w:rsidP="002865F1">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Scenario 2</w:t>
            </w:r>
          </w:p>
        </w:tc>
        <w:tc>
          <w:tcPr>
            <w:tcW w:w="1350" w:type="dxa"/>
            <w:vAlign w:val="bottom"/>
          </w:tcPr>
          <w:p w14:paraId="2E28F6CE" w14:textId="77777777" w:rsidR="009B0656" w:rsidRPr="00CF568A" w:rsidRDefault="009B0656" w:rsidP="002865F1">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Scenario 3</w:t>
            </w:r>
          </w:p>
        </w:tc>
        <w:tc>
          <w:tcPr>
            <w:tcW w:w="1345" w:type="dxa"/>
            <w:vAlign w:val="bottom"/>
          </w:tcPr>
          <w:p w14:paraId="7491061D" w14:textId="77777777" w:rsidR="009B0656" w:rsidRPr="00CF568A" w:rsidRDefault="009B0656" w:rsidP="002865F1">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Scenario 4</w:t>
            </w:r>
          </w:p>
        </w:tc>
      </w:tr>
      <w:tr w:rsidR="009B0656" w:rsidRPr="00CF568A" w14:paraId="3DD53EDE" w14:textId="77777777" w:rsidTr="002865F1">
        <w:tc>
          <w:tcPr>
            <w:tcW w:w="3955" w:type="dxa"/>
          </w:tcPr>
          <w:p w14:paraId="12C6A9F3" w14:textId="77777777" w:rsidR="009B0656" w:rsidRPr="00CF568A" w:rsidRDefault="009B0656" w:rsidP="002865F1">
            <w:pPr>
              <w:spacing w:before="80" w:after="80" w:line="480" w:lineRule="auto"/>
              <w:rPr>
                <w:rFonts w:ascii="Times New Roman" w:hAnsi="Times New Roman" w:cs="Times New Roman"/>
                <w:sz w:val="24"/>
                <w:szCs w:val="24"/>
              </w:rPr>
            </w:pPr>
            <w:r w:rsidRPr="00CF568A">
              <w:rPr>
                <w:rFonts w:ascii="Times New Roman" w:hAnsi="Times New Roman" w:cs="Times New Roman"/>
                <w:sz w:val="24"/>
                <w:szCs w:val="24"/>
              </w:rPr>
              <w:t>Pre-specified guidance from facility (e.g., ID specification, electronic health record template), n (%)</w:t>
            </w:r>
          </w:p>
        </w:tc>
        <w:tc>
          <w:tcPr>
            <w:tcW w:w="1350" w:type="dxa"/>
            <w:vAlign w:val="center"/>
          </w:tcPr>
          <w:p w14:paraId="6A72781C" w14:textId="77777777" w:rsidR="009B0656" w:rsidRPr="00CF568A" w:rsidRDefault="009B0656" w:rsidP="002865F1">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51 (36.4%)</w:t>
            </w:r>
          </w:p>
        </w:tc>
        <w:tc>
          <w:tcPr>
            <w:tcW w:w="1350" w:type="dxa"/>
            <w:vAlign w:val="center"/>
          </w:tcPr>
          <w:p w14:paraId="4476CA26" w14:textId="77777777" w:rsidR="009B0656" w:rsidRPr="00CF568A" w:rsidRDefault="009B0656" w:rsidP="002865F1">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49 (35%)</w:t>
            </w:r>
          </w:p>
        </w:tc>
        <w:tc>
          <w:tcPr>
            <w:tcW w:w="1350" w:type="dxa"/>
            <w:vAlign w:val="center"/>
          </w:tcPr>
          <w:p w14:paraId="1C35F6F0" w14:textId="77777777" w:rsidR="009B0656" w:rsidRPr="00CF568A" w:rsidRDefault="009B0656" w:rsidP="002865F1">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35 (25%)</w:t>
            </w:r>
          </w:p>
        </w:tc>
        <w:tc>
          <w:tcPr>
            <w:tcW w:w="1345" w:type="dxa"/>
            <w:vAlign w:val="center"/>
          </w:tcPr>
          <w:p w14:paraId="5D4F1493" w14:textId="77777777" w:rsidR="009B0656" w:rsidRPr="00CF568A" w:rsidRDefault="009B0656" w:rsidP="002865F1">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37 (26.4%)</w:t>
            </w:r>
          </w:p>
        </w:tc>
      </w:tr>
      <w:tr w:rsidR="009B0656" w:rsidRPr="00CF568A" w14:paraId="12D4C021" w14:textId="77777777" w:rsidTr="002865F1">
        <w:tc>
          <w:tcPr>
            <w:tcW w:w="3955" w:type="dxa"/>
          </w:tcPr>
          <w:p w14:paraId="38D9A0F7" w14:textId="77777777" w:rsidR="009B0656" w:rsidRPr="00CF568A" w:rsidRDefault="009B0656" w:rsidP="002865F1">
            <w:pPr>
              <w:spacing w:before="80" w:after="80" w:line="480" w:lineRule="auto"/>
              <w:rPr>
                <w:rFonts w:ascii="Times New Roman" w:hAnsi="Times New Roman" w:cs="Times New Roman"/>
                <w:sz w:val="24"/>
                <w:szCs w:val="24"/>
              </w:rPr>
            </w:pPr>
            <w:r w:rsidRPr="00CF568A">
              <w:rPr>
                <w:rFonts w:ascii="Times New Roman" w:hAnsi="Times New Roman" w:cs="Times New Roman"/>
                <w:sz w:val="24"/>
                <w:szCs w:val="24"/>
              </w:rPr>
              <w:t>General medical resource, either online or hardcopy (e.g., UpToDate, medical textbook), n (%)</w:t>
            </w:r>
          </w:p>
        </w:tc>
        <w:tc>
          <w:tcPr>
            <w:tcW w:w="1350" w:type="dxa"/>
            <w:vAlign w:val="center"/>
          </w:tcPr>
          <w:p w14:paraId="1001072A" w14:textId="77777777" w:rsidR="009B0656" w:rsidRPr="00CF568A" w:rsidRDefault="009B0656" w:rsidP="002865F1">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64 (45.7%)</w:t>
            </w:r>
          </w:p>
        </w:tc>
        <w:tc>
          <w:tcPr>
            <w:tcW w:w="1350" w:type="dxa"/>
            <w:vAlign w:val="center"/>
          </w:tcPr>
          <w:p w14:paraId="127C8B29" w14:textId="77777777" w:rsidR="009B0656" w:rsidRPr="00CF568A" w:rsidRDefault="009B0656" w:rsidP="002865F1">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52 (37.1%)</w:t>
            </w:r>
          </w:p>
        </w:tc>
        <w:tc>
          <w:tcPr>
            <w:tcW w:w="1350" w:type="dxa"/>
            <w:vAlign w:val="center"/>
          </w:tcPr>
          <w:p w14:paraId="4EF36083" w14:textId="77777777" w:rsidR="009B0656" w:rsidRPr="00CF568A" w:rsidRDefault="009B0656" w:rsidP="002865F1">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47 (33.6%)</w:t>
            </w:r>
          </w:p>
        </w:tc>
        <w:tc>
          <w:tcPr>
            <w:tcW w:w="1345" w:type="dxa"/>
            <w:vAlign w:val="center"/>
          </w:tcPr>
          <w:p w14:paraId="69CA5967" w14:textId="77777777" w:rsidR="009B0656" w:rsidRPr="00CF568A" w:rsidRDefault="009B0656" w:rsidP="002865F1">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48 (34.3%)</w:t>
            </w:r>
          </w:p>
        </w:tc>
      </w:tr>
      <w:tr w:rsidR="009B0656" w:rsidRPr="00CF568A" w14:paraId="64196281" w14:textId="77777777" w:rsidTr="002865F1">
        <w:tc>
          <w:tcPr>
            <w:tcW w:w="3955" w:type="dxa"/>
          </w:tcPr>
          <w:p w14:paraId="06DB6132" w14:textId="77777777" w:rsidR="009B0656" w:rsidRPr="00CF568A" w:rsidRDefault="009B0656" w:rsidP="002865F1">
            <w:pPr>
              <w:spacing w:before="80" w:after="80" w:line="480" w:lineRule="auto"/>
              <w:rPr>
                <w:rFonts w:ascii="Times New Roman" w:hAnsi="Times New Roman" w:cs="Times New Roman"/>
                <w:sz w:val="24"/>
                <w:szCs w:val="24"/>
              </w:rPr>
            </w:pPr>
            <w:r w:rsidRPr="00CF568A">
              <w:rPr>
                <w:rFonts w:ascii="Times New Roman" w:hAnsi="Times New Roman" w:cs="Times New Roman"/>
                <w:sz w:val="24"/>
                <w:szCs w:val="24"/>
              </w:rPr>
              <w:t>Sanford guide or other antibiotic prescribing reference, either online or hardcopy, n (%)</w:t>
            </w:r>
          </w:p>
        </w:tc>
        <w:tc>
          <w:tcPr>
            <w:tcW w:w="1350" w:type="dxa"/>
            <w:vAlign w:val="center"/>
          </w:tcPr>
          <w:p w14:paraId="292C7F47" w14:textId="77777777" w:rsidR="009B0656" w:rsidRPr="00CF568A" w:rsidRDefault="009B0656" w:rsidP="002865F1">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37 (26.4%)</w:t>
            </w:r>
          </w:p>
        </w:tc>
        <w:tc>
          <w:tcPr>
            <w:tcW w:w="1350" w:type="dxa"/>
            <w:vAlign w:val="center"/>
          </w:tcPr>
          <w:p w14:paraId="2B1B7E8B" w14:textId="77777777" w:rsidR="009B0656" w:rsidRPr="00CF568A" w:rsidRDefault="009B0656" w:rsidP="002865F1">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31 (22.1%)</w:t>
            </w:r>
          </w:p>
        </w:tc>
        <w:tc>
          <w:tcPr>
            <w:tcW w:w="1350" w:type="dxa"/>
            <w:vAlign w:val="center"/>
          </w:tcPr>
          <w:p w14:paraId="58D2535E" w14:textId="77777777" w:rsidR="009B0656" w:rsidRPr="00CF568A" w:rsidRDefault="009B0656" w:rsidP="002865F1">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23 (16.4%)</w:t>
            </w:r>
          </w:p>
        </w:tc>
        <w:tc>
          <w:tcPr>
            <w:tcW w:w="1345" w:type="dxa"/>
            <w:vAlign w:val="center"/>
          </w:tcPr>
          <w:p w14:paraId="17D511D2" w14:textId="77777777" w:rsidR="009B0656" w:rsidRPr="00CF568A" w:rsidRDefault="009B0656" w:rsidP="002865F1">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23 (16.4%)</w:t>
            </w:r>
          </w:p>
        </w:tc>
      </w:tr>
      <w:tr w:rsidR="009B0656" w:rsidRPr="00CF568A" w14:paraId="58C98777" w14:textId="77777777" w:rsidTr="002865F1">
        <w:tc>
          <w:tcPr>
            <w:tcW w:w="3955" w:type="dxa"/>
          </w:tcPr>
          <w:p w14:paraId="3CE4D810" w14:textId="77777777" w:rsidR="009B0656" w:rsidRPr="00CF568A" w:rsidRDefault="009B0656" w:rsidP="002865F1">
            <w:pPr>
              <w:spacing w:before="80" w:after="80" w:line="480" w:lineRule="auto"/>
              <w:rPr>
                <w:rFonts w:ascii="Times New Roman" w:hAnsi="Times New Roman" w:cs="Times New Roman"/>
                <w:sz w:val="24"/>
                <w:szCs w:val="24"/>
              </w:rPr>
            </w:pPr>
            <w:r w:rsidRPr="00CF568A">
              <w:rPr>
                <w:rFonts w:ascii="Times New Roman" w:hAnsi="Times New Roman" w:cs="Times New Roman"/>
                <w:sz w:val="24"/>
                <w:szCs w:val="24"/>
              </w:rPr>
              <w:t>Information/input from an inpatient ward pharmacist, n (%)</w:t>
            </w:r>
          </w:p>
        </w:tc>
        <w:tc>
          <w:tcPr>
            <w:tcW w:w="1350" w:type="dxa"/>
            <w:vAlign w:val="center"/>
          </w:tcPr>
          <w:p w14:paraId="3241B88D" w14:textId="77777777" w:rsidR="009B0656" w:rsidRPr="00CF568A" w:rsidRDefault="009B0656" w:rsidP="002865F1">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58 (41.4%)</w:t>
            </w:r>
          </w:p>
        </w:tc>
        <w:tc>
          <w:tcPr>
            <w:tcW w:w="1350" w:type="dxa"/>
            <w:vAlign w:val="center"/>
          </w:tcPr>
          <w:p w14:paraId="1E51D1CA" w14:textId="77777777" w:rsidR="009B0656" w:rsidRPr="00CF568A" w:rsidRDefault="009B0656" w:rsidP="002865F1">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41 (29.3%)</w:t>
            </w:r>
          </w:p>
        </w:tc>
        <w:tc>
          <w:tcPr>
            <w:tcW w:w="1350" w:type="dxa"/>
            <w:vAlign w:val="center"/>
          </w:tcPr>
          <w:p w14:paraId="43EA00AF" w14:textId="77777777" w:rsidR="009B0656" w:rsidRPr="00CF568A" w:rsidRDefault="009B0656" w:rsidP="002865F1">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35 (25%)</w:t>
            </w:r>
          </w:p>
        </w:tc>
        <w:tc>
          <w:tcPr>
            <w:tcW w:w="1345" w:type="dxa"/>
            <w:vAlign w:val="center"/>
          </w:tcPr>
          <w:p w14:paraId="03290C4D" w14:textId="77777777" w:rsidR="009B0656" w:rsidRPr="00CF568A" w:rsidRDefault="009B0656" w:rsidP="002865F1">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29 (20.7%)</w:t>
            </w:r>
          </w:p>
        </w:tc>
      </w:tr>
      <w:tr w:rsidR="009B0656" w:rsidRPr="00CF568A" w14:paraId="105D95C4" w14:textId="77777777" w:rsidTr="002865F1">
        <w:tc>
          <w:tcPr>
            <w:tcW w:w="3955" w:type="dxa"/>
          </w:tcPr>
          <w:p w14:paraId="465EC17D" w14:textId="77777777" w:rsidR="009B0656" w:rsidRPr="00CF568A" w:rsidRDefault="009B0656" w:rsidP="002865F1">
            <w:pPr>
              <w:spacing w:before="80" w:after="80" w:line="480" w:lineRule="auto"/>
              <w:rPr>
                <w:rFonts w:ascii="Times New Roman" w:hAnsi="Times New Roman" w:cs="Times New Roman"/>
                <w:sz w:val="24"/>
                <w:szCs w:val="24"/>
              </w:rPr>
            </w:pPr>
            <w:r w:rsidRPr="00CF568A">
              <w:rPr>
                <w:rFonts w:ascii="Times New Roman" w:hAnsi="Times New Roman" w:cs="Times New Roman"/>
                <w:sz w:val="24"/>
                <w:szCs w:val="24"/>
              </w:rPr>
              <w:t>Information/input from another clinician on your inpatient team, n (%)</w:t>
            </w:r>
          </w:p>
        </w:tc>
        <w:tc>
          <w:tcPr>
            <w:tcW w:w="1350" w:type="dxa"/>
            <w:vAlign w:val="center"/>
          </w:tcPr>
          <w:p w14:paraId="3C31C069" w14:textId="77777777" w:rsidR="009B0656" w:rsidRPr="00CF568A" w:rsidRDefault="009B0656" w:rsidP="002865F1">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28 (20%)</w:t>
            </w:r>
          </w:p>
        </w:tc>
        <w:tc>
          <w:tcPr>
            <w:tcW w:w="1350" w:type="dxa"/>
            <w:vAlign w:val="center"/>
          </w:tcPr>
          <w:p w14:paraId="5BAF5A7A" w14:textId="77777777" w:rsidR="009B0656" w:rsidRPr="00CF568A" w:rsidRDefault="009B0656" w:rsidP="002865F1">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26 (18.6%)</w:t>
            </w:r>
          </w:p>
        </w:tc>
        <w:tc>
          <w:tcPr>
            <w:tcW w:w="1350" w:type="dxa"/>
            <w:vAlign w:val="center"/>
          </w:tcPr>
          <w:p w14:paraId="712EEE75" w14:textId="77777777" w:rsidR="009B0656" w:rsidRPr="00CF568A" w:rsidRDefault="009B0656" w:rsidP="002865F1">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22 (15.7%)</w:t>
            </w:r>
          </w:p>
        </w:tc>
        <w:tc>
          <w:tcPr>
            <w:tcW w:w="1345" w:type="dxa"/>
            <w:vAlign w:val="center"/>
          </w:tcPr>
          <w:p w14:paraId="307EED2D" w14:textId="77777777" w:rsidR="009B0656" w:rsidRPr="00CF568A" w:rsidRDefault="009B0656" w:rsidP="002865F1">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24 (17.1%)</w:t>
            </w:r>
          </w:p>
        </w:tc>
      </w:tr>
      <w:tr w:rsidR="009B0656" w:rsidRPr="00CF568A" w14:paraId="3E87AD6C" w14:textId="77777777" w:rsidTr="002865F1">
        <w:tc>
          <w:tcPr>
            <w:tcW w:w="3955" w:type="dxa"/>
          </w:tcPr>
          <w:p w14:paraId="71473F71" w14:textId="77777777" w:rsidR="009B0656" w:rsidRPr="00CF568A" w:rsidRDefault="009B0656" w:rsidP="002865F1">
            <w:pPr>
              <w:spacing w:before="80" w:after="80" w:line="480" w:lineRule="auto"/>
              <w:rPr>
                <w:rFonts w:ascii="Times New Roman" w:hAnsi="Times New Roman" w:cs="Times New Roman"/>
                <w:sz w:val="24"/>
                <w:szCs w:val="24"/>
              </w:rPr>
            </w:pPr>
            <w:r w:rsidRPr="00CF568A">
              <w:rPr>
                <w:rFonts w:ascii="Times New Roman" w:hAnsi="Times New Roman" w:cs="Times New Roman"/>
                <w:sz w:val="24"/>
                <w:szCs w:val="24"/>
              </w:rPr>
              <w:t>Information/input from an ID specialist or antimicrobial stewardship team</w:t>
            </w:r>
          </w:p>
        </w:tc>
        <w:tc>
          <w:tcPr>
            <w:tcW w:w="1350" w:type="dxa"/>
            <w:vAlign w:val="center"/>
          </w:tcPr>
          <w:p w14:paraId="5559B794" w14:textId="77777777" w:rsidR="009B0656" w:rsidRPr="00CF568A" w:rsidRDefault="009B0656" w:rsidP="002865F1">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50 (35.7%)</w:t>
            </w:r>
          </w:p>
        </w:tc>
        <w:tc>
          <w:tcPr>
            <w:tcW w:w="1350" w:type="dxa"/>
            <w:vAlign w:val="center"/>
          </w:tcPr>
          <w:p w14:paraId="6DE48766" w14:textId="77777777" w:rsidR="009B0656" w:rsidRPr="00CF568A" w:rsidRDefault="009B0656" w:rsidP="002865F1">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37 (26.4%)</w:t>
            </w:r>
          </w:p>
        </w:tc>
        <w:tc>
          <w:tcPr>
            <w:tcW w:w="1350" w:type="dxa"/>
            <w:vAlign w:val="center"/>
          </w:tcPr>
          <w:p w14:paraId="732B3DB3" w14:textId="77777777" w:rsidR="009B0656" w:rsidRPr="00CF568A" w:rsidRDefault="009B0656" w:rsidP="002865F1">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31 (22.1%)</w:t>
            </w:r>
          </w:p>
        </w:tc>
        <w:tc>
          <w:tcPr>
            <w:tcW w:w="1345" w:type="dxa"/>
            <w:vAlign w:val="center"/>
          </w:tcPr>
          <w:p w14:paraId="5CEB00B9" w14:textId="77777777" w:rsidR="009B0656" w:rsidRPr="00CF568A" w:rsidRDefault="009B0656" w:rsidP="002865F1">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34 (24.3%)</w:t>
            </w:r>
          </w:p>
        </w:tc>
      </w:tr>
    </w:tbl>
    <w:p w14:paraId="7614D781" w14:textId="77777777" w:rsidR="009B0656" w:rsidRPr="00CF568A" w:rsidRDefault="009B0656" w:rsidP="009B0656">
      <w:pPr>
        <w:spacing w:line="480" w:lineRule="auto"/>
        <w:rPr>
          <w:rFonts w:ascii="Times New Roman" w:hAnsi="Times New Roman" w:cs="Times New Roman"/>
          <w:sz w:val="24"/>
          <w:szCs w:val="24"/>
        </w:rPr>
      </w:pPr>
    </w:p>
    <w:p w14:paraId="189C76D0" w14:textId="77777777" w:rsidR="009B0656" w:rsidRPr="00CF568A" w:rsidRDefault="009B0656" w:rsidP="009B0656">
      <w:pPr>
        <w:spacing w:line="480" w:lineRule="auto"/>
        <w:rPr>
          <w:rFonts w:ascii="Times New Roman" w:hAnsi="Times New Roman" w:cs="Times New Roman"/>
          <w:sz w:val="24"/>
          <w:szCs w:val="24"/>
        </w:rPr>
      </w:pPr>
    </w:p>
    <w:p w14:paraId="4586C249" w14:textId="20F19782" w:rsidR="009B0656" w:rsidRPr="00CF568A" w:rsidRDefault="009B0656" w:rsidP="009B0656">
      <w:pPr>
        <w:spacing w:line="480" w:lineRule="auto"/>
        <w:rPr>
          <w:rFonts w:ascii="Times New Roman" w:hAnsi="Times New Roman" w:cs="Times New Roman"/>
          <w:sz w:val="24"/>
          <w:szCs w:val="24"/>
        </w:rPr>
      </w:pPr>
      <w:r w:rsidRPr="00CF568A">
        <w:rPr>
          <w:rFonts w:ascii="Times New Roman" w:hAnsi="Times New Roman" w:cs="Times New Roman"/>
          <w:b/>
          <w:bCs/>
          <w:sz w:val="24"/>
          <w:szCs w:val="24"/>
        </w:rPr>
        <w:lastRenderedPageBreak/>
        <w:t xml:space="preserve">Supplemental Table </w:t>
      </w:r>
      <w:r w:rsidR="001E18AF">
        <w:rPr>
          <w:rFonts w:ascii="Times New Roman" w:hAnsi="Times New Roman" w:cs="Times New Roman"/>
          <w:b/>
          <w:bCs/>
          <w:sz w:val="24"/>
          <w:szCs w:val="24"/>
        </w:rPr>
        <w:t>5</w:t>
      </w:r>
      <w:r w:rsidRPr="00CF568A">
        <w:rPr>
          <w:rFonts w:ascii="Times New Roman" w:hAnsi="Times New Roman" w:cs="Times New Roman"/>
          <w:b/>
          <w:bCs/>
          <w:sz w:val="24"/>
          <w:szCs w:val="24"/>
        </w:rPr>
        <w:t>: Confidence in antibiotic prescribing decisions, by scenario and specialty</w:t>
      </w:r>
    </w:p>
    <w:tbl>
      <w:tblPr>
        <w:tblStyle w:val="TableGrid"/>
        <w:tblW w:w="0" w:type="auto"/>
        <w:tblLook w:val="04A0" w:firstRow="1" w:lastRow="0" w:firstColumn="1" w:lastColumn="0" w:noHBand="0" w:noVBand="1"/>
      </w:tblPr>
      <w:tblGrid>
        <w:gridCol w:w="4923"/>
        <w:gridCol w:w="1323"/>
        <w:gridCol w:w="1417"/>
        <w:gridCol w:w="1687"/>
      </w:tblGrid>
      <w:tr w:rsidR="009B0656" w:rsidRPr="00CF568A" w14:paraId="00AE9AB8" w14:textId="77777777" w:rsidTr="002865F1">
        <w:tc>
          <w:tcPr>
            <w:tcW w:w="5035" w:type="dxa"/>
            <w:vAlign w:val="bottom"/>
          </w:tcPr>
          <w:p w14:paraId="5DD83140" w14:textId="77777777" w:rsidR="009B0656" w:rsidRPr="00CF568A" w:rsidRDefault="009B0656" w:rsidP="002865F1">
            <w:pPr>
              <w:spacing w:before="80" w:after="80" w:line="480" w:lineRule="auto"/>
              <w:rPr>
                <w:rFonts w:ascii="Times New Roman" w:hAnsi="Times New Roman" w:cs="Times New Roman"/>
                <w:b/>
                <w:bCs/>
                <w:sz w:val="24"/>
                <w:szCs w:val="24"/>
              </w:rPr>
            </w:pPr>
            <w:r w:rsidRPr="00CF568A">
              <w:rPr>
                <w:rFonts w:ascii="Times New Roman" w:hAnsi="Times New Roman" w:cs="Times New Roman"/>
                <w:b/>
                <w:bCs/>
                <w:sz w:val="24"/>
                <w:szCs w:val="24"/>
              </w:rPr>
              <w:t>Respondents answering “Very confident”</w:t>
            </w:r>
          </w:p>
        </w:tc>
        <w:tc>
          <w:tcPr>
            <w:tcW w:w="1334" w:type="dxa"/>
            <w:vAlign w:val="bottom"/>
          </w:tcPr>
          <w:p w14:paraId="49E65012" w14:textId="77777777" w:rsidR="009B0656" w:rsidRPr="00CF568A" w:rsidRDefault="009B0656" w:rsidP="002865F1">
            <w:pPr>
              <w:spacing w:before="80" w:after="80" w:line="480" w:lineRule="auto"/>
              <w:jc w:val="center"/>
              <w:rPr>
                <w:rFonts w:ascii="Times New Roman" w:hAnsi="Times New Roman" w:cs="Times New Roman"/>
                <w:sz w:val="24"/>
                <w:szCs w:val="24"/>
              </w:rPr>
            </w:pPr>
            <w:r w:rsidRPr="00CF568A">
              <w:rPr>
                <w:rFonts w:ascii="Times New Roman" w:hAnsi="Times New Roman" w:cs="Times New Roman"/>
                <w:b/>
                <w:bCs/>
                <w:sz w:val="24"/>
                <w:szCs w:val="24"/>
              </w:rPr>
              <w:t>ID (n=19)</w:t>
            </w:r>
          </w:p>
        </w:tc>
        <w:tc>
          <w:tcPr>
            <w:tcW w:w="1278" w:type="dxa"/>
            <w:vAlign w:val="bottom"/>
          </w:tcPr>
          <w:p w14:paraId="239AAAFE" w14:textId="77777777" w:rsidR="009B0656" w:rsidRPr="00CF568A" w:rsidRDefault="009B0656" w:rsidP="002865F1">
            <w:pPr>
              <w:spacing w:before="80" w:after="80" w:line="480" w:lineRule="auto"/>
              <w:jc w:val="center"/>
              <w:rPr>
                <w:rFonts w:ascii="Times New Roman" w:hAnsi="Times New Roman" w:cs="Times New Roman"/>
                <w:sz w:val="24"/>
                <w:szCs w:val="24"/>
              </w:rPr>
            </w:pPr>
            <w:r w:rsidRPr="00CF568A">
              <w:rPr>
                <w:rFonts w:ascii="Times New Roman" w:hAnsi="Times New Roman" w:cs="Times New Roman"/>
                <w:b/>
                <w:bCs/>
                <w:sz w:val="24"/>
                <w:szCs w:val="24"/>
              </w:rPr>
              <w:t>Hospitalists (n=62)</w:t>
            </w:r>
          </w:p>
        </w:tc>
        <w:tc>
          <w:tcPr>
            <w:tcW w:w="1703" w:type="dxa"/>
            <w:vAlign w:val="bottom"/>
          </w:tcPr>
          <w:p w14:paraId="7F9E8DB0" w14:textId="77777777" w:rsidR="009B0656" w:rsidRPr="00CF568A" w:rsidRDefault="009B0656" w:rsidP="002865F1">
            <w:pPr>
              <w:spacing w:before="80" w:after="80" w:line="480" w:lineRule="auto"/>
              <w:jc w:val="center"/>
              <w:rPr>
                <w:rFonts w:ascii="Times New Roman" w:hAnsi="Times New Roman" w:cs="Times New Roman"/>
                <w:sz w:val="24"/>
                <w:szCs w:val="24"/>
              </w:rPr>
            </w:pPr>
            <w:r w:rsidRPr="00CF568A">
              <w:rPr>
                <w:rFonts w:ascii="Times New Roman" w:hAnsi="Times New Roman" w:cs="Times New Roman"/>
                <w:b/>
                <w:bCs/>
                <w:sz w:val="24"/>
                <w:szCs w:val="24"/>
              </w:rPr>
              <w:t>Other Internists (n=58)</w:t>
            </w:r>
          </w:p>
        </w:tc>
      </w:tr>
      <w:tr w:rsidR="009B0656" w:rsidRPr="00CF568A" w14:paraId="4A66F1B7" w14:textId="77777777" w:rsidTr="002865F1">
        <w:tc>
          <w:tcPr>
            <w:tcW w:w="5035" w:type="dxa"/>
          </w:tcPr>
          <w:p w14:paraId="45722909" w14:textId="77777777" w:rsidR="009B0656" w:rsidRPr="00CF568A" w:rsidRDefault="009B0656" w:rsidP="002865F1">
            <w:pPr>
              <w:spacing w:before="80" w:after="80" w:line="480" w:lineRule="auto"/>
              <w:rPr>
                <w:rFonts w:ascii="Times New Roman" w:hAnsi="Times New Roman" w:cs="Times New Roman"/>
                <w:sz w:val="24"/>
                <w:szCs w:val="24"/>
              </w:rPr>
            </w:pPr>
            <w:r w:rsidRPr="00CF568A">
              <w:rPr>
                <w:rFonts w:ascii="Times New Roman" w:hAnsi="Times New Roman" w:cs="Times New Roman"/>
                <w:sz w:val="24"/>
                <w:szCs w:val="24"/>
              </w:rPr>
              <w:t>Scenario 1 (cellulitis), n (</w:t>
            </w:r>
            <w:proofErr w:type="gramStart"/>
            <w:r w:rsidRPr="00CF568A">
              <w:rPr>
                <w:rFonts w:ascii="Times New Roman" w:hAnsi="Times New Roman" w:cs="Times New Roman"/>
                <w:sz w:val="24"/>
                <w:szCs w:val="24"/>
              </w:rPr>
              <w:t>%)*</w:t>
            </w:r>
            <w:proofErr w:type="gramEnd"/>
            <w:r w:rsidRPr="00CF568A">
              <w:rPr>
                <w:rFonts w:ascii="Times New Roman" w:hAnsi="Times New Roman" w:cs="Times New Roman"/>
                <w:sz w:val="24"/>
                <w:szCs w:val="24"/>
              </w:rPr>
              <w:t>*</w:t>
            </w:r>
          </w:p>
        </w:tc>
        <w:tc>
          <w:tcPr>
            <w:tcW w:w="1334" w:type="dxa"/>
            <w:vAlign w:val="center"/>
          </w:tcPr>
          <w:p w14:paraId="479D0DD8" w14:textId="77777777" w:rsidR="009B0656" w:rsidRPr="00CF568A" w:rsidRDefault="009B0656" w:rsidP="002865F1">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16 (84.2%)</w:t>
            </w:r>
          </w:p>
        </w:tc>
        <w:tc>
          <w:tcPr>
            <w:tcW w:w="1278" w:type="dxa"/>
            <w:vAlign w:val="center"/>
          </w:tcPr>
          <w:p w14:paraId="6F28F906" w14:textId="77777777" w:rsidR="009B0656" w:rsidRPr="00CF568A" w:rsidRDefault="009B0656" w:rsidP="002865F1">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17 (27.4%)</w:t>
            </w:r>
          </w:p>
        </w:tc>
        <w:tc>
          <w:tcPr>
            <w:tcW w:w="1703" w:type="dxa"/>
            <w:vAlign w:val="center"/>
          </w:tcPr>
          <w:p w14:paraId="11E6480E" w14:textId="77777777" w:rsidR="009B0656" w:rsidRPr="00CF568A" w:rsidRDefault="009B0656" w:rsidP="002865F1">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23 (39.7%)</w:t>
            </w:r>
          </w:p>
        </w:tc>
      </w:tr>
      <w:tr w:rsidR="009B0656" w:rsidRPr="00CF568A" w14:paraId="64F82FDF" w14:textId="77777777" w:rsidTr="002865F1">
        <w:tc>
          <w:tcPr>
            <w:tcW w:w="5035" w:type="dxa"/>
          </w:tcPr>
          <w:p w14:paraId="6A53CEE5" w14:textId="77777777" w:rsidR="009B0656" w:rsidRPr="00CF568A" w:rsidRDefault="009B0656" w:rsidP="002865F1">
            <w:pPr>
              <w:spacing w:before="80" w:after="80" w:line="480" w:lineRule="auto"/>
              <w:rPr>
                <w:rFonts w:ascii="Times New Roman" w:hAnsi="Times New Roman" w:cs="Times New Roman"/>
                <w:sz w:val="24"/>
                <w:szCs w:val="24"/>
              </w:rPr>
            </w:pPr>
            <w:r w:rsidRPr="00CF568A">
              <w:rPr>
                <w:rFonts w:ascii="Times New Roman" w:hAnsi="Times New Roman" w:cs="Times New Roman"/>
                <w:sz w:val="24"/>
                <w:szCs w:val="24"/>
              </w:rPr>
              <w:t>Scenario 2 (community-acquired pneumonia), n (</w:t>
            </w:r>
            <w:proofErr w:type="gramStart"/>
            <w:r w:rsidRPr="00CF568A">
              <w:rPr>
                <w:rFonts w:ascii="Times New Roman" w:hAnsi="Times New Roman" w:cs="Times New Roman"/>
                <w:sz w:val="24"/>
                <w:szCs w:val="24"/>
              </w:rPr>
              <w:t>%)*</w:t>
            </w:r>
            <w:proofErr w:type="gramEnd"/>
          </w:p>
        </w:tc>
        <w:tc>
          <w:tcPr>
            <w:tcW w:w="1334" w:type="dxa"/>
            <w:vAlign w:val="center"/>
          </w:tcPr>
          <w:p w14:paraId="2C352A18" w14:textId="77777777" w:rsidR="009B0656" w:rsidRPr="00CF568A" w:rsidRDefault="009B0656" w:rsidP="002865F1">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14 (73.7%)</w:t>
            </w:r>
          </w:p>
        </w:tc>
        <w:tc>
          <w:tcPr>
            <w:tcW w:w="1278" w:type="dxa"/>
            <w:vAlign w:val="center"/>
          </w:tcPr>
          <w:p w14:paraId="0E9C9AB6" w14:textId="77777777" w:rsidR="009B0656" w:rsidRPr="00CF568A" w:rsidRDefault="009B0656" w:rsidP="002865F1">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26 (41.9%)</w:t>
            </w:r>
          </w:p>
        </w:tc>
        <w:tc>
          <w:tcPr>
            <w:tcW w:w="1703" w:type="dxa"/>
            <w:vAlign w:val="center"/>
          </w:tcPr>
          <w:p w14:paraId="28E7F03D" w14:textId="77777777" w:rsidR="009B0656" w:rsidRPr="00CF568A" w:rsidRDefault="009B0656" w:rsidP="002865F1">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26 (44.8%)</w:t>
            </w:r>
          </w:p>
        </w:tc>
      </w:tr>
      <w:tr w:rsidR="009B0656" w:rsidRPr="00CF568A" w14:paraId="6EE5F39C" w14:textId="77777777" w:rsidTr="002865F1">
        <w:tc>
          <w:tcPr>
            <w:tcW w:w="5035" w:type="dxa"/>
          </w:tcPr>
          <w:p w14:paraId="20516471" w14:textId="77777777" w:rsidR="009B0656" w:rsidRPr="00CF568A" w:rsidRDefault="009B0656" w:rsidP="002865F1">
            <w:pPr>
              <w:spacing w:before="80" w:after="80" w:line="480" w:lineRule="auto"/>
              <w:rPr>
                <w:rFonts w:ascii="Times New Roman" w:hAnsi="Times New Roman" w:cs="Times New Roman"/>
                <w:sz w:val="24"/>
                <w:szCs w:val="24"/>
              </w:rPr>
            </w:pPr>
            <w:r w:rsidRPr="00CF568A">
              <w:rPr>
                <w:rFonts w:ascii="Times New Roman" w:hAnsi="Times New Roman" w:cs="Times New Roman"/>
                <w:sz w:val="24"/>
                <w:szCs w:val="24"/>
              </w:rPr>
              <w:t>Scenario 3 (non-catheter-associated asymptomatic bacteriuria), n (</w:t>
            </w:r>
            <w:proofErr w:type="gramStart"/>
            <w:r w:rsidRPr="00CF568A">
              <w:rPr>
                <w:rFonts w:ascii="Times New Roman" w:hAnsi="Times New Roman" w:cs="Times New Roman"/>
                <w:sz w:val="24"/>
                <w:szCs w:val="24"/>
              </w:rPr>
              <w:t>%)*</w:t>
            </w:r>
            <w:proofErr w:type="gramEnd"/>
          </w:p>
        </w:tc>
        <w:tc>
          <w:tcPr>
            <w:tcW w:w="1334" w:type="dxa"/>
            <w:vAlign w:val="center"/>
          </w:tcPr>
          <w:p w14:paraId="6D870223" w14:textId="77777777" w:rsidR="009B0656" w:rsidRPr="00CF568A" w:rsidRDefault="009B0656" w:rsidP="002865F1">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14 (73.7%)</w:t>
            </w:r>
          </w:p>
        </w:tc>
        <w:tc>
          <w:tcPr>
            <w:tcW w:w="1278" w:type="dxa"/>
            <w:vAlign w:val="center"/>
          </w:tcPr>
          <w:p w14:paraId="6F69F6AB" w14:textId="77777777" w:rsidR="009B0656" w:rsidRPr="00CF568A" w:rsidRDefault="009B0656" w:rsidP="002865F1">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41 (66.1%)</w:t>
            </w:r>
          </w:p>
        </w:tc>
        <w:tc>
          <w:tcPr>
            <w:tcW w:w="1703" w:type="dxa"/>
            <w:vAlign w:val="center"/>
          </w:tcPr>
          <w:p w14:paraId="4F28E4FF" w14:textId="77777777" w:rsidR="009B0656" w:rsidRPr="00CF568A" w:rsidRDefault="009B0656" w:rsidP="002865F1">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25 (43.1%)</w:t>
            </w:r>
          </w:p>
        </w:tc>
      </w:tr>
      <w:tr w:rsidR="009B0656" w:rsidRPr="00CF568A" w14:paraId="419C9CCB" w14:textId="77777777" w:rsidTr="002865F1">
        <w:tc>
          <w:tcPr>
            <w:tcW w:w="5035" w:type="dxa"/>
          </w:tcPr>
          <w:p w14:paraId="06BF93DF" w14:textId="77777777" w:rsidR="009B0656" w:rsidRPr="00CF568A" w:rsidRDefault="009B0656" w:rsidP="002865F1">
            <w:pPr>
              <w:spacing w:before="80" w:after="80" w:line="480" w:lineRule="auto"/>
              <w:rPr>
                <w:rFonts w:ascii="Times New Roman" w:hAnsi="Times New Roman" w:cs="Times New Roman"/>
                <w:sz w:val="24"/>
                <w:szCs w:val="24"/>
              </w:rPr>
            </w:pPr>
            <w:r w:rsidRPr="00CF568A">
              <w:rPr>
                <w:rFonts w:ascii="Times New Roman" w:hAnsi="Times New Roman" w:cs="Times New Roman"/>
                <w:sz w:val="24"/>
                <w:szCs w:val="24"/>
              </w:rPr>
              <w:t>Scenario 4 (catheter-associated asymptomatic bacteriuria), n (</w:t>
            </w:r>
            <w:proofErr w:type="gramStart"/>
            <w:r w:rsidRPr="00CF568A">
              <w:rPr>
                <w:rFonts w:ascii="Times New Roman" w:hAnsi="Times New Roman" w:cs="Times New Roman"/>
                <w:sz w:val="24"/>
                <w:szCs w:val="24"/>
              </w:rPr>
              <w:t>%)*</w:t>
            </w:r>
            <w:proofErr w:type="gramEnd"/>
          </w:p>
        </w:tc>
        <w:tc>
          <w:tcPr>
            <w:tcW w:w="1334" w:type="dxa"/>
            <w:vAlign w:val="center"/>
          </w:tcPr>
          <w:p w14:paraId="7E989093" w14:textId="77777777" w:rsidR="009B0656" w:rsidRPr="00CF568A" w:rsidRDefault="009B0656" w:rsidP="002865F1">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12 (63.2%)</w:t>
            </w:r>
          </w:p>
        </w:tc>
        <w:tc>
          <w:tcPr>
            <w:tcW w:w="1278" w:type="dxa"/>
            <w:vAlign w:val="center"/>
          </w:tcPr>
          <w:p w14:paraId="3DEF4AF1" w14:textId="77777777" w:rsidR="009B0656" w:rsidRPr="00CF568A" w:rsidRDefault="009B0656" w:rsidP="002865F1">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20 (32.3%)</w:t>
            </w:r>
          </w:p>
        </w:tc>
        <w:tc>
          <w:tcPr>
            <w:tcW w:w="1703" w:type="dxa"/>
            <w:vAlign w:val="center"/>
          </w:tcPr>
          <w:p w14:paraId="201ADCFD" w14:textId="77777777" w:rsidR="009B0656" w:rsidRPr="00CF568A" w:rsidRDefault="009B0656" w:rsidP="002865F1">
            <w:pPr>
              <w:spacing w:before="80" w:after="80" w:line="480" w:lineRule="auto"/>
              <w:jc w:val="center"/>
              <w:rPr>
                <w:rFonts w:ascii="Times New Roman" w:hAnsi="Times New Roman" w:cs="Times New Roman"/>
                <w:sz w:val="24"/>
                <w:szCs w:val="24"/>
              </w:rPr>
            </w:pPr>
            <w:r w:rsidRPr="00CF568A">
              <w:rPr>
                <w:rFonts w:ascii="Times New Roman" w:hAnsi="Times New Roman" w:cs="Times New Roman"/>
                <w:sz w:val="24"/>
                <w:szCs w:val="24"/>
              </w:rPr>
              <w:t>17 (29.3%)</w:t>
            </w:r>
          </w:p>
        </w:tc>
      </w:tr>
    </w:tbl>
    <w:p w14:paraId="3037EB24" w14:textId="77777777" w:rsidR="009B0656" w:rsidRPr="00CF568A" w:rsidRDefault="009B0656" w:rsidP="009B0656">
      <w:pPr>
        <w:spacing w:line="480" w:lineRule="auto"/>
        <w:rPr>
          <w:rFonts w:ascii="Times New Roman" w:hAnsi="Times New Roman" w:cs="Times New Roman"/>
          <w:sz w:val="24"/>
          <w:szCs w:val="24"/>
        </w:rPr>
      </w:pPr>
      <w:r w:rsidRPr="00CF568A">
        <w:rPr>
          <w:rFonts w:ascii="Times New Roman" w:hAnsi="Times New Roman" w:cs="Times New Roman"/>
          <w:sz w:val="24"/>
          <w:szCs w:val="24"/>
        </w:rPr>
        <w:t>*: p &lt;0.05</w:t>
      </w:r>
    </w:p>
    <w:p w14:paraId="6C44A449" w14:textId="77777777" w:rsidR="009B0656" w:rsidRPr="00CF568A" w:rsidRDefault="009B0656" w:rsidP="009B0656">
      <w:pPr>
        <w:spacing w:line="480" w:lineRule="auto"/>
        <w:rPr>
          <w:rFonts w:ascii="Times New Roman" w:hAnsi="Times New Roman" w:cs="Times New Roman"/>
          <w:sz w:val="24"/>
          <w:szCs w:val="24"/>
        </w:rPr>
      </w:pPr>
      <w:r w:rsidRPr="00CF568A">
        <w:rPr>
          <w:rFonts w:ascii="Times New Roman" w:hAnsi="Times New Roman" w:cs="Times New Roman"/>
          <w:sz w:val="24"/>
          <w:szCs w:val="24"/>
        </w:rPr>
        <w:t>**: p &lt;0.001</w:t>
      </w:r>
    </w:p>
    <w:p w14:paraId="205F670D" w14:textId="77777777" w:rsidR="009B0656" w:rsidRPr="00CF568A" w:rsidRDefault="009B0656" w:rsidP="009B0656">
      <w:pPr>
        <w:spacing w:line="480" w:lineRule="auto"/>
        <w:rPr>
          <w:rFonts w:ascii="Times New Roman" w:hAnsi="Times New Roman" w:cs="Times New Roman"/>
          <w:sz w:val="24"/>
          <w:szCs w:val="24"/>
        </w:rPr>
      </w:pPr>
    </w:p>
    <w:p w14:paraId="0701322C" w14:textId="77777777" w:rsidR="009B0656" w:rsidRPr="00CF568A" w:rsidRDefault="009B0656" w:rsidP="009B0656">
      <w:pPr>
        <w:spacing w:line="480" w:lineRule="auto"/>
        <w:rPr>
          <w:rFonts w:ascii="Times New Roman" w:hAnsi="Times New Roman" w:cs="Times New Roman"/>
          <w:sz w:val="24"/>
          <w:szCs w:val="24"/>
        </w:rPr>
      </w:pPr>
    </w:p>
    <w:p w14:paraId="73CDB328" w14:textId="77777777" w:rsidR="007B3764" w:rsidRDefault="00D82732"/>
    <w:sectPr w:rsidR="007B3764" w:rsidSect="000C2D9A">
      <w:pgSz w:w="12240" w:h="15840"/>
      <w:pgMar w:top="1440" w:right="1440" w:bottom="1440" w:left="144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656"/>
    <w:rsid w:val="000C2D9A"/>
    <w:rsid w:val="001E18AF"/>
    <w:rsid w:val="00221903"/>
    <w:rsid w:val="0026770D"/>
    <w:rsid w:val="002758E1"/>
    <w:rsid w:val="004E3E83"/>
    <w:rsid w:val="005340D3"/>
    <w:rsid w:val="0065572D"/>
    <w:rsid w:val="009B0656"/>
    <w:rsid w:val="009C49C6"/>
    <w:rsid w:val="00B443FD"/>
    <w:rsid w:val="00CC708F"/>
    <w:rsid w:val="00D82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A2E53"/>
  <w15:chartTrackingRefBased/>
  <w15:docId w15:val="{376A53E9-A0A1-4BAB-A13F-62137B85A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6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065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0C2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9E677-CC11-48A1-9507-65DB2F13F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2141</Words>
  <Characters>12206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Graber, Christopher J.</dc:creator>
  <cp:keywords/>
  <dc:description/>
  <cp:lastModifiedBy>Graber, Christopher J.</cp:lastModifiedBy>
  <cp:revision>2</cp:revision>
  <dcterms:created xsi:type="dcterms:W3CDTF">2022-03-17T22:22:00Z</dcterms:created>
  <dcterms:modified xsi:type="dcterms:W3CDTF">2022-03-17T22:22:00Z</dcterms:modified>
</cp:coreProperties>
</file>