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41" w:rsidRDefault="00320C41" w:rsidP="00320C41">
      <w:pPr>
        <w:rPr>
          <w:rFonts w:ascii="Arial" w:hAnsi="Arial" w:cs="Arial"/>
        </w:rPr>
      </w:pPr>
      <w:bookmarkStart w:id="0" w:name="_GoBack"/>
      <w:bookmarkEnd w:id="0"/>
      <w:r w:rsidRPr="00A11762">
        <w:rPr>
          <w:rFonts w:ascii="Arial" w:hAnsi="Arial" w:cs="Arial"/>
          <w:b/>
        </w:rPr>
        <w:t>Supplementary Table 1</w:t>
      </w:r>
      <w:r>
        <w:rPr>
          <w:rFonts w:ascii="Arial" w:hAnsi="Arial" w:cs="Arial"/>
        </w:rPr>
        <w:t xml:space="preserve">. </w:t>
      </w:r>
      <w:r w:rsidRPr="004932ED">
        <w:rPr>
          <w:rFonts w:ascii="Arial" w:hAnsi="Arial" w:cs="Arial"/>
        </w:rPr>
        <w:t>HA-CDI and CA-CDI rates for COVID-19 pre-pandemic and pandemic periods, Canadian Nosocomial Infection Surveillance Program, Canada</w:t>
      </w:r>
    </w:p>
    <w:p w:rsidR="00DF7E26" w:rsidRDefault="00DF7E26" w:rsidP="00320C41">
      <w:pPr>
        <w:rPr>
          <w:rFonts w:ascii="Arial" w:hAnsi="Arial" w:cs="Arial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984"/>
        <w:gridCol w:w="1701"/>
        <w:gridCol w:w="851"/>
        <w:gridCol w:w="1984"/>
        <w:gridCol w:w="1701"/>
        <w:gridCol w:w="992"/>
      </w:tblGrid>
      <w:tr w:rsidR="00320C41" w:rsidRPr="003E66CC" w:rsidTr="000D2541">
        <w:tc>
          <w:tcPr>
            <w:tcW w:w="993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320C41" w:rsidRPr="003E66CC" w:rsidRDefault="00320C41" w:rsidP="000D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hAnsi="Arial" w:cs="Arial"/>
                <w:sz w:val="20"/>
                <w:szCs w:val="20"/>
              </w:rPr>
              <w:t>Pre-pandemic</w:t>
            </w:r>
            <w:r>
              <w:rPr>
                <w:rFonts w:ascii="Arial" w:hAnsi="Arial" w:cs="Arial"/>
                <w:sz w:val="20"/>
                <w:szCs w:val="20"/>
              </w:rPr>
              <w:t xml:space="preserve"> (January 2019-February 2020)</w:t>
            </w:r>
          </w:p>
        </w:tc>
        <w:tc>
          <w:tcPr>
            <w:tcW w:w="4536" w:type="dxa"/>
            <w:gridSpan w:val="3"/>
          </w:tcPr>
          <w:p w:rsidR="00320C41" w:rsidRPr="003E66CC" w:rsidRDefault="00320C41" w:rsidP="000D2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hAnsi="Arial" w:cs="Arial"/>
                <w:sz w:val="20"/>
                <w:szCs w:val="20"/>
              </w:rPr>
              <w:t>COVID-19 pandemic</w:t>
            </w:r>
            <w:r>
              <w:rPr>
                <w:rFonts w:ascii="Arial" w:hAnsi="Arial" w:cs="Arial"/>
                <w:sz w:val="20"/>
                <w:szCs w:val="20"/>
              </w:rPr>
              <w:t xml:space="preserve"> (March 2020-June 2021)</w:t>
            </w:r>
          </w:p>
        </w:tc>
        <w:tc>
          <w:tcPr>
            <w:tcW w:w="992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1" w:rsidRPr="003E66CC" w:rsidTr="000D2541">
        <w:tc>
          <w:tcPr>
            <w:tcW w:w="993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85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Cases</w:t>
            </w:r>
          </w:p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Denominator</w:t>
            </w:r>
          </w:p>
        </w:tc>
        <w:tc>
          <w:tcPr>
            <w:tcW w:w="1701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Unadjusted rate (95% CI)* </w:t>
            </w:r>
          </w:p>
        </w:tc>
        <w:tc>
          <w:tcPr>
            <w:tcW w:w="85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Cases</w:t>
            </w:r>
          </w:p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Denominator</w:t>
            </w:r>
          </w:p>
        </w:tc>
        <w:tc>
          <w:tcPr>
            <w:tcW w:w="1701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Unadjusted rate (95% CI)*</w:t>
            </w:r>
          </w:p>
        </w:tc>
        <w:tc>
          <w:tcPr>
            <w:tcW w:w="992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Rate change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, </w:t>
            </w:r>
            <w:r w:rsidRPr="00083AA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CA"/>
              </w:rPr>
              <w:t>p-</w:t>
            </w:r>
            <w:r w:rsidRPr="00083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value</w:t>
            </w:r>
          </w:p>
        </w:tc>
      </w:tr>
      <w:tr w:rsidR="00320C41" w:rsidRPr="003E66CC" w:rsidTr="000D2541">
        <w:tc>
          <w:tcPr>
            <w:tcW w:w="993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hAnsi="Arial" w:cs="Arial"/>
                <w:sz w:val="20"/>
                <w:szCs w:val="20"/>
              </w:rPr>
              <w:t xml:space="preserve">HA-CDI </w:t>
            </w:r>
          </w:p>
        </w:tc>
        <w:tc>
          <w:tcPr>
            <w:tcW w:w="85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2856</w:t>
            </w:r>
          </w:p>
        </w:tc>
        <w:tc>
          <w:tcPr>
            <w:tcW w:w="1984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8475872 </w:t>
            </w:r>
          </w:p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patient </w:t>
            </w: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days</w:t>
            </w:r>
          </w:p>
        </w:tc>
        <w:tc>
          <w:tcPr>
            <w:tcW w:w="170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</w:t>
            </w: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(3.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-3.5)</w:t>
            </w:r>
          </w:p>
        </w:tc>
        <w:tc>
          <w:tcPr>
            <w:tcW w:w="85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3062</w:t>
            </w:r>
          </w:p>
        </w:tc>
        <w:tc>
          <w:tcPr>
            <w:tcW w:w="1984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8694620</w:t>
            </w:r>
          </w:p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patient days</w:t>
            </w:r>
          </w:p>
        </w:tc>
        <w:tc>
          <w:tcPr>
            <w:tcW w:w="170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3.5 (3.4-3.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</w:t>
            </w: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992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4.5%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 0.0896</w:t>
            </w:r>
          </w:p>
        </w:tc>
      </w:tr>
      <w:tr w:rsidR="00320C41" w:rsidRPr="003E66CC" w:rsidTr="000D2541">
        <w:tc>
          <w:tcPr>
            <w:tcW w:w="993" w:type="dxa"/>
          </w:tcPr>
          <w:p w:rsidR="00320C41" w:rsidRPr="003E66CC" w:rsidRDefault="00320C41" w:rsidP="000D2541">
            <w:pPr>
              <w:rPr>
                <w:rFonts w:ascii="Arial" w:hAnsi="Arial" w:cs="Arial"/>
                <w:sz w:val="20"/>
                <w:szCs w:val="20"/>
              </w:rPr>
            </w:pPr>
            <w:r w:rsidRPr="003E66CC">
              <w:rPr>
                <w:rFonts w:ascii="Arial" w:hAnsi="Arial" w:cs="Arial"/>
                <w:sz w:val="20"/>
                <w:szCs w:val="20"/>
              </w:rPr>
              <w:t>CA-CDI</w:t>
            </w:r>
          </w:p>
        </w:tc>
        <w:tc>
          <w:tcPr>
            <w:tcW w:w="85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1076</w:t>
            </w:r>
          </w:p>
        </w:tc>
        <w:tc>
          <w:tcPr>
            <w:tcW w:w="1984" w:type="dxa"/>
          </w:tcPr>
          <w:p w:rsidR="00320C41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901923 </w:t>
            </w:r>
          </w:p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patient admissions</w:t>
            </w:r>
          </w:p>
        </w:tc>
        <w:tc>
          <w:tcPr>
            <w:tcW w:w="170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(1.1-1.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85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1360</w:t>
            </w:r>
          </w:p>
        </w:tc>
        <w:tc>
          <w:tcPr>
            <w:tcW w:w="1984" w:type="dxa"/>
          </w:tcPr>
          <w:p w:rsidR="00320C41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938607</w:t>
            </w:r>
          </w:p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patient admissions</w:t>
            </w:r>
          </w:p>
        </w:tc>
        <w:tc>
          <w:tcPr>
            <w:tcW w:w="1701" w:type="dxa"/>
          </w:tcPr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1.5 (1.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</w:t>
            </w: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-1.5)</w:t>
            </w:r>
          </w:p>
        </w:tc>
        <w:tc>
          <w:tcPr>
            <w:tcW w:w="992" w:type="dxa"/>
          </w:tcPr>
          <w:p w:rsidR="00320C41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3E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21.8%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,</w:t>
            </w:r>
          </w:p>
          <w:p w:rsidR="00320C41" w:rsidRPr="003E66CC" w:rsidRDefault="00320C41" w:rsidP="000D25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&lt;0.0001</w:t>
            </w:r>
          </w:p>
        </w:tc>
      </w:tr>
    </w:tbl>
    <w:p w:rsidR="00320C41" w:rsidRDefault="00320C41" w:rsidP="00320C41">
      <w:pPr>
        <w:spacing w:line="20" w:lineRule="exact"/>
        <w:contextualSpacing/>
        <w:rPr>
          <w:rFonts w:ascii="Arial" w:hAnsi="Arial" w:cs="Arial"/>
        </w:rPr>
      </w:pPr>
    </w:p>
    <w:p w:rsidR="00320C41" w:rsidRPr="00672803" w:rsidRDefault="00320C41" w:rsidP="00320C41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672803">
        <w:rPr>
          <w:rFonts w:ascii="Arial" w:hAnsi="Arial" w:cs="Arial"/>
          <w:sz w:val="20"/>
          <w:szCs w:val="20"/>
        </w:rPr>
        <w:t>*</w:t>
      </w:r>
      <w:r w:rsidRPr="00D729AB">
        <w:t xml:space="preserve"> </w:t>
      </w:r>
      <w:r w:rsidRPr="00D729AB">
        <w:rPr>
          <w:rFonts w:ascii="Arial" w:hAnsi="Arial" w:cs="Arial"/>
          <w:sz w:val="20"/>
          <w:szCs w:val="20"/>
        </w:rPr>
        <w:t>HA-CDI rates were presented as 10,000 patient days and CA-CDI rates as 1,000 patient admissions</w:t>
      </w:r>
    </w:p>
    <w:p w:rsidR="00DD3203" w:rsidRDefault="00967852"/>
    <w:p w:rsidR="00A11762" w:rsidRDefault="00A11762"/>
    <w:p w:rsidR="00A11762" w:rsidRDefault="00A11762" w:rsidP="00A11762">
      <w:pPr>
        <w:spacing w:after="160" w:line="259" w:lineRule="auto"/>
        <w:rPr>
          <w:rFonts w:ascii="Arial" w:hAnsi="Arial" w:cs="Arial"/>
        </w:rPr>
      </w:pPr>
      <w:r w:rsidRPr="00D84D1F">
        <w:rPr>
          <w:rFonts w:ascii="Arial" w:hAnsi="Arial" w:cs="Arial"/>
          <w:b/>
        </w:rPr>
        <w:t>Supplemental Table</w:t>
      </w:r>
      <w:r>
        <w:rPr>
          <w:rFonts w:ascii="Arial" w:hAnsi="Arial" w:cs="Arial"/>
          <w:b/>
        </w:rPr>
        <w:t xml:space="preserve"> 2</w:t>
      </w:r>
      <w:r w:rsidRPr="00D84D1F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CDI patient characteristics with and without COVID-19 for 2021 cases.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26"/>
        <w:gridCol w:w="2552"/>
      </w:tblGrid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COVID-19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patients</w:t>
            </w:r>
          </w:p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(n=64)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non-COVID-19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patients</w:t>
            </w:r>
          </w:p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(n=1,180)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Age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in years, median (IQR)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69 (54.5–79.5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67.5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(52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–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78)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Female sex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, n (%)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35 (54.7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589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(4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9.9)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Healthcare-associated CDI, n (%)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50 (78.1)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772 (66.1)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</w:tcPr>
          <w:p w:rsidR="00A11762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Days to CDI positive test from admission (IQR)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11762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10.5 (2.0–23.0)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A11762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4.0 (1.0–13.0)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Temp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°C, median (IQR) *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36.9 (36.6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–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37.3)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37.0 (36.6–37.5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Leukocyte count, x10</w:t>
            </w:r>
            <w:r w:rsidRPr="00607F95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en-CA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/L, </w:t>
            </w:r>
            <w:r w:rsidRPr="00607F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median (IQR)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*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9.9 (6.3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–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11.5)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9.5 (6.3–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15.4)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607F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Albumin, g/L, median (IQR)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*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30.0 (26.0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–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34.0)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29.0 (24.0–34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.0)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Colectomy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, n (%)*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1/28 (3.6)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5/430 (1.2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ICU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, n (%)*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3/29 (10.3)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35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/4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35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(6.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7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)</w:t>
            </w:r>
          </w:p>
        </w:tc>
      </w:tr>
      <w:tr w:rsidR="00A11762" w:rsidRPr="00064300" w:rsidTr="000D2541">
        <w:trPr>
          <w:trHeight w:val="29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Mortality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, n (%)*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3/29 (10.3)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11762" w:rsidRPr="00064300" w:rsidRDefault="00A11762" w:rsidP="000D254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37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/4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32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(8.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6</w:t>
            </w:r>
            <w:r w:rsidRPr="0006430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)</w:t>
            </w:r>
          </w:p>
        </w:tc>
      </w:tr>
    </w:tbl>
    <w:p w:rsidR="00A11762" w:rsidRPr="000A5A3C" w:rsidRDefault="00A11762" w:rsidP="00A11762">
      <w:pPr>
        <w:rPr>
          <w:rFonts w:ascii="Arial" w:hAnsi="Arial" w:cs="Arial"/>
          <w:sz w:val="20"/>
          <w:szCs w:val="20"/>
        </w:rPr>
      </w:pPr>
      <w:r w:rsidRPr="000A5A3C">
        <w:rPr>
          <w:rFonts w:ascii="Arial" w:hAnsi="Arial" w:cs="Arial"/>
          <w:sz w:val="20"/>
          <w:szCs w:val="20"/>
        </w:rPr>
        <w:t>*Clinical and outcome data were collected in March and April only as per the CNISP CDI protocol</w:t>
      </w:r>
      <w:r>
        <w:rPr>
          <w:rFonts w:ascii="Arial" w:hAnsi="Arial" w:cs="Arial"/>
          <w:sz w:val="20"/>
          <w:szCs w:val="20"/>
        </w:rPr>
        <w:t>; IQR=interquartile range</w:t>
      </w:r>
    </w:p>
    <w:p w:rsidR="00A11762" w:rsidRDefault="00A11762"/>
    <w:sectPr w:rsidR="00A11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41"/>
    <w:rsid w:val="00320C41"/>
    <w:rsid w:val="008C392D"/>
    <w:rsid w:val="00903143"/>
    <w:rsid w:val="00967852"/>
    <w:rsid w:val="00A11762"/>
    <w:rsid w:val="00D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EF160-929B-4FB2-94B9-221E083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4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Kelly (PHAC/ASPC)</dc:creator>
  <cp:keywords/>
  <dc:description/>
  <cp:lastModifiedBy>Hota, Susy</cp:lastModifiedBy>
  <cp:revision>2</cp:revision>
  <dcterms:created xsi:type="dcterms:W3CDTF">2022-07-28T20:09:00Z</dcterms:created>
  <dcterms:modified xsi:type="dcterms:W3CDTF">2022-07-28T20:09:00Z</dcterms:modified>
</cp:coreProperties>
</file>