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57A1A" w14:textId="72E157A1" w:rsidR="00F85BEB" w:rsidRDefault="00F85BEB">
      <w:r>
        <w:t>Supplemental Material</w:t>
      </w:r>
    </w:p>
    <w:sdt>
      <w:sdtPr>
        <w:id w:val="-1660989332"/>
        <w:docPartObj>
          <w:docPartGallery w:val="Cover Pages"/>
          <w:docPartUnique/>
        </w:docPartObj>
      </w:sdtPr>
      <w:sdtEndPr/>
      <w:sdtContent>
        <w:p w14:paraId="632C6348" w14:textId="4C65352A" w:rsidR="00BB03E5" w:rsidRDefault="00BB03E5"/>
        <w:p w14:paraId="654798B9" w14:textId="77777777" w:rsidR="00276B9C" w:rsidRDefault="00276B9C" w:rsidP="00276B9C">
          <w:pPr>
            <w:jc w:val="center"/>
          </w:pPr>
        </w:p>
        <w:p w14:paraId="1D89730E" w14:textId="12D97E21" w:rsidR="00276B9C" w:rsidRPr="00675937" w:rsidRDefault="00C97881" w:rsidP="00675937">
          <w:pPr>
            <w:rPr>
              <w:sz w:val="24"/>
              <w:szCs w:val="24"/>
            </w:rPr>
          </w:pPr>
          <w:r w:rsidRPr="00675937">
            <w:rPr>
              <w:sz w:val="24"/>
              <w:szCs w:val="24"/>
            </w:rPr>
            <w:t>Polymyxin Flushes for Endotracheal Tube Suction Catheters in Extremely Low Birthweight Neonates: any benefit?</w:t>
          </w:r>
        </w:p>
        <w:p w14:paraId="6C68FE31" w14:textId="2D7BD5EA" w:rsidR="00F85BEB" w:rsidRDefault="00F85BEB" w:rsidP="00F85BEB">
          <w:pPr>
            <w:spacing w:line="480" w:lineRule="auto"/>
          </w:pPr>
          <w:r>
            <w:t>Other</w:t>
          </w:r>
          <w:r>
            <w:t xml:space="preserve"> Outcomes</w:t>
          </w:r>
        </w:p>
        <w:tbl>
          <w:tblPr>
            <w:tblStyle w:val="TableGrid"/>
            <w:tblW w:w="9249" w:type="dxa"/>
            <w:tblLook w:val="0420" w:firstRow="1" w:lastRow="0" w:firstColumn="0" w:lastColumn="0" w:noHBand="0" w:noVBand="1"/>
          </w:tblPr>
          <w:tblGrid>
            <w:gridCol w:w="2718"/>
            <w:gridCol w:w="2070"/>
            <w:gridCol w:w="1530"/>
            <w:gridCol w:w="1890"/>
            <w:gridCol w:w="1041"/>
          </w:tblGrid>
          <w:tr w:rsidR="00F85BEB" w:rsidRPr="00194A42" w14:paraId="5276CE2E" w14:textId="77777777" w:rsidTr="002D15BB">
            <w:tc>
              <w:tcPr>
                <w:tcW w:w="2718" w:type="dxa"/>
                <w:hideMark/>
              </w:tcPr>
              <w:p w14:paraId="12EC9B62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</w:p>
            </w:tc>
            <w:tc>
              <w:tcPr>
                <w:tcW w:w="2070" w:type="dxa"/>
                <w:hideMark/>
              </w:tcPr>
              <w:p w14:paraId="1A11C290" w14:textId="77777777" w:rsidR="00F85BEB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 xml:space="preserve">Total </w:t>
                </w:r>
              </w:p>
              <w:p w14:paraId="3661DE7D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(</w:t>
                </w:r>
                <w:r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n=</w:t>
                </w: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106)</w:t>
                </w:r>
              </w:p>
            </w:tc>
            <w:tc>
              <w:tcPr>
                <w:tcW w:w="1530" w:type="dxa"/>
                <w:hideMark/>
              </w:tcPr>
              <w:p w14:paraId="63A12285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Saline</w:t>
                </w: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 xml:space="preserve"> (</w:t>
                </w:r>
                <w:r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n=</w:t>
                </w: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52)</w:t>
                </w:r>
              </w:p>
            </w:tc>
            <w:tc>
              <w:tcPr>
                <w:tcW w:w="1890" w:type="dxa"/>
                <w:hideMark/>
              </w:tcPr>
              <w:p w14:paraId="37B6429A" w14:textId="77777777" w:rsidR="00F85BEB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 xml:space="preserve">Polymyxin </w:t>
                </w:r>
              </w:p>
              <w:p w14:paraId="6625D234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(</w:t>
                </w:r>
                <w:r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n=</w:t>
                </w: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54)</w:t>
                </w:r>
              </w:p>
            </w:tc>
            <w:tc>
              <w:tcPr>
                <w:tcW w:w="1041" w:type="dxa"/>
                <w:hideMark/>
              </w:tcPr>
              <w:p w14:paraId="53FE00F0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p-value</w:t>
                </w:r>
              </w:p>
            </w:tc>
          </w:tr>
          <w:tr w:rsidR="00F85BEB" w:rsidRPr="00194A42" w14:paraId="2AD19C10" w14:textId="77777777" w:rsidTr="002D15BB">
            <w:tc>
              <w:tcPr>
                <w:tcW w:w="2718" w:type="dxa"/>
              </w:tcPr>
              <w:p w14:paraId="32D09021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Length of stay (days), mean (SD)</w:t>
                </w:r>
              </w:p>
            </w:tc>
            <w:tc>
              <w:tcPr>
                <w:tcW w:w="2070" w:type="dxa"/>
              </w:tcPr>
              <w:p w14:paraId="06361E87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93.7 (52.3)</w:t>
                </w:r>
              </w:p>
            </w:tc>
            <w:tc>
              <w:tcPr>
                <w:tcW w:w="1530" w:type="dxa"/>
              </w:tcPr>
              <w:p w14:paraId="653DE108" w14:textId="77777777" w:rsidR="00F85BEB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90.8 (53.6)</w:t>
                </w:r>
              </w:p>
            </w:tc>
            <w:tc>
              <w:tcPr>
                <w:tcW w:w="1890" w:type="dxa"/>
              </w:tcPr>
              <w:p w14:paraId="11EECE65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96.5 (51.4), 101.5 (68-126)</w:t>
                </w:r>
              </w:p>
            </w:tc>
            <w:tc>
              <w:tcPr>
                <w:tcW w:w="1041" w:type="dxa"/>
              </w:tcPr>
              <w:p w14:paraId="1170AE0B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0.58</w:t>
                </w:r>
              </w:p>
            </w:tc>
          </w:tr>
          <w:tr w:rsidR="00F85BEB" w:rsidRPr="00194A42" w14:paraId="5A5A54E1" w14:textId="77777777" w:rsidTr="002D15BB">
            <w:trPr>
              <w:trHeight w:val="190"/>
            </w:trPr>
            <w:tc>
              <w:tcPr>
                <w:tcW w:w="2718" w:type="dxa"/>
                <w:hideMark/>
              </w:tcPr>
              <w:p w14:paraId="465CD0E7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Antibiotic days, mean (SD)</w:t>
                </w:r>
              </w:p>
            </w:tc>
            <w:tc>
              <w:tcPr>
                <w:tcW w:w="2070" w:type="dxa"/>
                <w:hideMark/>
              </w:tcPr>
              <w:p w14:paraId="71C70582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59.5 (48.4), 48.5 (27.25-78.5)</w:t>
                </w:r>
              </w:p>
            </w:tc>
            <w:tc>
              <w:tcPr>
                <w:tcW w:w="1530" w:type="dxa"/>
                <w:hideMark/>
              </w:tcPr>
              <w:p w14:paraId="7B2B3306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58.7 (54.98), 43 (27.3-73)</w:t>
                </w:r>
              </w:p>
            </w:tc>
            <w:tc>
              <w:tcPr>
                <w:tcW w:w="1890" w:type="dxa"/>
                <w:hideMark/>
              </w:tcPr>
              <w:p w14:paraId="43517579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60.2 (41.6), 55.5 (27.5-84.5)</w:t>
                </w:r>
              </w:p>
            </w:tc>
            <w:tc>
              <w:tcPr>
                <w:tcW w:w="1041" w:type="dxa"/>
                <w:hideMark/>
              </w:tcPr>
              <w:p w14:paraId="27148C62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0.35</w:t>
                </w:r>
              </w:p>
            </w:tc>
          </w:tr>
          <w:tr w:rsidR="00F85BEB" w:rsidRPr="00194A42" w14:paraId="6FDDDE25" w14:textId="77777777" w:rsidTr="002D15BB">
            <w:trPr>
              <w:trHeight w:val="185"/>
            </w:trPr>
            <w:tc>
              <w:tcPr>
                <w:tcW w:w="2718" w:type="dxa"/>
                <w:hideMark/>
              </w:tcPr>
              <w:p w14:paraId="56772E4D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Vasopressor receipt</w:t>
                </w: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, n (%)</w:t>
                </w:r>
              </w:p>
            </w:tc>
            <w:tc>
              <w:tcPr>
                <w:tcW w:w="2070" w:type="dxa"/>
                <w:hideMark/>
              </w:tcPr>
              <w:p w14:paraId="353835C3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81 (76.4%)</w:t>
                </w:r>
              </w:p>
            </w:tc>
            <w:tc>
              <w:tcPr>
                <w:tcW w:w="1530" w:type="dxa"/>
                <w:hideMark/>
              </w:tcPr>
              <w:p w14:paraId="487341FF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38 (73%)</w:t>
                </w:r>
              </w:p>
            </w:tc>
            <w:tc>
              <w:tcPr>
                <w:tcW w:w="1890" w:type="dxa"/>
                <w:hideMark/>
              </w:tcPr>
              <w:p w14:paraId="08B7AA68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43 (79.6)</w:t>
                </w:r>
              </w:p>
            </w:tc>
            <w:tc>
              <w:tcPr>
                <w:tcW w:w="1041" w:type="dxa"/>
                <w:hideMark/>
              </w:tcPr>
              <w:p w14:paraId="0911184C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0.34</w:t>
                </w:r>
              </w:p>
            </w:tc>
          </w:tr>
          <w:tr w:rsidR="00F85BEB" w:rsidRPr="00194A42" w14:paraId="75A4AB96" w14:textId="77777777" w:rsidTr="002D15BB">
            <w:trPr>
              <w:trHeight w:val="254"/>
            </w:trPr>
            <w:tc>
              <w:tcPr>
                <w:tcW w:w="2718" w:type="dxa"/>
                <w:hideMark/>
              </w:tcPr>
              <w:p w14:paraId="2DA016AC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Mortality, n (%)</w:t>
                </w:r>
              </w:p>
            </w:tc>
            <w:tc>
              <w:tcPr>
                <w:tcW w:w="2070" w:type="dxa"/>
                <w:hideMark/>
              </w:tcPr>
              <w:p w14:paraId="7192873E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17 (16)</w:t>
                </w:r>
              </w:p>
            </w:tc>
            <w:tc>
              <w:tcPr>
                <w:tcW w:w="1530" w:type="dxa"/>
                <w:hideMark/>
              </w:tcPr>
              <w:p w14:paraId="1D5B4FA9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8 (15.4%)</w:t>
                </w:r>
              </w:p>
            </w:tc>
            <w:tc>
              <w:tcPr>
                <w:tcW w:w="1890" w:type="dxa"/>
                <w:hideMark/>
              </w:tcPr>
              <w:p w14:paraId="530BBCDE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9 (16.7)</w:t>
                </w:r>
              </w:p>
            </w:tc>
            <w:tc>
              <w:tcPr>
                <w:tcW w:w="1041" w:type="dxa"/>
                <w:hideMark/>
              </w:tcPr>
              <w:p w14:paraId="04596C84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0.86</w:t>
                </w:r>
              </w:p>
            </w:tc>
          </w:tr>
          <w:tr w:rsidR="00F85BEB" w:rsidRPr="00194A42" w14:paraId="7B49B995" w14:textId="77777777" w:rsidTr="002D15BB">
            <w:trPr>
              <w:trHeight w:val="254"/>
            </w:trPr>
            <w:tc>
              <w:tcPr>
                <w:tcW w:w="2718" w:type="dxa"/>
                <w:hideMark/>
              </w:tcPr>
              <w:p w14:paraId="49579D11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Ventilator days, median (IQR)</w:t>
                </w:r>
              </w:p>
            </w:tc>
            <w:tc>
              <w:tcPr>
                <w:tcW w:w="2070" w:type="dxa"/>
                <w:hideMark/>
              </w:tcPr>
              <w:p w14:paraId="41316D84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28.3 (19.5), 24, 13.25-38.75</w:t>
                </w:r>
              </w:p>
            </w:tc>
            <w:tc>
              <w:tcPr>
                <w:tcW w:w="1530" w:type="dxa"/>
                <w:hideMark/>
              </w:tcPr>
              <w:p w14:paraId="204340B7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17 (9-33.5)</w:t>
                </w:r>
              </w:p>
            </w:tc>
            <w:tc>
              <w:tcPr>
                <w:tcW w:w="1890" w:type="dxa"/>
                <w:hideMark/>
              </w:tcPr>
              <w:p w14:paraId="4F166533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38.5 (25.75-53.75)</w:t>
                </w:r>
              </w:p>
            </w:tc>
            <w:tc>
              <w:tcPr>
                <w:tcW w:w="1041" w:type="dxa"/>
                <w:hideMark/>
              </w:tcPr>
              <w:p w14:paraId="293542A0" w14:textId="77777777" w:rsidR="00F85BEB" w:rsidRPr="00194A42" w:rsidRDefault="00F85BEB" w:rsidP="002D15BB">
                <w:pPr>
                  <w:spacing w:line="480" w:lineRule="auto"/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</w:pPr>
                <w:r w:rsidRPr="00194A42"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0.0</w:t>
                </w:r>
                <w:r>
                  <w:rPr>
                    <w:rFonts w:ascii="Calibri" w:eastAsia="Times New Roman" w:hAnsi="Calibri" w:cs="Arial"/>
                    <w:color w:val="000000" w:themeColor="dark1"/>
                    <w:kern w:val="24"/>
                  </w:rPr>
                  <w:t>1</w:t>
                </w:r>
              </w:p>
            </w:tc>
          </w:tr>
        </w:tbl>
        <w:p w14:paraId="56617194" w14:textId="77777777" w:rsidR="00F85BEB" w:rsidRDefault="00F85BEB" w:rsidP="00F85BEB">
          <w:pPr>
            <w:spacing w:line="480" w:lineRule="auto"/>
          </w:pPr>
          <w:r w:rsidRPr="00194A42">
            <w:rPr>
              <w:sz w:val="16"/>
              <w:szCs w:val="16"/>
            </w:rPr>
            <w:t>SD, standard deviation; IQR, interquartile range;</w:t>
          </w:r>
        </w:p>
        <w:p w14:paraId="07ABFF2C" w14:textId="77777777" w:rsidR="00F85BEB" w:rsidRDefault="00F85BEB" w:rsidP="00675937"/>
        <w:p w14:paraId="02CA5046" w14:textId="77777777" w:rsidR="00F85BEB" w:rsidRDefault="00F85BEB" w:rsidP="00675937"/>
        <w:p w14:paraId="71FC1B98" w14:textId="753E37CC" w:rsidR="00EB538F" w:rsidRPr="00C43122" w:rsidRDefault="00EB538F" w:rsidP="00F85BEB">
          <w:r>
            <w:t xml:space="preserve"> Lower respiratory tract (LRT) bacterial culture data-unique episodes of growth. </w:t>
          </w:r>
          <w:r>
            <w:rPr>
              <w:b/>
            </w:rPr>
            <w:t xml:space="preserve">A. </w:t>
          </w:r>
          <w:r>
            <w:t xml:space="preserve">Polymyxin group, all cultures </w:t>
          </w:r>
          <w:r>
            <w:rPr>
              <w:b/>
            </w:rPr>
            <w:t xml:space="preserve">B. </w:t>
          </w:r>
          <w:r>
            <w:t xml:space="preserve">Saline group, all cultures </w:t>
          </w:r>
          <w:r>
            <w:rPr>
              <w:b/>
            </w:rPr>
            <w:t xml:space="preserve">C. </w:t>
          </w:r>
          <w:r>
            <w:t xml:space="preserve">Polymyxin group, all cultures obtained after any dose of polymyxin </w:t>
          </w:r>
        </w:p>
        <w:p w14:paraId="6FBB86FC" w14:textId="77777777" w:rsidR="00EB538F" w:rsidRPr="009018A4" w:rsidRDefault="00EB538F" w:rsidP="00EB538F">
          <w:pPr>
            <w:ind w:left="720"/>
            <w:rPr>
              <w:sz w:val="144"/>
              <w:szCs w:val="144"/>
            </w:rPr>
          </w:pPr>
          <w:r w:rsidRPr="009018A4">
            <w:rPr>
              <w:noProof/>
              <w:sz w:val="144"/>
              <w:szCs w:val="144"/>
            </w:rPr>
            <w:lastRenderedPageBreak/>
            <w:drawing>
              <wp:inline distT="0" distB="0" distL="0" distR="0" wp14:anchorId="083659A0" wp14:editId="3C611105">
                <wp:extent cx="5219700" cy="3276600"/>
                <wp:effectExtent l="0" t="0" r="0" b="0"/>
                <wp:docPr id="1" name="Chart 1"/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8"/>
                  </a:graphicData>
                </a:graphic>
              </wp:inline>
            </w:drawing>
          </w:r>
          <w:r w:rsidRPr="009018A4">
            <w:rPr>
              <w:noProof/>
              <w:sz w:val="144"/>
              <w:szCs w:val="144"/>
            </w:rPr>
            <w:t xml:space="preserve">         </w:t>
          </w:r>
          <w:r w:rsidRPr="009018A4">
            <w:rPr>
              <w:noProof/>
              <w:sz w:val="144"/>
              <w:szCs w:val="144"/>
            </w:rPr>
            <w:tab/>
            <w:t xml:space="preserve"> </w:t>
          </w:r>
          <w:bookmarkStart w:id="0" w:name="_GoBack"/>
          <w:r w:rsidRPr="009018A4">
            <w:rPr>
              <w:noProof/>
              <w:sz w:val="144"/>
              <w:szCs w:val="144"/>
            </w:rPr>
            <w:lastRenderedPageBreak/>
            <w:drawing>
              <wp:inline distT="0" distB="0" distL="0" distR="0" wp14:anchorId="64404BB3" wp14:editId="58F17DDD">
                <wp:extent cx="5153025" cy="3362325"/>
                <wp:effectExtent l="0" t="0" r="9525" b="9525"/>
                <wp:docPr id="2" name="Chart 2"/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9"/>
                  </a:graphicData>
                </a:graphic>
              </wp:inline>
            </w:drawing>
          </w:r>
          <w:bookmarkEnd w:id="0"/>
          <w:r w:rsidRPr="009018A4">
            <w:rPr>
              <w:noProof/>
              <w:sz w:val="144"/>
              <w:szCs w:val="144"/>
            </w:rPr>
            <w:t xml:space="preserve"> </w:t>
          </w:r>
          <w:r w:rsidRPr="009018A4">
            <w:rPr>
              <w:noProof/>
              <w:sz w:val="144"/>
              <w:szCs w:val="144"/>
            </w:rPr>
            <w:drawing>
              <wp:inline distT="0" distB="0" distL="0" distR="0" wp14:anchorId="0188D7D7" wp14:editId="292C97F4">
                <wp:extent cx="5143500" cy="4076700"/>
                <wp:effectExtent l="0" t="0" r="0" b="0"/>
                <wp:docPr id="3" name="Chart 3"/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10"/>
                  </a:graphicData>
                </a:graphic>
              </wp:inline>
            </w:drawing>
          </w:r>
        </w:p>
        <w:p w14:paraId="49B9422C" w14:textId="4623E5E5" w:rsidR="00BB03E5" w:rsidRDefault="00BB03E5" w:rsidP="00276B9C">
          <w:pPr>
            <w:jc w:val="center"/>
          </w:pPr>
          <w:r>
            <w:br w:type="page"/>
          </w:r>
        </w:p>
      </w:sdtContent>
    </w:sdt>
    <w:p w14:paraId="6588D6A4" w14:textId="77777777" w:rsidR="00BB03E5" w:rsidRDefault="00BB03E5" w:rsidP="00CC5720"/>
    <w:p w14:paraId="4FDE1787" w14:textId="77777777" w:rsidR="0059225F" w:rsidRPr="00463501" w:rsidRDefault="0059225F"/>
    <w:sectPr w:rsidR="0059225F" w:rsidRPr="00463501" w:rsidSect="00BB03E5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870B44" w16cid:durableId="2148630A"/>
  <w16cid:commentId w16cid:paraId="7918260E" w16cid:durableId="2148630B"/>
  <w16cid:commentId w16cid:paraId="77EAE1FA" w16cid:durableId="2148630C"/>
  <w16cid:commentId w16cid:paraId="699758BC" w16cid:durableId="2148630D"/>
  <w16cid:commentId w16cid:paraId="15E0CBF3" w16cid:durableId="2148630E"/>
  <w16cid:commentId w16cid:paraId="21234F9C" w16cid:durableId="2148630F"/>
  <w16cid:commentId w16cid:paraId="3B6A4079" w16cid:durableId="21486310"/>
  <w16cid:commentId w16cid:paraId="4AA2BE32" w16cid:durableId="21486311"/>
  <w16cid:commentId w16cid:paraId="16C13D88" w16cid:durableId="21486312"/>
  <w16cid:commentId w16cid:paraId="25729010" w16cid:durableId="21486313"/>
  <w16cid:commentId w16cid:paraId="1CA56C83" w16cid:durableId="2148670D"/>
  <w16cid:commentId w16cid:paraId="6FA4D715" w16cid:durableId="214866BF"/>
  <w16cid:commentId w16cid:paraId="5A997345" w16cid:durableId="214867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71F27" w14:textId="77777777" w:rsidR="00A45EF3" w:rsidRDefault="00A45EF3" w:rsidP="00D974E9">
      <w:pPr>
        <w:spacing w:after="0" w:line="240" w:lineRule="auto"/>
      </w:pPr>
      <w:r>
        <w:separator/>
      </w:r>
    </w:p>
  </w:endnote>
  <w:endnote w:type="continuationSeparator" w:id="0">
    <w:p w14:paraId="6F93BFEE" w14:textId="77777777" w:rsidR="00A45EF3" w:rsidRDefault="00A45EF3" w:rsidP="00D9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D7087" w14:textId="77777777" w:rsidR="00A45EF3" w:rsidRDefault="00A45EF3" w:rsidP="00D974E9">
      <w:pPr>
        <w:spacing w:after="0" w:line="240" w:lineRule="auto"/>
      </w:pPr>
      <w:r>
        <w:separator/>
      </w:r>
    </w:p>
  </w:footnote>
  <w:footnote w:type="continuationSeparator" w:id="0">
    <w:p w14:paraId="7E768FBE" w14:textId="77777777" w:rsidR="00A45EF3" w:rsidRDefault="00A45EF3" w:rsidP="00D97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24A21"/>
    <w:multiLevelType w:val="hybridMultilevel"/>
    <w:tmpl w:val="E626C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156D1"/>
    <w:multiLevelType w:val="hybridMultilevel"/>
    <w:tmpl w:val="C52815F6"/>
    <w:lvl w:ilvl="0" w:tplc="004CD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0B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87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0A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82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87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5AA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82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C6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01"/>
    <w:rsid w:val="00014DC1"/>
    <w:rsid w:val="000349BB"/>
    <w:rsid w:val="00044A51"/>
    <w:rsid w:val="000563BA"/>
    <w:rsid w:val="000637D4"/>
    <w:rsid w:val="0007696B"/>
    <w:rsid w:val="00083B34"/>
    <w:rsid w:val="000A2267"/>
    <w:rsid w:val="000B3E50"/>
    <w:rsid w:val="000B7715"/>
    <w:rsid w:val="000D597A"/>
    <w:rsid w:val="000E2A25"/>
    <w:rsid w:val="00127FA6"/>
    <w:rsid w:val="00157976"/>
    <w:rsid w:val="00161E55"/>
    <w:rsid w:val="001641CE"/>
    <w:rsid w:val="00165206"/>
    <w:rsid w:val="00166C65"/>
    <w:rsid w:val="00173462"/>
    <w:rsid w:val="0017403F"/>
    <w:rsid w:val="00190955"/>
    <w:rsid w:val="00194A42"/>
    <w:rsid w:val="001A3C51"/>
    <w:rsid w:val="001D69C6"/>
    <w:rsid w:val="001E2DFB"/>
    <w:rsid w:val="001E39D7"/>
    <w:rsid w:val="001E6935"/>
    <w:rsid w:val="001F7111"/>
    <w:rsid w:val="00211881"/>
    <w:rsid w:val="00222831"/>
    <w:rsid w:val="00226BFA"/>
    <w:rsid w:val="00232238"/>
    <w:rsid w:val="0024392E"/>
    <w:rsid w:val="00276B9C"/>
    <w:rsid w:val="00287365"/>
    <w:rsid w:val="00290352"/>
    <w:rsid w:val="002A1D02"/>
    <w:rsid w:val="002A2332"/>
    <w:rsid w:val="002A256A"/>
    <w:rsid w:val="002A37CD"/>
    <w:rsid w:val="002C2BD6"/>
    <w:rsid w:val="002D6050"/>
    <w:rsid w:val="002E1BFA"/>
    <w:rsid w:val="002E6B1E"/>
    <w:rsid w:val="002F2A33"/>
    <w:rsid w:val="00300A42"/>
    <w:rsid w:val="0032087A"/>
    <w:rsid w:val="00347A3E"/>
    <w:rsid w:val="003655C2"/>
    <w:rsid w:val="0036765B"/>
    <w:rsid w:val="00394397"/>
    <w:rsid w:val="003A5A91"/>
    <w:rsid w:val="003B2E13"/>
    <w:rsid w:val="003B39D9"/>
    <w:rsid w:val="003F2FA3"/>
    <w:rsid w:val="003F400E"/>
    <w:rsid w:val="004125F0"/>
    <w:rsid w:val="0041276B"/>
    <w:rsid w:val="00421393"/>
    <w:rsid w:val="0044449C"/>
    <w:rsid w:val="00463501"/>
    <w:rsid w:val="00470245"/>
    <w:rsid w:val="00490F99"/>
    <w:rsid w:val="00494BB1"/>
    <w:rsid w:val="00495AD6"/>
    <w:rsid w:val="004A06A4"/>
    <w:rsid w:val="004A5A2E"/>
    <w:rsid w:val="004B2739"/>
    <w:rsid w:val="004B6F57"/>
    <w:rsid w:val="004C60F8"/>
    <w:rsid w:val="004D6CF3"/>
    <w:rsid w:val="004D6D10"/>
    <w:rsid w:val="004E10BF"/>
    <w:rsid w:val="004E59FD"/>
    <w:rsid w:val="004F4141"/>
    <w:rsid w:val="004F7F6C"/>
    <w:rsid w:val="00502F04"/>
    <w:rsid w:val="00504713"/>
    <w:rsid w:val="00511F2F"/>
    <w:rsid w:val="0051544C"/>
    <w:rsid w:val="005158DA"/>
    <w:rsid w:val="005339C7"/>
    <w:rsid w:val="00537F05"/>
    <w:rsid w:val="005559D7"/>
    <w:rsid w:val="00571EFB"/>
    <w:rsid w:val="00577271"/>
    <w:rsid w:val="005840F6"/>
    <w:rsid w:val="005907F9"/>
    <w:rsid w:val="0059225F"/>
    <w:rsid w:val="00593EFA"/>
    <w:rsid w:val="005969AA"/>
    <w:rsid w:val="005A0BCD"/>
    <w:rsid w:val="005B1F4C"/>
    <w:rsid w:val="005B7BF0"/>
    <w:rsid w:val="005C5531"/>
    <w:rsid w:val="005D23E4"/>
    <w:rsid w:val="005D3212"/>
    <w:rsid w:val="005D4176"/>
    <w:rsid w:val="005E4FF7"/>
    <w:rsid w:val="005F1BCC"/>
    <w:rsid w:val="005F7729"/>
    <w:rsid w:val="00605712"/>
    <w:rsid w:val="00614850"/>
    <w:rsid w:val="00617868"/>
    <w:rsid w:val="006303A4"/>
    <w:rsid w:val="00651179"/>
    <w:rsid w:val="0066296A"/>
    <w:rsid w:val="00672212"/>
    <w:rsid w:val="00675937"/>
    <w:rsid w:val="0068618D"/>
    <w:rsid w:val="006A1990"/>
    <w:rsid w:val="006D36A0"/>
    <w:rsid w:val="006E3B5B"/>
    <w:rsid w:val="006F0BC5"/>
    <w:rsid w:val="006F289E"/>
    <w:rsid w:val="00701E2C"/>
    <w:rsid w:val="0071608D"/>
    <w:rsid w:val="00730B23"/>
    <w:rsid w:val="00730D13"/>
    <w:rsid w:val="00743E41"/>
    <w:rsid w:val="00743E53"/>
    <w:rsid w:val="007459C1"/>
    <w:rsid w:val="00750376"/>
    <w:rsid w:val="00753E73"/>
    <w:rsid w:val="00766ECA"/>
    <w:rsid w:val="007721FA"/>
    <w:rsid w:val="0077515C"/>
    <w:rsid w:val="007847DA"/>
    <w:rsid w:val="0078692A"/>
    <w:rsid w:val="007A1730"/>
    <w:rsid w:val="007B5C0C"/>
    <w:rsid w:val="007B6441"/>
    <w:rsid w:val="007B6BC7"/>
    <w:rsid w:val="007C0C33"/>
    <w:rsid w:val="007C0DEF"/>
    <w:rsid w:val="007C10D2"/>
    <w:rsid w:val="007D4AD4"/>
    <w:rsid w:val="007F4D55"/>
    <w:rsid w:val="00813EDC"/>
    <w:rsid w:val="008353C6"/>
    <w:rsid w:val="00840062"/>
    <w:rsid w:val="0085599E"/>
    <w:rsid w:val="0087072E"/>
    <w:rsid w:val="00895B51"/>
    <w:rsid w:val="008A041C"/>
    <w:rsid w:val="008A4B0A"/>
    <w:rsid w:val="008A7A53"/>
    <w:rsid w:val="008B742B"/>
    <w:rsid w:val="008C0320"/>
    <w:rsid w:val="008D6338"/>
    <w:rsid w:val="008F4AB1"/>
    <w:rsid w:val="008F57F5"/>
    <w:rsid w:val="00900A86"/>
    <w:rsid w:val="009018A4"/>
    <w:rsid w:val="00913B4A"/>
    <w:rsid w:val="00991F0A"/>
    <w:rsid w:val="009B329A"/>
    <w:rsid w:val="009C01F3"/>
    <w:rsid w:val="009C300E"/>
    <w:rsid w:val="009D3516"/>
    <w:rsid w:val="009D73A0"/>
    <w:rsid w:val="009E41F1"/>
    <w:rsid w:val="009F6544"/>
    <w:rsid w:val="00A07018"/>
    <w:rsid w:val="00A20551"/>
    <w:rsid w:val="00A3392C"/>
    <w:rsid w:val="00A41020"/>
    <w:rsid w:val="00A45EF3"/>
    <w:rsid w:val="00A524F6"/>
    <w:rsid w:val="00A610DD"/>
    <w:rsid w:val="00A741D6"/>
    <w:rsid w:val="00A74279"/>
    <w:rsid w:val="00A83CD8"/>
    <w:rsid w:val="00A97CB3"/>
    <w:rsid w:val="00AA0182"/>
    <w:rsid w:val="00AA386F"/>
    <w:rsid w:val="00AB049B"/>
    <w:rsid w:val="00AB3FA7"/>
    <w:rsid w:val="00AC5D11"/>
    <w:rsid w:val="00AC6191"/>
    <w:rsid w:val="00AE538D"/>
    <w:rsid w:val="00AE61FB"/>
    <w:rsid w:val="00AF42F1"/>
    <w:rsid w:val="00B008FE"/>
    <w:rsid w:val="00B022B0"/>
    <w:rsid w:val="00B04016"/>
    <w:rsid w:val="00B12ACC"/>
    <w:rsid w:val="00B273B5"/>
    <w:rsid w:val="00B42223"/>
    <w:rsid w:val="00B70848"/>
    <w:rsid w:val="00B71FAC"/>
    <w:rsid w:val="00B73112"/>
    <w:rsid w:val="00B8107C"/>
    <w:rsid w:val="00B84EE4"/>
    <w:rsid w:val="00BA57F4"/>
    <w:rsid w:val="00BB03E5"/>
    <w:rsid w:val="00BB7FC2"/>
    <w:rsid w:val="00BC655C"/>
    <w:rsid w:val="00BC6E2B"/>
    <w:rsid w:val="00BD13AD"/>
    <w:rsid w:val="00BE1725"/>
    <w:rsid w:val="00BF3190"/>
    <w:rsid w:val="00C160ED"/>
    <w:rsid w:val="00C1755B"/>
    <w:rsid w:val="00C35109"/>
    <w:rsid w:val="00C35182"/>
    <w:rsid w:val="00C43122"/>
    <w:rsid w:val="00C554DA"/>
    <w:rsid w:val="00C67396"/>
    <w:rsid w:val="00C73B91"/>
    <w:rsid w:val="00C74D5B"/>
    <w:rsid w:val="00C97881"/>
    <w:rsid w:val="00CA0C5A"/>
    <w:rsid w:val="00CA4E39"/>
    <w:rsid w:val="00CB12F6"/>
    <w:rsid w:val="00CC291C"/>
    <w:rsid w:val="00CC5720"/>
    <w:rsid w:val="00CE0B3A"/>
    <w:rsid w:val="00CE4D66"/>
    <w:rsid w:val="00CF7387"/>
    <w:rsid w:val="00D131A0"/>
    <w:rsid w:val="00D27648"/>
    <w:rsid w:val="00D62486"/>
    <w:rsid w:val="00D6670F"/>
    <w:rsid w:val="00D71371"/>
    <w:rsid w:val="00D74144"/>
    <w:rsid w:val="00D91E1D"/>
    <w:rsid w:val="00D94E84"/>
    <w:rsid w:val="00D974E9"/>
    <w:rsid w:val="00DA77C0"/>
    <w:rsid w:val="00DB1E91"/>
    <w:rsid w:val="00DB780A"/>
    <w:rsid w:val="00DC1453"/>
    <w:rsid w:val="00DC3C89"/>
    <w:rsid w:val="00DF7C9E"/>
    <w:rsid w:val="00E02697"/>
    <w:rsid w:val="00E248C0"/>
    <w:rsid w:val="00E43E06"/>
    <w:rsid w:val="00E54935"/>
    <w:rsid w:val="00E57F9D"/>
    <w:rsid w:val="00E71D2A"/>
    <w:rsid w:val="00E829BF"/>
    <w:rsid w:val="00E91692"/>
    <w:rsid w:val="00E92564"/>
    <w:rsid w:val="00E937B2"/>
    <w:rsid w:val="00E97308"/>
    <w:rsid w:val="00EB2018"/>
    <w:rsid w:val="00EB538F"/>
    <w:rsid w:val="00EC28D1"/>
    <w:rsid w:val="00EE7D0E"/>
    <w:rsid w:val="00EF5865"/>
    <w:rsid w:val="00F13A4D"/>
    <w:rsid w:val="00F32933"/>
    <w:rsid w:val="00F33A97"/>
    <w:rsid w:val="00F42715"/>
    <w:rsid w:val="00F56B33"/>
    <w:rsid w:val="00F61704"/>
    <w:rsid w:val="00F61AF3"/>
    <w:rsid w:val="00F85BEB"/>
    <w:rsid w:val="00FD716D"/>
    <w:rsid w:val="00FD76ED"/>
    <w:rsid w:val="00FD7925"/>
    <w:rsid w:val="00F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2880"/>
  <w15:docId w15:val="{03A45EE4-9FD4-4449-A572-092A4097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A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4E9"/>
  </w:style>
  <w:style w:type="paragraph" w:styleId="Footer">
    <w:name w:val="footer"/>
    <w:basedOn w:val="Normal"/>
    <w:link w:val="FooterChar"/>
    <w:uiPriority w:val="99"/>
    <w:unhideWhenUsed/>
    <w:rsid w:val="00D9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4E9"/>
  </w:style>
  <w:style w:type="paragraph" w:styleId="BalloonText">
    <w:name w:val="Balloon Text"/>
    <w:basedOn w:val="Normal"/>
    <w:link w:val="BalloonTextChar"/>
    <w:uiPriority w:val="99"/>
    <w:semiHidden/>
    <w:unhideWhenUsed/>
    <w:rsid w:val="008B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0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B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B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018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720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BB03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B03E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B03E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538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05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71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8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2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DZARDS\Dropbox%20(Infectious%20Disease)\Polymyxin%20VAP\Manuscript\Culture%20da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DZARDS\Dropbox%20(Infectious%20Disease)\Polymyxin%20VAP\Manuscript\Culture%20dat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DZARDS\Dropbox%20(Infectious%20Disease)\Polymyxin%20VAP\Manuscript\Culture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A. Tracheal Aspirate Cultures-Polymyxin</a:t>
            </a:r>
          </a:p>
        </c:rich>
      </c:tx>
      <c:layout>
        <c:manualLayout>
          <c:xMode val="edge"/>
          <c:yMode val="edge"/>
          <c:x val="0.18639049099754251"/>
          <c:y val="2.877697841726618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Tracheal Aspirate Cultures-Polymyxin</c:v>
                </c:pt>
              </c:strCache>
            </c:strRef>
          </c:tx>
          <c:invertIfNegative val="0"/>
          <c:cat>
            <c:strRef>
              <c:f>Sheet1!$A$2:$A$18</c:f>
              <c:strCache>
                <c:ptCount val="17"/>
                <c:pt idx="0">
                  <c:v>S. aureus </c:v>
                </c:pt>
                <c:pt idx="1">
                  <c:v>P. aeruginosa </c:v>
                </c:pt>
                <c:pt idx="2">
                  <c:v>E. coli </c:v>
                </c:pt>
                <c:pt idx="3">
                  <c:v>E. faecalis</c:v>
                </c:pt>
                <c:pt idx="4">
                  <c:v>U.urealyticum</c:v>
                </c:pt>
                <c:pt idx="5">
                  <c:v>K. pneumoniae</c:v>
                </c:pt>
                <c:pt idx="6">
                  <c:v>S. maltophilia</c:v>
                </c:pt>
                <c:pt idx="7">
                  <c:v>E. cloacae</c:v>
                </c:pt>
                <c:pt idx="8">
                  <c:v>S. marcescens</c:v>
                </c:pt>
                <c:pt idx="9">
                  <c:v>S. agalactiae</c:v>
                </c:pt>
                <c:pt idx="10">
                  <c:v>Staph (coag (-)) </c:v>
                </c:pt>
                <c:pt idx="11">
                  <c:v>Bacillus sp.</c:v>
                </c:pt>
                <c:pt idx="12">
                  <c:v>A. baumannii</c:v>
                </c:pt>
                <c:pt idx="13">
                  <c:v>E. aerogenes</c:v>
                </c:pt>
                <c:pt idx="14">
                  <c:v>S. haemolyticus</c:v>
                </c:pt>
                <c:pt idx="15">
                  <c:v>C. koseri </c:v>
                </c:pt>
                <c:pt idx="16">
                  <c:v>K. oxytoca</c:v>
                </c:pt>
              </c:strCache>
            </c:str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7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85-48A6-BA7C-CEBAB9970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548720"/>
        <c:axId val="107223008"/>
      </c:barChart>
      <c:catAx>
        <c:axId val="105548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7223008"/>
        <c:crosses val="autoZero"/>
        <c:auto val="1"/>
        <c:lblAlgn val="ctr"/>
        <c:lblOffset val="100"/>
        <c:noMultiLvlLbl val="0"/>
      </c:catAx>
      <c:valAx>
        <c:axId val="10722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5487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 baseline="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B. Tracheal Aspirate Cx-Control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Sheet1!$L$1</c:f>
              <c:strCache>
                <c:ptCount val="1"/>
                <c:pt idx="0">
                  <c:v>Tracheal Aspirate Cx-Control</c:v>
                </c:pt>
              </c:strCache>
            </c:strRef>
          </c:tx>
          <c:invertIfNegative val="0"/>
          <c:cat>
            <c:strRef>
              <c:f>Sheet1!$K$2:$K$13</c:f>
              <c:strCache>
                <c:ptCount val="12"/>
                <c:pt idx="0">
                  <c:v>P. aeruginosa </c:v>
                </c:pt>
                <c:pt idx="1">
                  <c:v>S. aureus</c:v>
                </c:pt>
                <c:pt idx="2">
                  <c:v>E. cloacae</c:v>
                </c:pt>
                <c:pt idx="3">
                  <c:v>Bacillus sp.</c:v>
                </c:pt>
                <c:pt idx="4">
                  <c:v>H. parainfluenzae</c:v>
                </c:pt>
                <c:pt idx="5">
                  <c:v>S. agalactiae</c:v>
                </c:pt>
                <c:pt idx="6">
                  <c:v>A. baumannii</c:v>
                </c:pt>
                <c:pt idx="7">
                  <c:v>Haemophilus sp.</c:v>
                </c:pt>
                <c:pt idx="8">
                  <c:v>K. oxytoca </c:v>
                </c:pt>
                <c:pt idx="9">
                  <c:v>S. marcescens</c:v>
                </c:pt>
                <c:pt idx="10">
                  <c:v>H. influenzae non-typable</c:v>
                </c:pt>
                <c:pt idx="11">
                  <c:v>U.urealyticum</c:v>
                </c:pt>
              </c:strCache>
            </c:strRef>
          </c:cat>
          <c:val>
            <c:numRef>
              <c:f>Sheet1!$L$2:$L$13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6E-4DE7-878D-7420B14AED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064248"/>
        <c:axId val="155064632"/>
      </c:barChart>
      <c:catAx>
        <c:axId val="155064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5064632"/>
        <c:crosses val="autoZero"/>
        <c:auto val="1"/>
        <c:lblAlgn val="ctr"/>
        <c:lblOffset val="100"/>
        <c:noMultiLvlLbl val="0"/>
      </c:catAx>
      <c:valAx>
        <c:axId val="155064632"/>
        <c:scaling>
          <c:orientation val="minMax"/>
          <c:max val="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064248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C. Tracheal Aspirate-after Polymyxin</a:t>
            </a:r>
          </a:p>
        </c:rich>
      </c:tx>
      <c:layout>
        <c:manualLayout>
          <c:xMode val="edge"/>
          <c:yMode val="edge"/>
          <c:x val="0.15444516156791877"/>
          <c:y val="6.379585326953748E-3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Sheet1!$G$1</c:f>
              <c:strCache>
                <c:ptCount val="1"/>
                <c:pt idx="0">
                  <c:v>Tracheal Aspirate-after Polymyxin</c:v>
                </c:pt>
              </c:strCache>
            </c:strRef>
          </c:tx>
          <c:invertIfNegative val="0"/>
          <c:cat>
            <c:strRef>
              <c:f>Sheet1!$F$2:$F$16</c:f>
              <c:strCache>
                <c:ptCount val="15"/>
                <c:pt idx="0">
                  <c:v>P. aeruginosa</c:v>
                </c:pt>
                <c:pt idx="1">
                  <c:v>S. aureus</c:v>
                </c:pt>
                <c:pt idx="2">
                  <c:v>E. coli</c:v>
                </c:pt>
                <c:pt idx="3">
                  <c:v>E. cloacae</c:v>
                </c:pt>
                <c:pt idx="4">
                  <c:v>E. faecalis</c:v>
                </c:pt>
                <c:pt idx="5">
                  <c:v>S. marcescens</c:v>
                </c:pt>
                <c:pt idx="6">
                  <c:v>U.urealyticum</c:v>
                </c:pt>
                <c:pt idx="7">
                  <c:v>S. multophilia</c:v>
                </c:pt>
                <c:pt idx="8">
                  <c:v>S. agalactiae</c:v>
                </c:pt>
                <c:pt idx="9">
                  <c:v>Staphylococcus (coag negative)</c:v>
                </c:pt>
                <c:pt idx="10">
                  <c:v>Bacillus sp.</c:v>
                </c:pt>
                <c:pt idx="11">
                  <c:v>A. baumannii</c:v>
                </c:pt>
                <c:pt idx="12">
                  <c:v>E. aerogenes</c:v>
                </c:pt>
                <c:pt idx="13">
                  <c:v>C. koseri</c:v>
                </c:pt>
                <c:pt idx="14">
                  <c:v>K. oxytoca</c:v>
                </c:pt>
              </c:strCache>
            </c:strRef>
          </c:cat>
          <c:val>
            <c:numRef>
              <c:f>Sheet1!$G$2:$G$16</c:f>
              <c:numCache>
                <c:formatCode>General</c:formatCode>
                <c:ptCount val="1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3B-46F6-9ECF-49762B69D9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874304"/>
        <c:axId val="106877048"/>
      </c:barChart>
      <c:catAx>
        <c:axId val="106874304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106877048"/>
        <c:crosses val="autoZero"/>
        <c:auto val="1"/>
        <c:lblAlgn val="ctr"/>
        <c:lblOffset val="100"/>
        <c:noMultiLvlLbl val="0"/>
      </c:catAx>
      <c:valAx>
        <c:axId val="106877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8743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65B5-59EE-4BB9-964C-E4CA23BC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Edzards, Michael (NIH/NIAID) [V]</dc:creator>
  <cp:lastModifiedBy>Michael Edzards</cp:lastModifiedBy>
  <cp:revision>3</cp:revision>
  <dcterms:created xsi:type="dcterms:W3CDTF">2022-01-23T22:46:00Z</dcterms:created>
  <dcterms:modified xsi:type="dcterms:W3CDTF">2022-01-23T22:50:00Z</dcterms:modified>
</cp:coreProperties>
</file>