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875"/>
        <w:tblW w:w="9895" w:type="dxa"/>
        <w:tblLayout w:type="fixed"/>
        <w:tblLook w:val="04A0" w:firstRow="1" w:lastRow="0" w:firstColumn="1" w:lastColumn="0" w:noHBand="0" w:noVBand="1"/>
      </w:tblPr>
      <w:tblGrid>
        <w:gridCol w:w="1270"/>
        <w:gridCol w:w="1965"/>
        <w:gridCol w:w="1620"/>
        <w:gridCol w:w="1800"/>
        <w:gridCol w:w="1440"/>
        <w:gridCol w:w="1800"/>
      </w:tblGrid>
      <w:tr w:rsidR="00CD7BBC" w:rsidRPr="00B04FC2" w:rsidTr="004A2EFC">
        <w:trPr>
          <w:trHeight w:val="350"/>
        </w:trPr>
        <w:tc>
          <w:tcPr>
            <w:tcW w:w="9895" w:type="dxa"/>
            <w:gridSpan w:val="6"/>
          </w:tcPr>
          <w:p w:rsidR="00CD7BBC" w:rsidRPr="00B04FC2" w:rsidRDefault="00366F0B" w:rsidP="004A2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b/>
                <w:sz w:val="24"/>
                <w:szCs w:val="24"/>
              </w:rPr>
              <w:t>Supplementary Table</w:t>
            </w:r>
            <w:r w:rsidR="00CD7BBC" w:rsidRPr="00B04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Description of positive cultures</w:t>
            </w:r>
          </w:p>
        </w:tc>
      </w:tr>
      <w:tr w:rsidR="00CD7BBC" w:rsidRPr="00B04FC2" w:rsidTr="004A2EFC">
        <w:trPr>
          <w:trHeight w:val="1344"/>
        </w:trPr>
        <w:tc>
          <w:tcPr>
            <w:tcW w:w="1270" w:type="dxa"/>
          </w:tcPr>
          <w:p w:rsidR="00CD7BBC" w:rsidRPr="00B04FC2" w:rsidRDefault="00CD7BBC" w:rsidP="004A2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b/>
                <w:sz w:val="24"/>
                <w:szCs w:val="24"/>
              </w:rPr>
              <w:t>Age (months)</w:t>
            </w:r>
          </w:p>
        </w:tc>
        <w:tc>
          <w:tcPr>
            <w:tcW w:w="1965" w:type="dxa"/>
          </w:tcPr>
          <w:p w:rsidR="00CD7BBC" w:rsidRPr="00B04FC2" w:rsidRDefault="00CD7BBC" w:rsidP="004A2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b/>
                <w:sz w:val="24"/>
                <w:szCs w:val="24"/>
              </w:rPr>
              <w:t>Patient Category (Preoperative, Postoperative or Medical)</w:t>
            </w:r>
          </w:p>
        </w:tc>
        <w:tc>
          <w:tcPr>
            <w:tcW w:w="1620" w:type="dxa"/>
          </w:tcPr>
          <w:p w:rsidR="00CD7BBC" w:rsidRPr="00B04FC2" w:rsidRDefault="00CD7BBC" w:rsidP="004A2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b/>
                <w:sz w:val="24"/>
                <w:szCs w:val="24"/>
              </w:rPr>
              <w:t>Culture Source</w:t>
            </w:r>
          </w:p>
        </w:tc>
        <w:tc>
          <w:tcPr>
            <w:tcW w:w="1800" w:type="dxa"/>
          </w:tcPr>
          <w:p w:rsidR="00CD7BBC" w:rsidRPr="00B04FC2" w:rsidRDefault="00CD7BBC" w:rsidP="004A2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b/>
                <w:sz w:val="24"/>
                <w:szCs w:val="24"/>
              </w:rPr>
              <w:t>Organism</w:t>
            </w:r>
          </w:p>
        </w:tc>
        <w:tc>
          <w:tcPr>
            <w:tcW w:w="1440" w:type="dxa"/>
          </w:tcPr>
          <w:p w:rsidR="00CD7BBC" w:rsidRPr="00B04FC2" w:rsidRDefault="00CD7BBC" w:rsidP="004A2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b/>
                <w:sz w:val="24"/>
                <w:szCs w:val="24"/>
              </w:rPr>
              <w:t>Positive result during rule out time frame</w:t>
            </w:r>
          </w:p>
        </w:tc>
        <w:tc>
          <w:tcPr>
            <w:tcW w:w="1800" w:type="dxa"/>
          </w:tcPr>
          <w:p w:rsidR="00CD7BBC" w:rsidRPr="00B04FC2" w:rsidRDefault="00CD7BBC" w:rsidP="004A2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Days after hospital </w:t>
            </w:r>
            <w:r w:rsidR="00B04FC2">
              <w:rPr>
                <w:rFonts w:ascii="Times New Roman" w:hAnsi="Times New Roman" w:cs="Times New Roman"/>
                <w:b/>
                <w:sz w:val="24"/>
                <w:szCs w:val="24"/>
              </w:rPr>
              <w:t>admission 24 hour rule-out performed</w:t>
            </w:r>
            <w:bookmarkStart w:id="0" w:name="_GoBack"/>
            <w:bookmarkEnd w:id="0"/>
          </w:p>
        </w:tc>
      </w:tr>
      <w:tr w:rsidR="004A2EFC" w:rsidRPr="00B04FC2" w:rsidTr="004A2EFC">
        <w:trPr>
          <w:trHeight w:val="520"/>
        </w:trPr>
        <w:tc>
          <w:tcPr>
            <w:tcW w:w="127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965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Post-operative</w:t>
            </w:r>
          </w:p>
        </w:tc>
        <w:tc>
          <w:tcPr>
            <w:tcW w:w="162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Blood</w:t>
            </w:r>
          </w:p>
        </w:tc>
        <w:tc>
          <w:tcPr>
            <w:tcW w:w="180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Enterobacter</w:t>
            </w:r>
          </w:p>
        </w:tc>
        <w:tc>
          <w:tcPr>
            <w:tcW w:w="144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0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137 days</w:t>
            </w:r>
          </w:p>
        </w:tc>
      </w:tr>
      <w:tr w:rsidR="004A2EFC" w:rsidRPr="00B04FC2" w:rsidTr="004A2EFC">
        <w:trPr>
          <w:trHeight w:val="520"/>
        </w:trPr>
        <w:tc>
          <w:tcPr>
            <w:tcW w:w="127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Post-operative</w:t>
            </w:r>
          </w:p>
        </w:tc>
        <w:tc>
          <w:tcPr>
            <w:tcW w:w="162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Blood</w:t>
            </w:r>
          </w:p>
        </w:tc>
        <w:tc>
          <w:tcPr>
            <w:tcW w:w="180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 xml:space="preserve">Methicillin susceptible staphylococcus aureus </w:t>
            </w:r>
          </w:p>
        </w:tc>
        <w:tc>
          <w:tcPr>
            <w:tcW w:w="144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0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113 days</w:t>
            </w:r>
          </w:p>
        </w:tc>
      </w:tr>
      <w:tr w:rsidR="004A2EFC" w:rsidRPr="00B04FC2" w:rsidTr="004A2EFC">
        <w:trPr>
          <w:trHeight w:val="520"/>
        </w:trPr>
        <w:tc>
          <w:tcPr>
            <w:tcW w:w="127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Pre-operative</w:t>
            </w:r>
          </w:p>
        </w:tc>
        <w:tc>
          <w:tcPr>
            <w:tcW w:w="162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Blood and Respiratory</w:t>
            </w:r>
          </w:p>
        </w:tc>
        <w:tc>
          <w:tcPr>
            <w:tcW w:w="180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Staphylococcus aureus (both methicillin susceptible)</w:t>
            </w:r>
          </w:p>
        </w:tc>
        <w:tc>
          <w:tcPr>
            <w:tcW w:w="144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0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6 days</w:t>
            </w:r>
          </w:p>
        </w:tc>
      </w:tr>
      <w:tr w:rsidR="004A2EFC" w:rsidRPr="00B04FC2" w:rsidTr="004A2EFC">
        <w:trPr>
          <w:trHeight w:val="520"/>
        </w:trPr>
        <w:tc>
          <w:tcPr>
            <w:tcW w:w="127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Post-operative</w:t>
            </w:r>
          </w:p>
        </w:tc>
        <w:tc>
          <w:tcPr>
            <w:tcW w:w="162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Blood and Respiratory</w:t>
            </w:r>
          </w:p>
        </w:tc>
        <w:tc>
          <w:tcPr>
            <w:tcW w:w="180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Klebsiella  pneumoniae (blood), Methicillin susceptible staphylococcus aureus (respiratory)</w:t>
            </w:r>
          </w:p>
        </w:tc>
        <w:tc>
          <w:tcPr>
            <w:tcW w:w="144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0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38 days</w:t>
            </w:r>
          </w:p>
        </w:tc>
      </w:tr>
      <w:tr w:rsidR="004A2EFC" w:rsidRPr="00B04FC2" w:rsidTr="004A2EFC">
        <w:trPr>
          <w:trHeight w:val="537"/>
        </w:trPr>
        <w:tc>
          <w:tcPr>
            <w:tcW w:w="127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Post-operative</w:t>
            </w:r>
          </w:p>
        </w:tc>
        <w:tc>
          <w:tcPr>
            <w:tcW w:w="162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Respiratory</w:t>
            </w:r>
          </w:p>
        </w:tc>
        <w:tc>
          <w:tcPr>
            <w:tcW w:w="180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Moraxella catarrhalis</w:t>
            </w:r>
          </w:p>
        </w:tc>
        <w:tc>
          <w:tcPr>
            <w:tcW w:w="144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0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285 days</w:t>
            </w:r>
          </w:p>
        </w:tc>
      </w:tr>
      <w:tr w:rsidR="004A2EFC" w:rsidRPr="00B04FC2" w:rsidTr="004A2EFC">
        <w:trPr>
          <w:trHeight w:val="520"/>
        </w:trPr>
        <w:tc>
          <w:tcPr>
            <w:tcW w:w="127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Post-operative</w:t>
            </w:r>
          </w:p>
        </w:tc>
        <w:tc>
          <w:tcPr>
            <w:tcW w:w="162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Respiratory</w:t>
            </w:r>
          </w:p>
        </w:tc>
        <w:tc>
          <w:tcPr>
            <w:tcW w:w="180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Moraxella  catarrhalis</w:t>
            </w:r>
          </w:p>
        </w:tc>
        <w:tc>
          <w:tcPr>
            <w:tcW w:w="144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0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25 days</w:t>
            </w:r>
          </w:p>
        </w:tc>
      </w:tr>
      <w:tr w:rsidR="004A2EFC" w:rsidRPr="00B04FC2" w:rsidTr="004A2EFC">
        <w:trPr>
          <w:trHeight w:val="537"/>
        </w:trPr>
        <w:tc>
          <w:tcPr>
            <w:tcW w:w="127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Post-operative</w:t>
            </w:r>
          </w:p>
        </w:tc>
        <w:tc>
          <w:tcPr>
            <w:tcW w:w="162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Respiratory</w:t>
            </w:r>
          </w:p>
        </w:tc>
        <w:tc>
          <w:tcPr>
            <w:tcW w:w="180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Escherichia coli</w:t>
            </w:r>
          </w:p>
        </w:tc>
        <w:tc>
          <w:tcPr>
            <w:tcW w:w="144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0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</w:tr>
      <w:tr w:rsidR="004A2EFC" w:rsidRPr="00B04FC2" w:rsidTr="004A2EFC">
        <w:trPr>
          <w:trHeight w:val="789"/>
        </w:trPr>
        <w:tc>
          <w:tcPr>
            <w:tcW w:w="127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Post-operative</w:t>
            </w:r>
          </w:p>
        </w:tc>
        <w:tc>
          <w:tcPr>
            <w:tcW w:w="162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Respiratory</w:t>
            </w:r>
          </w:p>
        </w:tc>
        <w:tc>
          <w:tcPr>
            <w:tcW w:w="180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Coagulase-negative staphylococci</w:t>
            </w:r>
          </w:p>
        </w:tc>
        <w:tc>
          <w:tcPr>
            <w:tcW w:w="144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0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331 days</w:t>
            </w:r>
          </w:p>
        </w:tc>
      </w:tr>
      <w:tr w:rsidR="004A2EFC" w:rsidRPr="00B04FC2" w:rsidTr="004A2EFC">
        <w:trPr>
          <w:trHeight w:val="1075"/>
        </w:trPr>
        <w:tc>
          <w:tcPr>
            <w:tcW w:w="127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Post-operative</w:t>
            </w:r>
          </w:p>
        </w:tc>
        <w:tc>
          <w:tcPr>
            <w:tcW w:w="162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Respiratory</w:t>
            </w:r>
          </w:p>
        </w:tc>
        <w:tc>
          <w:tcPr>
            <w:tcW w:w="180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Klebsiella pneumoniae and Enterobacter</w:t>
            </w:r>
          </w:p>
        </w:tc>
        <w:tc>
          <w:tcPr>
            <w:tcW w:w="144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0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17 days</w:t>
            </w:r>
          </w:p>
        </w:tc>
      </w:tr>
      <w:tr w:rsidR="004A2EFC" w:rsidRPr="00B04FC2" w:rsidTr="004A2EFC">
        <w:trPr>
          <w:trHeight w:val="1075"/>
        </w:trPr>
        <w:tc>
          <w:tcPr>
            <w:tcW w:w="127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</w:p>
        </w:tc>
        <w:tc>
          <w:tcPr>
            <w:tcW w:w="162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Respiratory</w:t>
            </w:r>
          </w:p>
        </w:tc>
        <w:tc>
          <w:tcPr>
            <w:tcW w:w="180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Methicillin susceptible staphylococcus aureus and Moraxella catarrhalis</w:t>
            </w:r>
          </w:p>
        </w:tc>
        <w:tc>
          <w:tcPr>
            <w:tcW w:w="144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0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78 days</w:t>
            </w:r>
          </w:p>
        </w:tc>
      </w:tr>
      <w:tr w:rsidR="004A2EFC" w:rsidRPr="00B04FC2" w:rsidTr="004A2EFC">
        <w:trPr>
          <w:trHeight w:val="456"/>
        </w:trPr>
        <w:tc>
          <w:tcPr>
            <w:tcW w:w="127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965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 xml:space="preserve">Pre-operative </w:t>
            </w:r>
          </w:p>
        </w:tc>
        <w:tc>
          <w:tcPr>
            <w:tcW w:w="162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Respiratory</w:t>
            </w:r>
          </w:p>
        </w:tc>
        <w:tc>
          <w:tcPr>
            <w:tcW w:w="1800" w:type="dxa"/>
          </w:tcPr>
          <w:p w:rsidR="004A2EFC" w:rsidRPr="00B04FC2" w:rsidDel="00F66376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Candida albicans</w:t>
            </w:r>
          </w:p>
        </w:tc>
        <w:tc>
          <w:tcPr>
            <w:tcW w:w="144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0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7 days</w:t>
            </w:r>
          </w:p>
        </w:tc>
      </w:tr>
      <w:tr w:rsidR="004A2EFC" w:rsidRPr="00B04FC2" w:rsidTr="004A2EFC">
        <w:trPr>
          <w:trHeight w:val="456"/>
        </w:trPr>
        <w:tc>
          <w:tcPr>
            <w:tcW w:w="127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965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Pre-operative</w:t>
            </w:r>
          </w:p>
        </w:tc>
        <w:tc>
          <w:tcPr>
            <w:tcW w:w="162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Urine</w:t>
            </w:r>
          </w:p>
        </w:tc>
        <w:tc>
          <w:tcPr>
            <w:tcW w:w="180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Escherichia coli</w:t>
            </w:r>
          </w:p>
        </w:tc>
        <w:tc>
          <w:tcPr>
            <w:tcW w:w="144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0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7 days</w:t>
            </w:r>
          </w:p>
        </w:tc>
      </w:tr>
      <w:tr w:rsidR="004A2EFC" w:rsidRPr="00B04FC2" w:rsidTr="004A2EFC">
        <w:trPr>
          <w:trHeight w:val="456"/>
        </w:trPr>
        <w:tc>
          <w:tcPr>
            <w:tcW w:w="127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Post-operative</w:t>
            </w:r>
          </w:p>
        </w:tc>
        <w:tc>
          <w:tcPr>
            <w:tcW w:w="162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Urine</w:t>
            </w:r>
          </w:p>
        </w:tc>
        <w:tc>
          <w:tcPr>
            <w:tcW w:w="180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Klebsiella pneumoniae</w:t>
            </w:r>
          </w:p>
        </w:tc>
        <w:tc>
          <w:tcPr>
            <w:tcW w:w="144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00" w:type="dxa"/>
          </w:tcPr>
          <w:p w:rsidR="004A2EFC" w:rsidRPr="00B04FC2" w:rsidRDefault="004A2EFC" w:rsidP="004A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C2">
              <w:rPr>
                <w:rFonts w:ascii="Times New Roman" w:hAnsi="Times New Roman" w:cs="Times New Roman"/>
                <w:sz w:val="24"/>
                <w:szCs w:val="24"/>
              </w:rPr>
              <w:t>99 days</w:t>
            </w:r>
          </w:p>
        </w:tc>
      </w:tr>
    </w:tbl>
    <w:p w:rsidR="00CD7BBC" w:rsidRPr="00B04FC2" w:rsidRDefault="00CD7BBC" w:rsidP="00CD7BBC">
      <w:pPr>
        <w:rPr>
          <w:rFonts w:ascii="Times New Roman" w:hAnsi="Times New Roman" w:cs="Times New Roman"/>
          <w:i/>
          <w:sz w:val="24"/>
          <w:szCs w:val="24"/>
        </w:rPr>
      </w:pPr>
      <w:r w:rsidRPr="00B04FC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Description of positive cultures &amp; associated patient characteristics in the 24 hour rule-out patient population. </w:t>
      </w:r>
    </w:p>
    <w:p w:rsidR="00A2555E" w:rsidRPr="00B04FC2" w:rsidRDefault="00C9414A">
      <w:pPr>
        <w:rPr>
          <w:rFonts w:ascii="Times New Roman" w:hAnsi="Times New Roman" w:cs="Times New Roman"/>
          <w:sz w:val="24"/>
          <w:szCs w:val="24"/>
        </w:rPr>
      </w:pPr>
    </w:p>
    <w:sectPr w:rsidR="00A2555E" w:rsidRPr="00B0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14A" w:rsidRDefault="00C9414A" w:rsidP="005650DD">
      <w:pPr>
        <w:spacing w:after="0" w:line="240" w:lineRule="auto"/>
      </w:pPr>
      <w:r>
        <w:separator/>
      </w:r>
    </w:p>
  </w:endnote>
  <w:endnote w:type="continuationSeparator" w:id="0">
    <w:p w:rsidR="00C9414A" w:rsidRDefault="00C9414A" w:rsidP="0056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14A" w:rsidRDefault="00C9414A" w:rsidP="005650DD">
      <w:pPr>
        <w:spacing w:after="0" w:line="240" w:lineRule="auto"/>
      </w:pPr>
      <w:r>
        <w:separator/>
      </w:r>
    </w:p>
  </w:footnote>
  <w:footnote w:type="continuationSeparator" w:id="0">
    <w:p w:rsidR="00C9414A" w:rsidRDefault="00C9414A" w:rsidP="00565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E8"/>
    <w:rsid w:val="000D07E8"/>
    <w:rsid w:val="001030BF"/>
    <w:rsid w:val="00262F4D"/>
    <w:rsid w:val="003266A2"/>
    <w:rsid w:val="00354146"/>
    <w:rsid w:val="00366F0B"/>
    <w:rsid w:val="003B37DD"/>
    <w:rsid w:val="00402DCC"/>
    <w:rsid w:val="004757AB"/>
    <w:rsid w:val="004A2EFC"/>
    <w:rsid w:val="005650DD"/>
    <w:rsid w:val="00605E67"/>
    <w:rsid w:val="0067679C"/>
    <w:rsid w:val="006C01CB"/>
    <w:rsid w:val="00805011"/>
    <w:rsid w:val="00B04FC2"/>
    <w:rsid w:val="00C9414A"/>
    <w:rsid w:val="00CD7BBC"/>
    <w:rsid w:val="00DE2223"/>
    <w:rsid w:val="00F5526E"/>
    <w:rsid w:val="00F8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9F310-1C2D-44F1-A8BD-251B9141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0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5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0DD"/>
  </w:style>
  <w:style w:type="paragraph" w:styleId="Footer">
    <w:name w:val="footer"/>
    <w:basedOn w:val="Normal"/>
    <w:link w:val="FooterChar"/>
    <w:uiPriority w:val="99"/>
    <w:unhideWhenUsed/>
    <w:rsid w:val="00565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0DD"/>
  </w:style>
  <w:style w:type="paragraph" w:styleId="Revision">
    <w:name w:val="Revision"/>
    <w:hidden/>
    <w:uiPriority w:val="99"/>
    <w:semiHidden/>
    <w:rsid w:val="005650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Cincinnati Children's Hospital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Chitalia, Reema (Reema)</dc:creator>
  <cp:keywords/>
  <dc:description/>
  <cp:lastModifiedBy>Reema Chitalia</cp:lastModifiedBy>
  <cp:revision>11</cp:revision>
  <dcterms:created xsi:type="dcterms:W3CDTF">2021-11-29T17:13:00Z</dcterms:created>
  <dcterms:modified xsi:type="dcterms:W3CDTF">2022-09-20T18:04:00Z</dcterms:modified>
</cp:coreProperties>
</file>