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FE8F3" w14:textId="61C8F7FD" w:rsidR="00664EA6" w:rsidRPr="00A7233F" w:rsidRDefault="008B5B7D" w:rsidP="002400AC">
      <w:pPr>
        <w:spacing w:line="480" w:lineRule="auto"/>
        <w:rPr>
          <w:rFonts w:ascii="Times New Roman" w:hAnsi="Times New Roman" w:cs="Times New Roman"/>
          <w:b/>
        </w:rPr>
      </w:pPr>
      <w:r>
        <w:rPr>
          <w:rFonts w:ascii="Times New Roman" w:hAnsi="Times New Roman" w:cs="Times New Roman"/>
          <w:b/>
        </w:rPr>
        <w:t>Supplementary Material</w:t>
      </w:r>
    </w:p>
    <w:tbl>
      <w:tblPr>
        <w:tblStyle w:val="TableGrid"/>
        <w:tblW w:w="0" w:type="auto"/>
        <w:tblLook w:val="04A0" w:firstRow="1" w:lastRow="0" w:firstColumn="1" w:lastColumn="0" w:noHBand="0" w:noVBand="1"/>
      </w:tblPr>
      <w:tblGrid>
        <w:gridCol w:w="2547"/>
        <w:gridCol w:w="6662"/>
      </w:tblGrid>
      <w:tr w:rsidR="00133454" w14:paraId="0FFE11CA" w14:textId="77777777" w:rsidTr="005E2DDF">
        <w:tc>
          <w:tcPr>
            <w:tcW w:w="2547" w:type="dxa"/>
          </w:tcPr>
          <w:p w14:paraId="4DE1F4CC" w14:textId="43DA1F48" w:rsidR="00133454" w:rsidRPr="005E2DDF" w:rsidRDefault="00133454" w:rsidP="005E2DDF">
            <w:pPr>
              <w:spacing w:before="60" w:after="60"/>
              <w:rPr>
                <w:rFonts w:ascii="Times New Roman" w:hAnsi="Times New Roman" w:cs="Times New Roman"/>
                <w:b/>
              </w:rPr>
            </w:pPr>
            <w:r w:rsidRPr="005E2DDF">
              <w:rPr>
                <w:rFonts w:ascii="Times New Roman" w:hAnsi="Times New Roman" w:cs="Times New Roman"/>
                <w:b/>
              </w:rPr>
              <w:t>Variable</w:t>
            </w:r>
          </w:p>
        </w:tc>
        <w:tc>
          <w:tcPr>
            <w:tcW w:w="6662" w:type="dxa"/>
          </w:tcPr>
          <w:p w14:paraId="38C22AB1" w14:textId="7F8FF613" w:rsidR="00133454" w:rsidRPr="005E2DDF" w:rsidRDefault="00133454" w:rsidP="005E2DDF">
            <w:pPr>
              <w:spacing w:before="60" w:after="60"/>
              <w:rPr>
                <w:rFonts w:ascii="Times New Roman" w:hAnsi="Times New Roman" w:cs="Times New Roman"/>
                <w:b/>
              </w:rPr>
            </w:pPr>
            <w:r w:rsidRPr="005E2DDF">
              <w:rPr>
                <w:rFonts w:ascii="Times New Roman" w:hAnsi="Times New Roman" w:cs="Times New Roman"/>
                <w:b/>
              </w:rPr>
              <w:t>Description</w:t>
            </w:r>
          </w:p>
        </w:tc>
      </w:tr>
      <w:tr w:rsidR="00133454" w14:paraId="22A19109" w14:textId="77777777" w:rsidTr="002A4A45">
        <w:tc>
          <w:tcPr>
            <w:tcW w:w="9209" w:type="dxa"/>
            <w:gridSpan w:val="2"/>
          </w:tcPr>
          <w:p w14:paraId="4D91E019" w14:textId="77EF8381" w:rsidR="00133454" w:rsidRPr="005E2DDF" w:rsidRDefault="00133454" w:rsidP="005E2DDF">
            <w:pPr>
              <w:spacing w:before="60" w:after="60"/>
              <w:rPr>
                <w:rFonts w:ascii="Times New Roman" w:hAnsi="Times New Roman" w:cs="Times New Roman"/>
                <w:b/>
              </w:rPr>
            </w:pPr>
            <w:r w:rsidRPr="005E2DDF">
              <w:rPr>
                <w:rFonts w:ascii="Times New Roman" w:hAnsi="Times New Roman" w:cs="Times New Roman"/>
                <w:b/>
              </w:rPr>
              <w:t>Outcome variables</w:t>
            </w:r>
          </w:p>
        </w:tc>
      </w:tr>
      <w:tr w:rsidR="00133454" w14:paraId="17E8D97E" w14:textId="77777777" w:rsidTr="005E2DDF">
        <w:tc>
          <w:tcPr>
            <w:tcW w:w="2547" w:type="dxa"/>
          </w:tcPr>
          <w:p w14:paraId="2B474808" w14:textId="6B4BD41A" w:rsidR="00133454" w:rsidRPr="005E2DDF" w:rsidRDefault="00133454" w:rsidP="005E2DDF">
            <w:pPr>
              <w:spacing w:before="60" w:after="60"/>
              <w:ind w:left="175"/>
              <w:rPr>
                <w:rFonts w:ascii="Times New Roman" w:hAnsi="Times New Roman" w:cs="Times New Roman"/>
                <w:i/>
              </w:rPr>
            </w:pPr>
            <w:r w:rsidRPr="005E2DDF">
              <w:rPr>
                <w:rFonts w:ascii="Times New Roman" w:hAnsi="Times New Roman" w:cs="Times New Roman"/>
                <w:i/>
              </w:rPr>
              <w:t>Outbreak attack rate</w:t>
            </w:r>
          </w:p>
        </w:tc>
        <w:tc>
          <w:tcPr>
            <w:tcW w:w="6662" w:type="dxa"/>
          </w:tcPr>
          <w:p w14:paraId="6E5524F0" w14:textId="708E5D49" w:rsidR="00133454" w:rsidRDefault="002952B5" w:rsidP="005E2DDF">
            <w:pPr>
              <w:spacing w:before="60" w:after="60"/>
              <w:rPr>
                <w:rFonts w:ascii="Times New Roman" w:hAnsi="Times New Roman" w:cs="Times New Roman"/>
              </w:rPr>
            </w:pPr>
            <w:r>
              <w:rPr>
                <w:rFonts w:ascii="Times New Roman" w:hAnsi="Times New Roman" w:cs="Times New Roman"/>
              </w:rPr>
              <w:t xml:space="preserve">The </w:t>
            </w:r>
            <w:r w:rsidR="00133454" w:rsidRPr="00C01C00">
              <w:rPr>
                <w:rFonts w:ascii="Times New Roman" w:hAnsi="Times New Roman" w:cs="Times New Roman"/>
              </w:rPr>
              <w:t xml:space="preserve">number of new </w:t>
            </w:r>
            <w:r>
              <w:rPr>
                <w:rFonts w:ascii="Times New Roman" w:hAnsi="Times New Roman" w:cs="Times New Roman"/>
              </w:rPr>
              <w:t xml:space="preserve">COVID-19 </w:t>
            </w:r>
            <w:r w:rsidR="00133454" w:rsidRPr="00C01C00">
              <w:rPr>
                <w:rFonts w:ascii="Times New Roman" w:hAnsi="Times New Roman" w:cs="Times New Roman"/>
              </w:rPr>
              <w:t xml:space="preserve">cases </w:t>
            </w:r>
            <w:r>
              <w:rPr>
                <w:rFonts w:ascii="Times New Roman" w:hAnsi="Times New Roman" w:cs="Times New Roman"/>
              </w:rPr>
              <w:t xml:space="preserve">associated with the outbreak </w:t>
            </w:r>
            <w:r w:rsidR="00133454" w:rsidRPr="00C01C00">
              <w:rPr>
                <w:rFonts w:ascii="Times New Roman" w:hAnsi="Times New Roman" w:cs="Times New Roman"/>
              </w:rPr>
              <w:t>divided by the number of exposed patients.</w:t>
            </w:r>
          </w:p>
        </w:tc>
      </w:tr>
      <w:tr w:rsidR="00133454" w14:paraId="57E52EF9" w14:textId="77777777" w:rsidTr="005E2DDF">
        <w:tc>
          <w:tcPr>
            <w:tcW w:w="2547" w:type="dxa"/>
          </w:tcPr>
          <w:p w14:paraId="20FD2004" w14:textId="6E05B014" w:rsidR="00133454" w:rsidRPr="005E2DDF" w:rsidRDefault="00133454" w:rsidP="005E2DDF">
            <w:pPr>
              <w:spacing w:before="60" w:after="60"/>
              <w:ind w:left="175"/>
              <w:rPr>
                <w:rFonts w:ascii="Times New Roman" w:hAnsi="Times New Roman" w:cs="Times New Roman"/>
                <w:i/>
              </w:rPr>
            </w:pPr>
            <w:r w:rsidRPr="005E2DDF">
              <w:rPr>
                <w:rFonts w:ascii="Times New Roman" w:hAnsi="Times New Roman" w:cs="Times New Roman"/>
                <w:i/>
              </w:rPr>
              <w:t>Outbreak duration</w:t>
            </w:r>
          </w:p>
        </w:tc>
        <w:tc>
          <w:tcPr>
            <w:tcW w:w="6662" w:type="dxa"/>
          </w:tcPr>
          <w:p w14:paraId="43C66915" w14:textId="29296253" w:rsidR="00133454" w:rsidRDefault="002952B5" w:rsidP="002952B5">
            <w:pPr>
              <w:spacing w:before="60" w:after="60"/>
              <w:rPr>
                <w:rFonts w:ascii="Times New Roman" w:hAnsi="Times New Roman" w:cs="Times New Roman"/>
              </w:rPr>
            </w:pPr>
            <w:r>
              <w:rPr>
                <w:rFonts w:ascii="Times New Roman" w:hAnsi="Times New Roman" w:cs="Times New Roman"/>
              </w:rPr>
              <w:t xml:space="preserve">The time between outbreak declaration date, typically the date </w:t>
            </w:r>
            <w:proofErr w:type="gramStart"/>
            <w:r>
              <w:rPr>
                <w:rFonts w:ascii="Times New Roman" w:hAnsi="Times New Roman" w:cs="Times New Roman"/>
              </w:rPr>
              <w:t>the  positive</w:t>
            </w:r>
            <w:proofErr w:type="gramEnd"/>
            <w:r>
              <w:rPr>
                <w:rFonts w:ascii="Times New Roman" w:hAnsi="Times New Roman" w:cs="Times New Roman"/>
              </w:rPr>
              <w:t xml:space="preserve"> specimen from the first healthcare-associated case resulted, and the date the outbreak was declared over, in days.</w:t>
            </w:r>
          </w:p>
        </w:tc>
      </w:tr>
      <w:tr w:rsidR="00133454" w14:paraId="593F034A" w14:textId="77777777" w:rsidTr="005E2DDF">
        <w:tc>
          <w:tcPr>
            <w:tcW w:w="2547" w:type="dxa"/>
          </w:tcPr>
          <w:p w14:paraId="0E47EEB0" w14:textId="7242997D" w:rsidR="00133454" w:rsidRPr="005E2DDF" w:rsidRDefault="00133454" w:rsidP="005E2DDF">
            <w:pPr>
              <w:spacing w:before="60" w:after="60"/>
              <w:ind w:left="175"/>
              <w:rPr>
                <w:rFonts w:ascii="Times New Roman" w:hAnsi="Times New Roman" w:cs="Times New Roman"/>
                <w:i/>
              </w:rPr>
            </w:pPr>
            <w:r w:rsidRPr="005E2DDF">
              <w:rPr>
                <w:rFonts w:ascii="Times New Roman" w:hAnsi="Times New Roman" w:cs="Times New Roman"/>
                <w:i/>
              </w:rPr>
              <w:t>All-cause 30-day case mortality</w:t>
            </w:r>
          </w:p>
        </w:tc>
        <w:tc>
          <w:tcPr>
            <w:tcW w:w="6662" w:type="dxa"/>
          </w:tcPr>
          <w:p w14:paraId="2CB02418" w14:textId="3E48474D" w:rsidR="00133454" w:rsidRDefault="002952B5" w:rsidP="005E2DDF">
            <w:pPr>
              <w:spacing w:before="60" w:after="60"/>
              <w:rPr>
                <w:rFonts w:ascii="Times New Roman" w:hAnsi="Times New Roman" w:cs="Times New Roman"/>
              </w:rPr>
            </w:pPr>
            <w:r>
              <w:rPr>
                <w:rFonts w:ascii="Times New Roman" w:hAnsi="Times New Roman" w:cs="Times New Roman"/>
              </w:rPr>
              <w:t xml:space="preserve">The number of outbreak-associated COVID-19 </w:t>
            </w:r>
            <w:r w:rsidR="00133454" w:rsidRPr="00C01C00">
              <w:rPr>
                <w:rFonts w:ascii="Times New Roman" w:hAnsi="Times New Roman" w:cs="Times New Roman"/>
              </w:rPr>
              <w:t>cases who died within 30 days of testing positive for SARS-CoV-2</w:t>
            </w:r>
            <w:r w:rsidR="00933E28">
              <w:rPr>
                <w:rFonts w:ascii="Times New Roman" w:hAnsi="Times New Roman" w:cs="Times New Roman"/>
              </w:rPr>
              <w:t>.</w:t>
            </w:r>
          </w:p>
        </w:tc>
      </w:tr>
      <w:tr w:rsidR="00133454" w:rsidRPr="005E2DDF" w14:paraId="66AF6BE7" w14:textId="77777777" w:rsidTr="00235C69">
        <w:tc>
          <w:tcPr>
            <w:tcW w:w="9209" w:type="dxa"/>
            <w:gridSpan w:val="2"/>
          </w:tcPr>
          <w:p w14:paraId="40896C53" w14:textId="0126B2F3" w:rsidR="00133454" w:rsidRPr="005E2DDF" w:rsidRDefault="00133454" w:rsidP="005E2DDF">
            <w:pPr>
              <w:spacing w:before="60" w:after="60"/>
              <w:rPr>
                <w:rFonts w:ascii="Times New Roman" w:hAnsi="Times New Roman" w:cs="Times New Roman"/>
                <w:b/>
              </w:rPr>
            </w:pPr>
            <w:r w:rsidRPr="005E2DDF">
              <w:rPr>
                <w:rFonts w:ascii="Times New Roman" w:hAnsi="Times New Roman" w:cs="Times New Roman"/>
                <w:b/>
              </w:rPr>
              <w:t>Independent variables</w:t>
            </w:r>
          </w:p>
        </w:tc>
      </w:tr>
      <w:tr w:rsidR="00133454" w:rsidRPr="005E2DDF" w14:paraId="0CB81CC7" w14:textId="77777777" w:rsidTr="00235C69">
        <w:tc>
          <w:tcPr>
            <w:tcW w:w="9209" w:type="dxa"/>
            <w:gridSpan w:val="2"/>
          </w:tcPr>
          <w:p w14:paraId="0BC7D80D" w14:textId="48B5E244" w:rsidR="00133454" w:rsidRPr="005E2DDF" w:rsidRDefault="00133454" w:rsidP="005E2DDF">
            <w:pPr>
              <w:spacing w:before="60" w:after="60"/>
              <w:rPr>
                <w:rFonts w:ascii="Times New Roman" w:hAnsi="Times New Roman" w:cs="Times New Roman"/>
                <w:b/>
                <w:i/>
              </w:rPr>
            </w:pPr>
            <w:r w:rsidRPr="005E2DDF">
              <w:rPr>
                <w:rFonts w:ascii="Times New Roman" w:hAnsi="Times New Roman" w:cs="Times New Roman"/>
                <w:b/>
                <w:i/>
              </w:rPr>
              <w:t>Patient</w:t>
            </w:r>
            <w:r w:rsidR="005E2DDF" w:rsidRPr="005E2DDF">
              <w:rPr>
                <w:rFonts w:ascii="Times New Roman" w:hAnsi="Times New Roman" w:cs="Times New Roman"/>
                <w:b/>
                <w:i/>
              </w:rPr>
              <w:t>-level factors</w:t>
            </w:r>
          </w:p>
        </w:tc>
      </w:tr>
      <w:tr w:rsidR="00133454" w14:paraId="0662A477" w14:textId="77777777" w:rsidTr="005E2DDF">
        <w:tc>
          <w:tcPr>
            <w:tcW w:w="2547" w:type="dxa"/>
          </w:tcPr>
          <w:p w14:paraId="082884FB" w14:textId="77EC50E2" w:rsidR="00133454" w:rsidRPr="005E2DDF" w:rsidRDefault="00133454" w:rsidP="005E2DDF">
            <w:pPr>
              <w:spacing w:before="60" w:after="60"/>
              <w:ind w:left="175"/>
              <w:rPr>
                <w:rFonts w:ascii="Times New Roman" w:hAnsi="Times New Roman" w:cs="Times New Roman"/>
                <w:i/>
              </w:rPr>
            </w:pPr>
            <w:r w:rsidRPr="005E2DDF">
              <w:rPr>
                <w:rFonts w:ascii="Times New Roman" w:hAnsi="Times New Roman" w:cs="Times New Roman"/>
                <w:i/>
              </w:rPr>
              <w:t>Age</w:t>
            </w:r>
          </w:p>
        </w:tc>
        <w:tc>
          <w:tcPr>
            <w:tcW w:w="6662" w:type="dxa"/>
          </w:tcPr>
          <w:p w14:paraId="28230068" w14:textId="0B10AD6D" w:rsidR="00133454" w:rsidRPr="00C01C00" w:rsidRDefault="00F64165" w:rsidP="005E2DDF">
            <w:pPr>
              <w:spacing w:before="60" w:after="60"/>
              <w:rPr>
                <w:rFonts w:ascii="Times New Roman" w:hAnsi="Times New Roman" w:cs="Times New Roman"/>
              </w:rPr>
            </w:pPr>
            <w:r>
              <w:rPr>
                <w:rFonts w:ascii="Times New Roman" w:hAnsi="Times New Roman" w:cs="Times New Roman"/>
              </w:rPr>
              <w:t>Patient age in years on admission.</w:t>
            </w:r>
          </w:p>
        </w:tc>
      </w:tr>
      <w:tr w:rsidR="00133454" w14:paraId="68CA424A" w14:textId="77777777" w:rsidTr="005E2DDF">
        <w:tc>
          <w:tcPr>
            <w:tcW w:w="2547" w:type="dxa"/>
          </w:tcPr>
          <w:p w14:paraId="0A24CFC5" w14:textId="42E8E165" w:rsidR="00133454" w:rsidRPr="005E2DDF" w:rsidRDefault="00133454" w:rsidP="005E2DDF">
            <w:pPr>
              <w:spacing w:before="60" w:after="60"/>
              <w:ind w:left="175"/>
              <w:rPr>
                <w:rFonts w:ascii="Times New Roman" w:hAnsi="Times New Roman" w:cs="Times New Roman"/>
                <w:i/>
              </w:rPr>
            </w:pPr>
            <w:r w:rsidRPr="005E2DDF">
              <w:rPr>
                <w:rFonts w:ascii="Times New Roman" w:hAnsi="Times New Roman" w:cs="Times New Roman"/>
                <w:i/>
              </w:rPr>
              <w:t>Sex</w:t>
            </w:r>
          </w:p>
        </w:tc>
        <w:tc>
          <w:tcPr>
            <w:tcW w:w="6662" w:type="dxa"/>
          </w:tcPr>
          <w:p w14:paraId="2BF8266F" w14:textId="19D9E393" w:rsidR="00133454" w:rsidRPr="00C01C00" w:rsidRDefault="00F64165" w:rsidP="005E2DDF">
            <w:pPr>
              <w:spacing w:before="60" w:after="60"/>
              <w:rPr>
                <w:rFonts w:ascii="Times New Roman" w:hAnsi="Times New Roman" w:cs="Times New Roman"/>
              </w:rPr>
            </w:pPr>
            <w:r>
              <w:rPr>
                <w:rFonts w:ascii="Times New Roman" w:hAnsi="Times New Roman" w:cs="Times New Roman"/>
              </w:rPr>
              <w:t>Patient sex as recorded in electronic patient health record.</w:t>
            </w:r>
          </w:p>
        </w:tc>
      </w:tr>
      <w:tr w:rsidR="00133454" w14:paraId="48D9E3FB" w14:textId="77777777" w:rsidTr="005E2DDF">
        <w:tc>
          <w:tcPr>
            <w:tcW w:w="2547" w:type="dxa"/>
          </w:tcPr>
          <w:p w14:paraId="5D3243FF" w14:textId="4F676D9D" w:rsidR="00133454" w:rsidRPr="005E2DDF" w:rsidRDefault="00133454" w:rsidP="005E2DDF">
            <w:pPr>
              <w:spacing w:before="60" w:after="60"/>
              <w:ind w:left="175"/>
              <w:rPr>
                <w:rFonts w:ascii="Times New Roman" w:hAnsi="Times New Roman" w:cs="Times New Roman"/>
                <w:i/>
              </w:rPr>
            </w:pPr>
            <w:bookmarkStart w:id="0" w:name="_GoBack"/>
            <w:r w:rsidRPr="00151677">
              <w:rPr>
                <w:rFonts w:ascii="Times New Roman" w:hAnsi="Times New Roman" w:cs="Times New Roman"/>
                <w:i/>
              </w:rPr>
              <w:t>Resource intensity weight</w:t>
            </w:r>
            <w:r w:rsidR="00F21A6E" w:rsidRPr="00151677">
              <w:rPr>
                <w:rFonts w:ascii="Times New Roman" w:hAnsi="Times New Roman" w:cs="Times New Roman"/>
                <w:i/>
              </w:rPr>
              <w:t xml:space="preserve"> (RIW)</w:t>
            </w:r>
            <w:bookmarkEnd w:id="0"/>
          </w:p>
        </w:tc>
        <w:tc>
          <w:tcPr>
            <w:tcW w:w="6662" w:type="dxa"/>
          </w:tcPr>
          <w:p w14:paraId="291DFD22" w14:textId="11E2EA0F" w:rsidR="00133454" w:rsidRPr="00C01C00" w:rsidRDefault="002952B5" w:rsidP="00F64165">
            <w:pPr>
              <w:spacing w:before="60" w:after="60"/>
              <w:rPr>
                <w:rFonts w:ascii="Times New Roman" w:hAnsi="Times New Roman" w:cs="Times New Roman"/>
              </w:rPr>
            </w:pPr>
            <w:r>
              <w:rPr>
                <w:rFonts w:ascii="Times New Roman" w:hAnsi="Times New Roman" w:cs="Times New Roman"/>
              </w:rPr>
              <w:t>A</w:t>
            </w:r>
            <w:r w:rsidR="00F64165">
              <w:rPr>
                <w:rFonts w:ascii="Times New Roman" w:hAnsi="Times New Roman" w:cs="Times New Roman"/>
              </w:rPr>
              <w:t xml:space="preserve"> Canadian Institute of Health Information (CIHI) standardized measure of </w:t>
            </w:r>
            <w:r w:rsidR="00133454" w:rsidRPr="003A731F">
              <w:rPr>
                <w:rFonts w:ascii="Times New Roman" w:hAnsi="Times New Roman" w:cs="Times New Roman"/>
              </w:rPr>
              <w:t>the intensity of resource use associated with</w:t>
            </w:r>
            <w:r w:rsidR="00F64165">
              <w:rPr>
                <w:rFonts w:ascii="Times New Roman" w:hAnsi="Times New Roman" w:cs="Times New Roman"/>
              </w:rPr>
              <w:t xml:space="preserve"> the patient profile based on</w:t>
            </w:r>
            <w:r w:rsidR="00133454" w:rsidRPr="003A731F">
              <w:rPr>
                <w:rFonts w:ascii="Times New Roman" w:hAnsi="Times New Roman" w:cs="Times New Roman"/>
              </w:rPr>
              <w:t xml:space="preserve"> </w:t>
            </w:r>
            <w:r w:rsidR="00F64165">
              <w:rPr>
                <w:rFonts w:ascii="Times New Roman" w:hAnsi="Times New Roman" w:cs="Times New Roman"/>
              </w:rPr>
              <w:t>diagnostic and</w:t>
            </w:r>
            <w:r w:rsidR="00133454" w:rsidRPr="003A731F">
              <w:rPr>
                <w:rFonts w:ascii="Times New Roman" w:hAnsi="Times New Roman" w:cs="Times New Roman"/>
              </w:rPr>
              <w:t xml:space="preserve"> surgical procedures and patient demographic characteristics</w:t>
            </w:r>
            <w:r w:rsidR="00F64165">
              <w:rPr>
                <w:rFonts w:ascii="Times New Roman" w:hAnsi="Times New Roman" w:cs="Times New Roman"/>
              </w:rPr>
              <w:t xml:space="preserve">. Used as a proxy for </w:t>
            </w:r>
            <w:r w:rsidR="00133454">
              <w:rPr>
                <w:rFonts w:ascii="Times New Roman" w:hAnsi="Times New Roman" w:cs="Times New Roman"/>
              </w:rPr>
              <w:t>clinical complexity.</w:t>
            </w:r>
          </w:p>
        </w:tc>
      </w:tr>
      <w:tr w:rsidR="00133454" w14:paraId="1F87CA04" w14:textId="77777777" w:rsidTr="005E2DDF">
        <w:tc>
          <w:tcPr>
            <w:tcW w:w="2547" w:type="dxa"/>
          </w:tcPr>
          <w:p w14:paraId="4A4256E5" w14:textId="758B0BBC" w:rsidR="00133454" w:rsidRPr="005E2DDF" w:rsidRDefault="00133454" w:rsidP="005E2DDF">
            <w:pPr>
              <w:spacing w:before="60" w:after="60"/>
              <w:ind w:left="175"/>
              <w:rPr>
                <w:rFonts w:ascii="Times New Roman" w:hAnsi="Times New Roman" w:cs="Times New Roman"/>
                <w:i/>
              </w:rPr>
            </w:pPr>
            <w:r w:rsidRPr="005E2DDF">
              <w:rPr>
                <w:rFonts w:ascii="Times New Roman" w:hAnsi="Times New Roman" w:cs="Times New Roman"/>
                <w:i/>
              </w:rPr>
              <w:t>Length of stay</w:t>
            </w:r>
          </w:p>
        </w:tc>
        <w:tc>
          <w:tcPr>
            <w:tcW w:w="6662" w:type="dxa"/>
          </w:tcPr>
          <w:p w14:paraId="22CC3B61" w14:textId="6F478F56" w:rsidR="00133454" w:rsidRPr="00C01C00" w:rsidRDefault="00F64165" w:rsidP="005E2DDF">
            <w:pPr>
              <w:spacing w:before="60" w:after="60"/>
              <w:rPr>
                <w:rFonts w:ascii="Times New Roman" w:hAnsi="Times New Roman" w:cs="Times New Roman"/>
              </w:rPr>
            </w:pPr>
            <w:r>
              <w:rPr>
                <w:rFonts w:ascii="Times New Roman" w:hAnsi="Times New Roman" w:cs="Times New Roman"/>
              </w:rPr>
              <w:t>Total patient hospital length of stay in days.</w:t>
            </w:r>
          </w:p>
        </w:tc>
      </w:tr>
      <w:tr w:rsidR="00133454" w14:paraId="2B38E2AB" w14:textId="77777777" w:rsidTr="005E2DDF">
        <w:tc>
          <w:tcPr>
            <w:tcW w:w="2547" w:type="dxa"/>
          </w:tcPr>
          <w:p w14:paraId="732E53E5" w14:textId="1B4C17C0" w:rsidR="00133454" w:rsidRPr="005E2DDF" w:rsidRDefault="00133454" w:rsidP="005E2DDF">
            <w:pPr>
              <w:spacing w:before="60" w:after="60"/>
              <w:ind w:left="175"/>
              <w:rPr>
                <w:rFonts w:ascii="Times New Roman" w:hAnsi="Times New Roman" w:cs="Times New Roman"/>
                <w:i/>
              </w:rPr>
            </w:pPr>
            <w:r w:rsidRPr="005E2DDF">
              <w:rPr>
                <w:rFonts w:ascii="Times New Roman" w:hAnsi="Times New Roman" w:cs="Times New Roman"/>
                <w:i/>
              </w:rPr>
              <w:t>Acute length of stay</w:t>
            </w:r>
          </w:p>
        </w:tc>
        <w:tc>
          <w:tcPr>
            <w:tcW w:w="6662" w:type="dxa"/>
          </w:tcPr>
          <w:p w14:paraId="41DA21B1" w14:textId="5E89E427" w:rsidR="00133454" w:rsidRPr="00C01C00" w:rsidRDefault="00F64165" w:rsidP="005E2DDF">
            <w:pPr>
              <w:spacing w:before="60" w:after="60"/>
              <w:rPr>
                <w:rFonts w:ascii="Times New Roman" w:hAnsi="Times New Roman" w:cs="Times New Roman"/>
              </w:rPr>
            </w:pPr>
            <w:r>
              <w:rPr>
                <w:rFonts w:ascii="Times New Roman" w:hAnsi="Times New Roman" w:cs="Times New Roman"/>
              </w:rPr>
              <w:t>Patient hospital length of stay excluding days registered as alternate level of care, defined as medically fit for discharge but cannot access the appropriate post-acute care services.</w:t>
            </w:r>
          </w:p>
        </w:tc>
      </w:tr>
      <w:tr w:rsidR="00133454" w14:paraId="1111ED8C" w14:textId="77777777" w:rsidTr="005E2DDF">
        <w:tc>
          <w:tcPr>
            <w:tcW w:w="2547" w:type="dxa"/>
          </w:tcPr>
          <w:p w14:paraId="31F9E8B8" w14:textId="5E43CC12" w:rsidR="00133454" w:rsidRPr="005E2DDF" w:rsidRDefault="00133454" w:rsidP="005E2DDF">
            <w:pPr>
              <w:spacing w:before="60" w:after="60"/>
              <w:ind w:left="175"/>
              <w:rPr>
                <w:rFonts w:ascii="Times New Roman" w:hAnsi="Times New Roman" w:cs="Times New Roman"/>
                <w:i/>
              </w:rPr>
            </w:pPr>
            <w:r w:rsidRPr="005E2DDF">
              <w:rPr>
                <w:rFonts w:ascii="Times New Roman" w:hAnsi="Times New Roman" w:cs="Times New Roman"/>
                <w:i/>
              </w:rPr>
              <w:t>Days between admission and positive specimen collection</w:t>
            </w:r>
          </w:p>
        </w:tc>
        <w:tc>
          <w:tcPr>
            <w:tcW w:w="6662" w:type="dxa"/>
          </w:tcPr>
          <w:p w14:paraId="4228A43F" w14:textId="2DD1A405" w:rsidR="00133454" w:rsidRPr="00C01C00" w:rsidRDefault="00F64165" w:rsidP="00F64165">
            <w:pPr>
              <w:spacing w:before="60" w:after="60"/>
              <w:rPr>
                <w:rFonts w:ascii="Times New Roman" w:hAnsi="Times New Roman" w:cs="Times New Roman"/>
              </w:rPr>
            </w:pPr>
            <w:r>
              <w:rPr>
                <w:rFonts w:ascii="Times New Roman" w:hAnsi="Times New Roman" w:cs="Times New Roman"/>
              </w:rPr>
              <w:t>Time between hospital admission date and date of positive specimen collection in days.</w:t>
            </w:r>
          </w:p>
        </w:tc>
      </w:tr>
      <w:tr w:rsidR="00133454" w14:paraId="39EDFED4" w14:textId="77777777" w:rsidTr="005E2DDF">
        <w:tc>
          <w:tcPr>
            <w:tcW w:w="2547" w:type="dxa"/>
          </w:tcPr>
          <w:p w14:paraId="08FE7FA1" w14:textId="0C9E1CCE" w:rsidR="00133454" w:rsidRPr="005E2DDF" w:rsidRDefault="00133454" w:rsidP="005E2DDF">
            <w:pPr>
              <w:spacing w:before="60" w:after="60"/>
              <w:ind w:left="175"/>
              <w:rPr>
                <w:rFonts w:ascii="Times New Roman" w:hAnsi="Times New Roman" w:cs="Times New Roman"/>
                <w:i/>
              </w:rPr>
            </w:pPr>
            <w:r w:rsidRPr="005E2DDF">
              <w:rPr>
                <w:rFonts w:ascii="Times New Roman" w:hAnsi="Times New Roman" w:cs="Times New Roman"/>
                <w:i/>
              </w:rPr>
              <w:t>Days between positive specimen collection and discharge</w:t>
            </w:r>
          </w:p>
        </w:tc>
        <w:tc>
          <w:tcPr>
            <w:tcW w:w="6662" w:type="dxa"/>
          </w:tcPr>
          <w:p w14:paraId="423ED0ED" w14:textId="05E9F6AB" w:rsidR="00133454" w:rsidRPr="00C01C00" w:rsidRDefault="00F64165" w:rsidP="005E2DDF">
            <w:pPr>
              <w:spacing w:before="60" w:after="60"/>
              <w:rPr>
                <w:rFonts w:ascii="Times New Roman" w:hAnsi="Times New Roman" w:cs="Times New Roman"/>
              </w:rPr>
            </w:pPr>
            <w:r>
              <w:rPr>
                <w:rFonts w:ascii="Times New Roman" w:hAnsi="Times New Roman" w:cs="Times New Roman"/>
              </w:rPr>
              <w:t xml:space="preserve">Time between positive specimen collection date and </w:t>
            </w:r>
            <w:r w:rsidR="002952B5">
              <w:rPr>
                <w:rFonts w:ascii="Times New Roman" w:hAnsi="Times New Roman" w:cs="Times New Roman"/>
              </w:rPr>
              <w:t>hospital discharge date in days.</w:t>
            </w:r>
          </w:p>
        </w:tc>
      </w:tr>
      <w:tr w:rsidR="00133454" w14:paraId="4895CA73" w14:textId="77777777" w:rsidTr="005E2DDF">
        <w:tc>
          <w:tcPr>
            <w:tcW w:w="2547" w:type="dxa"/>
          </w:tcPr>
          <w:p w14:paraId="16502950" w14:textId="203D9722" w:rsidR="00133454" w:rsidRPr="005E2DDF" w:rsidRDefault="00133454" w:rsidP="005E2DDF">
            <w:pPr>
              <w:spacing w:before="60" w:after="60"/>
              <w:ind w:left="175"/>
              <w:rPr>
                <w:rFonts w:ascii="Times New Roman" w:hAnsi="Times New Roman" w:cs="Times New Roman"/>
                <w:i/>
              </w:rPr>
            </w:pPr>
            <w:r w:rsidRPr="005E2DDF">
              <w:rPr>
                <w:rFonts w:ascii="Times New Roman" w:hAnsi="Times New Roman" w:cs="Times New Roman"/>
                <w:i/>
              </w:rPr>
              <w:t>Comorbidity total factor</w:t>
            </w:r>
          </w:p>
        </w:tc>
        <w:tc>
          <w:tcPr>
            <w:tcW w:w="6662" w:type="dxa"/>
          </w:tcPr>
          <w:p w14:paraId="13EAB79C" w14:textId="4A49FBD2" w:rsidR="00133454" w:rsidRPr="00C01C00" w:rsidRDefault="002952B5" w:rsidP="002952B5">
            <w:pPr>
              <w:spacing w:before="60" w:after="60"/>
              <w:rPr>
                <w:rFonts w:ascii="Times New Roman" w:hAnsi="Times New Roman" w:cs="Times New Roman"/>
              </w:rPr>
            </w:pPr>
            <w:r>
              <w:rPr>
                <w:rFonts w:ascii="Times New Roman" w:hAnsi="Times New Roman" w:cs="Times New Roman"/>
              </w:rPr>
              <w:t xml:space="preserve">A CIHI standardized measure of the </w:t>
            </w:r>
            <w:r w:rsidR="00133454" w:rsidRPr="00AA5C5C">
              <w:rPr>
                <w:rFonts w:ascii="Times New Roman" w:hAnsi="Times New Roman" w:cs="Times New Roman"/>
              </w:rPr>
              <w:t xml:space="preserve">cumulative percentage increase in patient cost associated with all comorbidity codes </w:t>
            </w:r>
            <w:r>
              <w:rPr>
                <w:rFonts w:ascii="Times New Roman" w:hAnsi="Times New Roman" w:cs="Times New Roman"/>
              </w:rPr>
              <w:t>for the patient. Used as a proxy for clinical complexity.</w:t>
            </w:r>
          </w:p>
        </w:tc>
      </w:tr>
      <w:tr w:rsidR="00133454" w14:paraId="3C2A74FF" w14:textId="77777777" w:rsidTr="005E2DDF">
        <w:tc>
          <w:tcPr>
            <w:tcW w:w="2547" w:type="dxa"/>
          </w:tcPr>
          <w:p w14:paraId="6C2806E4" w14:textId="382799ED" w:rsidR="00133454" w:rsidRPr="005E2DDF" w:rsidRDefault="00133454" w:rsidP="005E2DDF">
            <w:pPr>
              <w:spacing w:before="60" w:after="60"/>
              <w:ind w:left="175"/>
              <w:rPr>
                <w:rFonts w:ascii="Times New Roman" w:hAnsi="Times New Roman" w:cs="Times New Roman"/>
                <w:i/>
              </w:rPr>
            </w:pPr>
            <w:r w:rsidRPr="005E2DDF">
              <w:rPr>
                <w:rFonts w:ascii="Times New Roman" w:hAnsi="Times New Roman" w:cs="Times New Roman"/>
                <w:i/>
              </w:rPr>
              <w:t>Case mix group estimated length of stay</w:t>
            </w:r>
          </w:p>
        </w:tc>
        <w:tc>
          <w:tcPr>
            <w:tcW w:w="6662" w:type="dxa"/>
          </w:tcPr>
          <w:p w14:paraId="0004510D" w14:textId="2C9407D5" w:rsidR="00133454" w:rsidRPr="00AA5C5C" w:rsidRDefault="002952B5" w:rsidP="002952B5">
            <w:pPr>
              <w:spacing w:before="60" w:after="60"/>
              <w:rPr>
                <w:rFonts w:ascii="Times New Roman" w:hAnsi="Times New Roman" w:cs="Times New Roman"/>
              </w:rPr>
            </w:pPr>
            <w:r>
              <w:rPr>
                <w:rFonts w:ascii="Times New Roman" w:hAnsi="Times New Roman" w:cs="Times New Roman"/>
              </w:rPr>
              <w:t>A CIHI standardized measure of the a</w:t>
            </w:r>
            <w:r w:rsidR="00133454" w:rsidRPr="00926240">
              <w:rPr>
                <w:rFonts w:ascii="Times New Roman" w:hAnsi="Times New Roman" w:cs="Times New Roman"/>
              </w:rPr>
              <w:t>verage acute length of stay in hospital for patients with similar clinical and demographic profiles</w:t>
            </w:r>
            <w:r>
              <w:rPr>
                <w:rFonts w:ascii="Times New Roman" w:hAnsi="Times New Roman" w:cs="Times New Roman"/>
              </w:rPr>
              <w:t>. . Used as a proxy for clinical complexity.</w:t>
            </w:r>
          </w:p>
        </w:tc>
      </w:tr>
      <w:tr w:rsidR="00133454" w14:paraId="19B8E262" w14:textId="77777777" w:rsidTr="005E2DDF">
        <w:trPr>
          <w:trHeight w:val="54"/>
        </w:trPr>
        <w:tc>
          <w:tcPr>
            <w:tcW w:w="2547" w:type="dxa"/>
          </w:tcPr>
          <w:p w14:paraId="633D55E2" w14:textId="703858A7" w:rsidR="00133454" w:rsidRPr="005E2DDF" w:rsidRDefault="00133454" w:rsidP="005E2DDF">
            <w:pPr>
              <w:spacing w:before="60" w:after="60"/>
              <w:ind w:left="175"/>
              <w:rPr>
                <w:rFonts w:ascii="Times New Roman" w:hAnsi="Times New Roman" w:cs="Times New Roman"/>
                <w:i/>
              </w:rPr>
            </w:pPr>
            <w:r w:rsidRPr="005E2DDF">
              <w:rPr>
                <w:rFonts w:ascii="Times New Roman" w:hAnsi="Times New Roman" w:cs="Times New Roman"/>
                <w:i/>
              </w:rPr>
              <w:t>Bed moves</w:t>
            </w:r>
          </w:p>
        </w:tc>
        <w:tc>
          <w:tcPr>
            <w:tcW w:w="6662" w:type="dxa"/>
          </w:tcPr>
          <w:p w14:paraId="57033EBF" w14:textId="79BAFD09" w:rsidR="00133454" w:rsidRPr="00926240" w:rsidRDefault="002952B5" w:rsidP="005E2DDF">
            <w:pPr>
              <w:spacing w:before="60" w:after="60"/>
              <w:rPr>
                <w:rFonts w:ascii="Times New Roman" w:hAnsi="Times New Roman" w:cs="Times New Roman"/>
              </w:rPr>
            </w:pPr>
            <w:r>
              <w:rPr>
                <w:rFonts w:ascii="Times New Roman" w:hAnsi="Times New Roman" w:cs="Times New Roman"/>
              </w:rPr>
              <w:t>Number of bed moves for the patient within the outbreak unit during the outbreak.</w:t>
            </w:r>
          </w:p>
        </w:tc>
      </w:tr>
      <w:tr w:rsidR="00133454" w14:paraId="559335F6" w14:textId="77777777" w:rsidTr="005E2DDF">
        <w:tc>
          <w:tcPr>
            <w:tcW w:w="2547" w:type="dxa"/>
          </w:tcPr>
          <w:p w14:paraId="025485E3" w14:textId="1557C24E" w:rsidR="00133454" w:rsidRPr="005E2DDF" w:rsidRDefault="00133454" w:rsidP="005E2DDF">
            <w:pPr>
              <w:spacing w:before="60" w:after="60"/>
              <w:ind w:left="175"/>
              <w:rPr>
                <w:rFonts w:ascii="Times New Roman" w:hAnsi="Times New Roman" w:cs="Times New Roman"/>
                <w:i/>
              </w:rPr>
            </w:pPr>
            <w:r w:rsidRPr="005E2DDF">
              <w:rPr>
                <w:rFonts w:ascii="Times New Roman" w:hAnsi="Times New Roman" w:cs="Times New Roman"/>
                <w:i/>
              </w:rPr>
              <w:t>Number of chronic flags</w:t>
            </w:r>
          </w:p>
        </w:tc>
        <w:tc>
          <w:tcPr>
            <w:tcW w:w="6662" w:type="dxa"/>
          </w:tcPr>
          <w:p w14:paraId="4739FCA7" w14:textId="550D2652" w:rsidR="00133454" w:rsidRDefault="002952B5" w:rsidP="002952B5">
            <w:pPr>
              <w:spacing w:before="60" w:after="60"/>
              <w:rPr>
                <w:rFonts w:ascii="Times New Roman" w:hAnsi="Times New Roman" w:cs="Times New Roman"/>
              </w:rPr>
            </w:pPr>
            <w:r>
              <w:rPr>
                <w:rFonts w:ascii="Times New Roman" w:hAnsi="Times New Roman" w:cs="Times New Roman"/>
              </w:rPr>
              <w:t>The c</w:t>
            </w:r>
            <w:r w:rsidR="00133454">
              <w:rPr>
                <w:rFonts w:ascii="Times New Roman" w:hAnsi="Times New Roman" w:cs="Times New Roman"/>
              </w:rPr>
              <w:t xml:space="preserve">ount of patient chronic </w:t>
            </w:r>
            <w:proofErr w:type="gramStart"/>
            <w:r w:rsidR="00133454">
              <w:rPr>
                <w:rFonts w:ascii="Times New Roman" w:hAnsi="Times New Roman" w:cs="Times New Roman"/>
              </w:rPr>
              <w:t>disease</w:t>
            </w:r>
            <w:r w:rsidR="00234C45">
              <w:rPr>
                <w:rFonts w:ascii="Times New Roman" w:hAnsi="Times New Roman" w:cs="Times New Roman"/>
              </w:rPr>
              <w:t>s</w:t>
            </w:r>
            <w:r w:rsidR="00133454">
              <w:rPr>
                <w:rFonts w:ascii="Times New Roman" w:hAnsi="Times New Roman" w:cs="Times New Roman"/>
              </w:rPr>
              <w:t xml:space="preserve">  calculated</w:t>
            </w:r>
            <w:proofErr w:type="gramEnd"/>
            <w:r w:rsidR="00133454">
              <w:rPr>
                <w:rFonts w:ascii="Times New Roman" w:hAnsi="Times New Roman" w:cs="Times New Roman"/>
              </w:rPr>
              <w:t xml:space="preserve"> from c</w:t>
            </w:r>
            <w:r w:rsidR="00133454" w:rsidRPr="00AA5C5C">
              <w:rPr>
                <w:rFonts w:ascii="Times New Roman" w:hAnsi="Times New Roman" w:cs="Times New Roman"/>
              </w:rPr>
              <w:t xml:space="preserve">omorbidities </w:t>
            </w:r>
            <w:r w:rsidR="00133454" w:rsidRPr="00D30977">
              <w:rPr>
                <w:rFonts w:ascii="Times New Roman" w:hAnsi="Times New Roman" w:cs="Times New Roman"/>
              </w:rPr>
              <w:t>ICD-10-CA codes</w:t>
            </w:r>
            <w:r w:rsidR="00133454">
              <w:rPr>
                <w:rFonts w:ascii="Times New Roman" w:hAnsi="Times New Roman" w:cs="Times New Roman"/>
              </w:rPr>
              <w:t xml:space="preserve"> extracted from </w:t>
            </w:r>
            <w:r>
              <w:rPr>
                <w:rFonts w:ascii="Times New Roman" w:hAnsi="Times New Roman" w:cs="Times New Roman"/>
              </w:rPr>
              <w:t xml:space="preserve">coded discharge </w:t>
            </w:r>
            <w:r w:rsidR="00133454">
              <w:rPr>
                <w:rFonts w:ascii="Times New Roman" w:hAnsi="Times New Roman" w:cs="Times New Roman"/>
              </w:rPr>
              <w:t>data submitted to CIHI</w:t>
            </w:r>
            <w:r>
              <w:rPr>
                <w:rFonts w:ascii="Times New Roman" w:hAnsi="Times New Roman" w:cs="Times New Roman"/>
              </w:rPr>
              <w:t xml:space="preserve"> from patient medical records.</w:t>
            </w:r>
          </w:p>
        </w:tc>
      </w:tr>
      <w:tr w:rsidR="00133454" w:rsidRPr="00933E28" w14:paraId="6D5EE8F7" w14:textId="77777777" w:rsidTr="00FB6C74">
        <w:tc>
          <w:tcPr>
            <w:tcW w:w="9209" w:type="dxa"/>
            <w:gridSpan w:val="2"/>
          </w:tcPr>
          <w:p w14:paraId="6AB64416" w14:textId="296E9C79" w:rsidR="00133454" w:rsidRPr="00933E28" w:rsidRDefault="00133454" w:rsidP="005E2DDF">
            <w:pPr>
              <w:spacing w:before="60" w:after="60"/>
              <w:rPr>
                <w:rFonts w:ascii="Times New Roman" w:hAnsi="Times New Roman" w:cs="Times New Roman"/>
                <w:b/>
                <w:i/>
              </w:rPr>
            </w:pPr>
            <w:r w:rsidRPr="00933E28">
              <w:rPr>
                <w:rFonts w:ascii="Times New Roman" w:hAnsi="Times New Roman" w:cs="Times New Roman"/>
                <w:b/>
                <w:i/>
              </w:rPr>
              <w:lastRenderedPageBreak/>
              <w:t>Unit</w:t>
            </w:r>
          </w:p>
        </w:tc>
      </w:tr>
      <w:tr w:rsidR="00133454" w14:paraId="59CF6A8D" w14:textId="77777777" w:rsidTr="005E2DDF">
        <w:tc>
          <w:tcPr>
            <w:tcW w:w="2547" w:type="dxa"/>
          </w:tcPr>
          <w:p w14:paraId="6E07D3A7" w14:textId="69FCE54A" w:rsidR="00133454" w:rsidRPr="00933E28" w:rsidRDefault="00133454" w:rsidP="00933E28">
            <w:pPr>
              <w:spacing w:before="60" w:after="60"/>
              <w:ind w:left="175"/>
              <w:rPr>
                <w:rFonts w:ascii="Times New Roman" w:hAnsi="Times New Roman" w:cs="Times New Roman"/>
                <w:i/>
              </w:rPr>
            </w:pPr>
            <w:r w:rsidRPr="00933E28">
              <w:rPr>
                <w:rFonts w:ascii="Times New Roman" w:hAnsi="Times New Roman" w:cs="Times New Roman"/>
                <w:i/>
              </w:rPr>
              <w:t>Unit age</w:t>
            </w:r>
          </w:p>
        </w:tc>
        <w:tc>
          <w:tcPr>
            <w:tcW w:w="6662" w:type="dxa"/>
          </w:tcPr>
          <w:p w14:paraId="2DE29571" w14:textId="64A0AFBC" w:rsidR="00133454" w:rsidRDefault="00933E28" w:rsidP="005E2DDF">
            <w:pPr>
              <w:spacing w:before="60" w:after="60"/>
              <w:rPr>
                <w:rFonts w:ascii="Times New Roman" w:hAnsi="Times New Roman" w:cs="Times New Roman"/>
              </w:rPr>
            </w:pPr>
            <w:r>
              <w:rPr>
                <w:rFonts w:ascii="Times New Roman" w:hAnsi="Times New Roman" w:cs="Times New Roman"/>
              </w:rPr>
              <w:t xml:space="preserve">The number of years since the unit space </w:t>
            </w:r>
            <w:proofErr w:type="gramStart"/>
            <w:r>
              <w:rPr>
                <w:rFonts w:ascii="Times New Roman" w:hAnsi="Times New Roman" w:cs="Times New Roman"/>
              </w:rPr>
              <w:t>was built</w:t>
            </w:r>
            <w:proofErr w:type="gramEnd"/>
            <w:r>
              <w:rPr>
                <w:rFonts w:ascii="Times New Roman" w:hAnsi="Times New Roman" w:cs="Times New Roman"/>
              </w:rPr>
              <w:t xml:space="preserve"> or the last major renovation to the space, whichever is most recent.</w:t>
            </w:r>
          </w:p>
        </w:tc>
      </w:tr>
      <w:tr w:rsidR="00133454" w14:paraId="0A26DAEA" w14:textId="77777777" w:rsidTr="005E2DDF">
        <w:tc>
          <w:tcPr>
            <w:tcW w:w="2547" w:type="dxa"/>
          </w:tcPr>
          <w:p w14:paraId="428C9878" w14:textId="6DB75B6C" w:rsidR="00133454" w:rsidRPr="00933E28" w:rsidRDefault="00133454" w:rsidP="00933E28">
            <w:pPr>
              <w:spacing w:before="60" w:after="60"/>
              <w:ind w:left="175"/>
              <w:rPr>
                <w:rFonts w:ascii="Times New Roman" w:hAnsi="Times New Roman" w:cs="Times New Roman"/>
                <w:i/>
              </w:rPr>
            </w:pPr>
            <w:r w:rsidRPr="00933E28">
              <w:rPr>
                <w:rFonts w:ascii="Times New Roman" w:hAnsi="Times New Roman" w:cs="Times New Roman"/>
                <w:i/>
              </w:rPr>
              <w:t>An</w:t>
            </w:r>
            <w:r w:rsidR="00296D98">
              <w:rPr>
                <w:rFonts w:ascii="Times New Roman" w:hAnsi="Times New Roman" w:cs="Times New Roman"/>
                <w:i/>
              </w:rPr>
              <w:t>y rooms with hand hygiene sinks</w:t>
            </w:r>
          </w:p>
        </w:tc>
        <w:tc>
          <w:tcPr>
            <w:tcW w:w="6662" w:type="dxa"/>
          </w:tcPr>
          <w:p w14:paraId="07EB6926" w14:textId="16725D43" w:rsidR="00133454" w:rsidRPr="00926240" w:rsidRDefault="00933E28" w:rsidP="00933E28">
            <w:pPr>
              <w:spacing w:before="60" w:after="60"/>
              <w:rPr>
                <w:rFonts w:ascii="Times New Roman" w:hAnsi="Times New Roman" w:cs="Times New Roman"/>
              </w:rPr>
            </w:pPr>
            <w:r>
              <w:rPr>
                <w:rFonts w:ascii="Times New Roman" w:hAnsi="Times New Roman" w:cs="Times New Roman"/>
              </w:rPr>
              <w:t>A dichotomous (yes or no) variable indicating whether patient rooms on the unit have dedicated hand hygiene sinks.</w:t>
            </w:r>
          </w:p>
        </w:tc>
      </w:tr>
      <w:tr w:rsidR="00133454" w14:paraId="6C7F211F" w14:textId="77777777" w:rsidTr="005E2DDF">
        <w:tc>
          <w:tcPr>
            <w:tcW w:w="2547" w:type="dxa"/>
          </w:tcPr>
          <w:p w14:paraId="0C85DF96" w14:textId="7483F91E" w:rsidR="00133454" w:rsidRPr="00933E28" w:rsidRDefault="00133454" w:rsidP="00F21A6E">
            <w:pPr>
              <w:spacing w:before="60" w:after="60"/>
              <w:ind w:left="175"/>
              <w:rPr>
                <w:rFonts w:ascii="Times New Roman" w:hAnsi="Times New Roman" w:cs="Times New Roman"/>
                <w:i/>
              </w:rPr>
            </w:pPr>
            <w:r w:rsidRPr="00933E28">
              <w:rPr>
                <w:rFonts w:ascii="Times New Roman" w:hAnsi="Times New Roman" w:cs="Times New Roman"/>
                <w:i/>
              </w:rPr>
              <w:t>Nursing hours coded as overtime</w:t>
            </w:r>
            <w:r w:rsidR="00F21A6E">
              <w:rPr>
                <w:rFonts w:ascii="Times New Roman" w:hAnsi="Times New Roman" w:cs="Times New Roman"/>
                <w:i/>
              </w:rPr>
              <w:t xml:space="preserve"> (OT) </w:t>
            </w:r>
            <w:r w:rsidRPr="00933E28">
              <w:rPr>
                <w:rFonts w:ascii="Times New Roman" w:hAnsi="Times New Roman" w:cs="Times New Roman"/>
                <w:i/>
              </w:rPr>
              <w:t>hours during the outbreak</w:t>
            </w:r>
          </w:p>
        </w:tc>
        <w:tc>
          <w:tcPr>
            <w:tcW w:w="6662" w:type="dxa"/>
          </w:tcPr>
          <w:p w14:paraId="2659A7E7" w14:textId="00AE46EE" w:rsidR="00133454" w:rsidRPr="00926240" w:rsidRDefault="00933E28" w:rsidP="005E2DDF">
            <w:pPr>
              <w:spacing w:before="60" w:after="60"/>
              <w:rPr>
                <w:rFonts w:ascii="Times New Roman" w:hAnsi="Times New Roman" w:cs="Times New Roman"/>
              </w:rPr>
            </w:pPr>
            <w:r>
              <w:rPr>
                <w:rFonts w:ascii="Times New Roman" w:hAnsi="Times New Roman" w:cs="Times New Roman"/>
              </w:rPr>
              <w:t>The p</w:t>
            </w:r>
            <w:r w:rsidR="00133454">
              <w:rPr>
                <w:rFonts w:ascii="Times New Roman" w:hAnsi="Times New Roman" w:cs="Times New Roman"/>
              </w:rPr>
              <w:t xml:space="preserve">roportion of </w:t>
            </w:r>
            <w:r>
              <w:rPr>
                <w:rFonts w:ascii="Times New Roman" w:hAnsi="Times New Roman" w:cs="Times New Roman"/>
              </w:rPr>
              <w:t xml:space="preserve">total </w:t>
            </w:r>
            <w:r w:rsidR="00133454">
              <w:rPr>
                <w:rFonts w:ascii="Times New Roman" w:hAnsi="Times New Roman" w:cs="Times New Roman"/>
              </w:rPr>
              <w:t>nursing hours</w:t>
            </w:r>
            <w:r>
              <w:rPr>
                <w:rFonts w:ascii="Times New Roman" w:hAnsi="Times New Roman" w:cs="Times New Roman"/>
              </w:rPr>
              <w:t xml:space="preserve"> during the outbreak that </w:t>
            </w:r>
            <w:proofErr w:type="gramStart"/>
            <w:r>
              <w:rPr>
                <w:rFonts w:ascii="Times New Roman" w:hAnsi="Times New Roman" w:cs="Times New Roman"/>
              </w:rPr>
              <w:t>were coded</w:t>
            </w:r>
            <w:proofErr w:type="gramEnd"/>
            <w:r>
              <w:rPr>
                <w:rFonts w:ascii="Times New Roman" w:hAnsi="Times New Roman" w:cs="Times New Roman"/>
              </w:rPr>
              <w:t xml:space="preserve"> as overtime hours. Used as a measure of nursing workload.</w:t>
            </w:r>
          </w:p>
        </w:tc>
      </w:tr>
      <w:tr w:rsidR="00133454" w14:paraId="37300771" w14:textId="77777777" w:rsidTr="005E2DDF">
        <w:tc>
          <w:tcPr>
            <w:tcW w:w="2547" w:type="dxa"/>
          </w:tcPr>
          <w:p w14:paraId="05EA8330" w14:textId="2F0ECFC4" w:rsidR="00133454" w:rsidRPr="00933E28" w:rsidRDefault="00133454" w:rsidP="00234C45">
            <w:pPr>
              <w:spacing w:before="60" w:after="60"/>
              <w:ind w:left="175"/>
              <w:rPr>
                <w:rFonts w:ascii="Times New Roman" w:hAnsi="Times New Roman" w:cs="Times New Roman"/>
                <w:i/>
              </w:rPr>
            </w:pPr>
            <w:r w:rsidRPr="00933E28">
              <w:rPr>
                <w:rFonts w:ascii="Times New Roman" w:hAnsi="Times New Roman" w:cs="Times New Roman"/>
                <w:i/>
              </w:rPr>
              <w:t xml:space="preserve">Number of nursing hours divided by the number of patient days during the </w:t>
            </w:r>
            <w:r w:rsidR="00234C45">
              <w:rPr>
                <w:rFonts w:ascii="Times New Roman" w:hAnsi="Times New Roman" w:cs="Times New Roman"/>
                <w:i/>
              </w:rPr>
              <w:t>study period</w:t>
            </w:r>
          </w:p>
        </w:tc>
        <w:tc>
          <w:tcPr>
            <w:tcW w:w="6662" w:type="dxa"/>
          </w:tcPr>
          <w:p w14:paraId="33668010" w14:textId="06651467" w:rsidR="00133454" w:rsidRPr="00926240" w:rsidRDefault="00933E28" w:rsidP="005E2DDF">
            <w:pPr>
              <w:spacing w:before="60" w:after="60"/>
              <w:rPr>
                <w:rFonts w:ascii="Times New Roman" w:hAnsi="Times New Roman" w:cs="Times New Roman"/>
              </w:rPr>
            </w:pPr>
            <w:r>
              <w:rPr>
                <w:rFonts w:ascii="Times New Roman" w:hAnsi="Times New Roman" w:cs="Times New Roman"/>
              </w:rPr>
              <w:t>The total number of nursing hours divided by the number of patient days for the unit during the outbreak. Used as a measure of nursing workload.</w:t>
            </w:r>
          </w:p>
        </w:tc>
      </w:tr>
      <w:tr w:rsidR="00133454" w14:paraId="46FE3F09" w14:textId="77777777" w:rsidTr="005E2DDF">
        <w:tc>
          <w:tcPr>
            <w:tcW w:w="2547" w:type="dxa"/>
          </w:tcPr>
          <w:p w14:paraId="13C9206C" w14:textId="22C52865" w:rsidR="00133454" w:rsidRPr="00933E28" w:rsidRDefault="00133454" w:rsidP="00933E28">
            <w:pPr>
              <w:spacing w:before="60" w:after="60"/>
              <w:ind w:left="175"/>
              <w:rPr>
                <w:rFonts w:ascii="Times New Roman" w:hAnsi="Times New Roman" w:cs="Times New Roman"/>
                <w:i/>
              </w:rPr>
            </w:pPr>
            <w:r w:rsidRPr="00933E28">
              <w:rPr>
                <w:rFonts w:ascii="Times New Roman" w:hAnsi="Times New Roman" w:cs="Times New Roman"/>
                <w:i/>
              </w:rPr>
              <w:t>Hand hygiene compliance rates prior to the outbreak</w:t>
            </w:r>
          </w:p>
        </w:tc>
        <w:tc>
          <w:tcPr>
            <w:tcW w:w="6662" w:type="dxa"/>
          </w:tcPr>
          <w:p w14:paraId="67467CA9" w14:textId="605C3189" w:rsidR="00133454" w:rsidRPr="00926240" w:rsidRDefault="00933E28" w:rsidP="00933E28">
            <w:pPr>
              <w:spacing w:before="60" w:after="60"/>
              <w:rPr>
                <w:rFonts w:ascii="Times New Roman" w:hAnsi="Times New Roman" w:cs="Times New Roman"/>
              </w:rPr>
            </w:pPr>
            <w:r>
              <w:rPr>
                <w:rFonts w:ascii="Times New Roman" w:hAnsi="Times New Roman" w:cs="Times New Roman"/>
              </w:rPr>
              <w:t>The a</w:t>
            </w:r>
            <w:r w:rsidR="00133454">
              <w:rPr>
                <w:rFonts w:ascii="Times New Roman" w:hAnsi="Times New Roman" w:cs="Times New Roman"/>
              </w:rPr>
              <w:t xml:space="preserve">verage </w:t>
            </w:r>
            <w:r>
              <w:rPr>
                <w:rFonts w:ascii="Times New Roman" w:hAnsi="Times New Roman" w:cs="Times New Roman"/>
              </w:rPr>
              <w:t>hand hygiene compliance audit result for the unit in the year prior to the COVID-19 pandemic (March 1, 2019 to March 1, 2020).</w:t>
            </w:r>
          </w:p>
        </w:tc>
      </w:tr>
      <w:tr w:rsidR="00133454" w14:paraId="41DC0A6C" w14:textId="77777777" w:rsidTr="005E2DDF">
        <w:tc>
          <w:tcPr>
            <w:tcW w:w="2547" w:type="dxa"/>
          </w:tcPr>
          <w:p w14:paraId="0F949C59" w14:textId="516C1FDB" w:rsidR="00133454" w:rsidRPr="00933E28" w:rsidRDefault="00133454" w:rsidP="00933E28">
            <w:pPr>
              <w:spacing w:before="60" w:after="60"/>
              <w:ind w:left="175"/>
              <w:rPr>
                <w:rFonts w:ascii="Times New Roman" w:hAnsi="Times New Roman" w:cs="Times New Roman"/>
                <w:i/>
              </w:rPr>
            </w:pPr>
            <w:r w:rsidRPr="00933E28">
              <w:rPr>
                <w:rFonts w:ascii="Times New Roman" w:hAnsi="Times New Roman" w:cs="Times New Roman"/>
                <w:i/>
              </w:rPr>
              <w:t xml:space="preserve">Hand hygiene rates during outbreak </w:t>
            </w:r>
          </w:p>
        </w:tc>
        <w:tc>
          <w:tcPr>
            <w:tcW w:w="6662" w:type="dxa"/>
          </w:tcPr>
          <w:p w14:paraId="697E70D0" w14:textId="58E4826B" w:rsidR="00133454" w:rsidRPr="00926240" w:rsidRDefault="00933E28" w:rsidP="00933E28">
            <w:pPr>
              <w:spacing w:before="60" w:after="60"/>
              <w:rPr>
                <w:rFonts w:ascii="Times New Roman" w:hAnsi="Times New Roman" w:cs="Times New Roman"/>
              </w:rPr>
            </w:pPr>
            <w:r>
              <w:rPr>
                <w:rFonts w:ascii="Times New Roman" w:hAnsi="Times New Roman" w:cs="Times New Roman"/>
              </w:rPr>
              <w:t xml:space="preserve">The </w:t>
            </w:r>
            <w:proofErr w:type="gramStart"/>
            <w:r>
              <w:rPr>
                <w:rFonts w:ascii="Times New Roman" w:hAnsi="Times New Roman" w:cs="Times New Roman"/>
              </w:rPr>
              <w:t>average hand hygiene compliance audit</w:t>
            </w:r>
            <w:proofErr w:type="gramEnd"/>
            <w:r>
              <w:rPr>
                <w:rFonts w:ascii="Times New Roman" w:hAnsi="Times New Roman" w:cs="Times New Roman"/>
              </w:rPr>
              <w:t xml:space="preserve"> result for the unit during the outbreak.</w:t>
            </w:r>
          </w:p>
        </w:tc>
      </w:tr>
      <w:tr w:rsidR="00133454" w14:paraId="6FA35106" w14:textId="77777777" w:rsidTr="005E2DDF">
        <w:tc>
          <w:tcPr>
            <w:tcW w:w="2547" w:type="dxa"/>
          </w:tcPr>
          <w:p w14:paraId="7BF354A6" w14:textId="6CE8F55D" w:rsidR="00133454" w:rsidRPr="00933E28" w:rsidRDefault="00296D98" w:rsidP="00296D98">
            <w:pPr>
              <w:spacing w:before="60" w:after="60"/>
              <w:ind w:left="175"/>
              <w:rPr>
                <w:rFonts w:ascii="Times New Roman" w:hAnsi="Times New Roman" w:cs="Times New Roman"/>
                <w:i/>
              </w:rPr>
            </w:pPr>
            <w:r>
              <w:rPr>
                <w:rFonts w:ascii="Times New Roman" w:hAnsi="Times New Roman" w:cs="Times New Roman"/>
                <w:i/>
              </w:rPr>
              <w:t>Unit p</w:t>
            </w:r>
            <w:r w:rsidR="00133454" w:rsidRPr="00933E28">
              <w:rPr>
                <w:rFonts w:ascii="Times New Roman" w:hAnsi="Times New Roman" w:cs="Times New Roman"/>
                <w:i/>
              </w:rPr>
              <w:t>artially open</w:t>
            </w:r>
          </w:p>
        </w:tc>
        <w:tc>
          <w:tcPr>
            <w:tcW w:w="6662" w:type="dxa"/>
          </w:tcPr>
          <w:p w14:paraId="47E8CE72" w14:textId="6140EA73" w:rsidR="00133454" w:rsidRPr="00296D98" w:rsidRDefault="00296D98" w:rsidP="00296D98">
            <w:pPr>
              <w:spacing w:before="60" w:after="60"/>
              <w:rPr>
                <w:rFonts w:ascii="Times New Roman" w:hAnsi="Times New Roman" w:cs="Times New Roman"/>
              </w:rPr>
            </w:pPr>
            <w:r w:rsidRPr="00296D98">
              <w:rPr>
                <w:rFonts w:ascii="Times New Roman" w:hAnsi="Times New Roman" w:cs="Times New Roman"/>
              </w:rPr>
              <w:t>Categorical variable indicating whether the unit was opened to new patient admissions during the outbreak, with the exposed patients and confirmed cases cohorted respectively, or whether the cohorted exposed patients were moved to a different unit.</w:t>
            </w:r>
          </w:p>
        </w:tc>
      </w:tr>
      <w:tr w:rsidR="00133454" w14:paraId="26B6D248" w14:textId="77777777" w:rsidTr="005E2DDF">
        <w:tc>
          <w:tcPr>
            <w:tcW w:w="2547" w:type="dxa"/>
          </w:tcPr>
          <w:p w14:paraId="2CF726FC" w14:textId="1AD4B17C" w:rsidR="00133454" w:rsidRPr="00933E28" w:rsidRDefault="00133454" w:rsidP="00933E28">
            <w:pPr>
              <w:spacing w:before="60" w:after="60"/>
              <w:ind w:left="175"/>
              <w:rPr>
                <w:rFonts w:ascii="Times New Roman" w:hAnsi="Times New Roman" w:cs="Times New Roman"/>
                <w:i/>
              </w:rPr>
            </w:pPr>
            <w:r w:rsidRPr="00933E28">
              <w:rPr>
                <w:rFonts w:ascii="Times New Roman" w:hAnsi="Times New Roman" w:cs="Times New Roman"/>
                <w:i/>
              </w:rPr>
              <w:t>Proportion of patient rooms with single beds</w:t>
            </w:r>
          </w:p>
        </w:tc>
        <w:tc>
          <w:tcPr>
            <w:tcW w:w="6662" w:type="dxa"/>
          </w:tcPr>
          <w:p w14:paraId="5346CD1F" w14:textId="193E85BE" w:rsidR="00133454" w:rsidRPr="00926240" w:rsidRDefault="00296D98" w:rsidP="00296D98">
            <w:pPr>
              <w:spacing w:before="60" w:after="60"/>
              <w:rPr>
                <w:rFonts w:ascii="Times New Roman" w:hAnsi="Times New Roman" w:cs="Times New Roman"/>
              </w:rPr>
            </w:pPr>
            <w:r>
              <w:rPr>
                <w:rFonts w:ascii="Times New Roman" w:hAnsi="Times New Roman" w:cs="Times New Roman"/>
              </w:rPr>
              <w:t>The proportion of private patient rooms on the unit.</w:t>
            </w:r>
          </w:p>
        </w:tc>
      </w:tr>
      <w:tr w:rsidR="00133454" w14:paraId="3B8D095A" w14:textId="77777777" w:rsidTr="005E2DDF">
        <w:tc>
          <w:tcPr>
            <w:tcW w:w="2547" w:type="dxa"/>
          </w:tcPr>
          <w:p w14:paraId="36111F6B" w14:textId="6337BD70" w:rsidR="00133454" w:rsidRPr="00933E28" w:rsidRDefault="00133454" w:rsidP="00933E28">
            <w:pPr>
              <w:spacing w:before="60" w:after="60"/>
              <w:ind w:left="175"/>
              <w:rPr>
                <w:rFonts w:ascii="Times New Roman" w:hAnsi="Times New Roman" w:cs="Times New Roman"/>
                <w:i/>
              </w:rPr>
            </w:pPr>
            <w:r w:rsidRPr="00933E28">
              <w:rPr>
                <w:rFonts w:ascii="Times New Roman" w:hAnsi="Times New Roman" w:cs="Times New Roman"/>
                <w:i/>
              </w:rPr>
              <w:t>Ratio of patient washrooms to beds</w:t>
            </w:r>
          </w:p>
        </w:tc>
        <w:tc>
          <w:tcPr>
            <w:tcW w:w="6662" w:type="dxa"/>
          </w:tcPr>
          <w:p w14:paraId="6D2CE18C" w14:textId="7B64AA61" w:rsidR="00133454" w:rsidRPr="00926240" w:rsidRDefault="00296D98" w:rsidP="005E2DDF">
            <w:pPr>
              <w:spacing w:before="60" w:after="60"/>
              <w:rPr>
                <w:rFonts w:ascii="Times New Roman" w:hAnsi="Times New Roman" w:cs="Times New Roman"/>
              </w:rPr>
            </w:pPr>
            <w:r>
              <w:rPr>
                <w:rFonts w:ascii="Times New Roman" w:hAnsi="Times New Roman" w:cs="Times New Roman"/>
              </w:rPr>
              <w:t>The number of patient washrooms on the unit divided by the number of patient beds.</w:t>
            </w:r>
          </w:p>
        </w:tc>
      </w:tr>
      <w:tr w:rsidR="00133454" w14:paraId="094B583D" w14:textId="77777777" w:rsidTr="005E2DDF">
        <w:tc>
          <w:tcPr>
            <w:tcW w:w="2547" w:type="dxa"/>
          </w:tcPr>
          <w:p w14:paraId="3ECDF709" w14:textId="4112600E" w:rsidR="00133454" w:rsidRPr="00933E28" w:rsidRDefault="00133454" w:rsidP="00296D98">
            <w:pPr>
              <w:spacing w:before="60" w:after="60"/>
              <w:ind w:left="175"/>
              <w:rPr>
                <w:rFonts w:ascii="Times New Roman" w:hAnsi="Times New Roman" w:cs="Times New Roman"/>
                <w:i/>
              </w:rPr>
            </w:pPr>
            <w:r w:rsidRPr="00933E28">
              <w:rPr>
                <w:rFonts w:ascii="Times New Roman" w:hAnsi="Times New Roman" w:cs="Times New Roman"/>
                <w:i/>
              </w:rPr>
              <w:t>Unit type</w:t>
            </w:r>
          </w:p>
        </w:tc>
        <w:tc>
          <w:tcPr>
            <w:tcW w:w="6662" w:type="dxa"/>
          </w:tcPr>
          <w:p w14:paraId="23679939" w14:textId="4A733704" w:rsidR="00133454" w:rsidRPr="00926240" w:rsidRDefault="00296D98" w:rsidP="005E2DDF">
            <w:pPr>
              <w:spacing w:before="60" w:after="60"/>
              <w:rPr>
                <w:rFonts w:ascii="Times New Roman" w:hAnsi="Times New Roman" w:cs="Times New Roman"/>
              </w:rPr>
            </w:pPr>
            <w:r>
              <w:rPr>
                <w:rFonts w:ascii="Times New Roman" w:hAnsi="Times New Roman" w:cs="Times New Roman"/>
              </w:rPr>
              <w:t>Unit service type.</w:t>
            </w:r>
          </w:p>
        </w:tc>
      </w:tr>
      <w:tr w:rsidR="00133454" w14:paraId="4E0FC07A" w14:textId="77777777" w:rsidTr="00B77AD0">
        <w:tc>
          <w:tcPr>
            <w:tcW w:w="9209" w:type="dxa"/>
            <w:gridSpan w:val="2"/>
          </w:tcPr>
          <w:p w14:paraId="3F557FAC" w14:textId="59F12A72" w:rsidR="00133454" w:rsidRPr="00296D98" w:rsidRDefault="00133454" w:rsidP="005E2DDF">
            <w:pPr>
              <w:spacing w:before="60" w:after="60"/>
              <w:rPr>
                <w:rFonts w:ascii="Times New Roman" w:hAnsi="Times New Roman" w:cs="Times New Roman"/>
                <w:b/>
                <w:i/>
              </w:rPr>
            </w:pPr>
            <w:r w:rsidRPr="00296D98">
              <w:rPr>
                <w:rFonts w:ascii="Times New Roman" w:hAnsi="Times New Roman" w:cs="Times New Roman"/>
                <w:b/>
                <w:i/>
              </w:rPr>
              <w:t>Hospital</w:t>
            </w:r>
          </w:p>
        </w:tc>
      </w:tr>
      <w:tr w:rsidR="00133454" w14:paraId="12A25509" w14:textId="77777777" w:rsidTr="005E2DDF">
        <w:tc>
          <w:tcPr>
            <w:tcW w:w="2547" w:type="dxa"/>
          </w:tcPr>
          <w:p w14:paraId="2672A3BC" w14:textId="0BA9F0FB" w:rsidR="00133454" w:rsidRPr="00296D98" w:rsidRDefault="00133454" w:rsidP="00296D98">
            <w:pPr>
              <w:spacing w:before="60" w:after="60"/>
              <w:ind w:firstLine="175"/>
              <w:rPr>
                <w:rFonts w:ascii="Times New Roman" w:hAnsi="Times New Roman" w:cs="Times New Roman"/>
                <w:i/>
              </w:rPr>
            </w:pPr>
            <w:r w:rsidRPr="00296D98">
              <w:rPr>
                <w:rFonts w:ascii="Times New Roman" w:hAnsi="Times New Roman" w:cs="Times New Roman"/>
                <w:i/>
              </w:rPr>
              <w:t xml:space="preserve">Hospital type </w:t>
            </w:r>
          </w:p>
        </w:tc>
        <w:tc>
          <w:tcPr>
            <w:tcW w:w="6662" w:type="dxa"/>
          </w:tcPr>
          <w:p w14:paraId="0601CD22" w14:textId="147495B3" w:rsidR="00133454" w:rsidRPr="00926240" w:rsidRDefault="00133454" w:rsidP="00296D98">
            <w:pPr>
              <w:spacing w:before="60" w:after="60"/>
              <w:rPr>
                <w:rFonts w:ascii="Times New Roman" w:hAnsi="Times New Roman" w:cs="Times New Roman"/>
              </w:rPr>
            </w:pPr>
            <w:r>
              <w:rPr>
                <w:rFonts w:ascii="Times New Roman" w:hAnsi="Times New Roman" w:cs="Times New Roman"/>
              </w:rPr>
              <w:t>Dichotomous</w:t>
            </w:r>
            <w:r w:rsidR="00296D98">
              <w:rPr>
                <w:rFonts w:ascii="Times New Roman" w:hAnsi="Times New Roman" w:cs="Times New Roman"/>
              </w:rPr>
              <w:t xml:space="preserve"> variable of hospital type, regional or</w:t>
            </w:r>
            <w:r>
              <w:rPr>
                <w:rFonts w:ascii="Times New Roman" w:hAnsi="Times New Roman" w:cs="Times New Roman"/>
              </w:rPr>
              <w:t xml:space="preserve"> community</w:t>
            </w:r>
            <w:r w:rsidR="00296D98">
              <w:rPr>
                <w:rFonts w:ascii="Times New Roman" w:hAnsi="Times New Roman" w:cs="Times New Roman"/>
              </w:rPr>
              <w:t>.</w:t>
            </w:r>
          </w:p>
        </w:tc>
      </w:tr>
      <w:tr w:rsidR="00133454" w14:paraId="497FE2C9" w14:textId="77777777" w:rsidTr="005E2DDF">
        <w:tc>
          <w:tcPr>
            <w:tcW w:w="2547" w:type="dxa"/>
          </w:tcPr>
          <w:p w14:paraId="37715FF1" w14:textId="17C78F9C" w:rsidR="00133454" w:rsidRPr="00296D98" w:rsidRDefault="00133454" w:rsidP="00296D98">
            <w:pPr>
              <w:spacing w:before="60" w:after="60"/>
              <w:ind w:firstLine="175"/>
              <w:rPr>
                <w:rFonts w:ascii="Times New Roman" w:hAnsi="Times New Roman" w:cs="Times New Roman"/>
                <w:i/>
              </w:rPr>
            </w:pPr>
            <w:r w:rsidRPr="00296D98">
              <w:rPr>
                <w:rFonts w:ascii="Times New Roman" w:hAnsi="Times New Roman" w:cs="Times New Roman"/>
                <w:i/>
              </w:rPr>
              <w:t>Region</w:t>
            </w:r>
          </w:p>
        </w:tc>
        <w:tc>
          <w:tcPr>
            <w:tcW w:w="6662" w:type="dxa"/>
          </w:tcPr>
          <w:p w14:paraId="40D874D1" w14:textId="10A57AE1" w:rsidR="00133454" w:rsidRPr="00926240" w:rsidRDefault="00133454" w:rsidP="00296D98">
            <w:pPr>
              <w:spacing w:before="60" w:after="60"/>
              <w:rPr>
                <w:rFonts w:ascii="Times New Roman" w:hAnsi="Times New Roman" w:cs="Times New Roman"/>
              </w:rPr>
            </w:pPr>
            <w:r>
              <w:rPr>
                <w:rFonts w:ascii="Times New Roman" w:hAnsi="Times New Roman" w:cs="Times New Roman"/>
              </w:rPr>
              <w:t xml:space="preserve">Categorical </w:t>
            </w:r>
            <w:r w:rsidR="00296D98">
              <w:rPr>
                <w:rFonts w:ascii="Times New Roman" w:hAnsi="Times New Roman" w:cs="Times New Roman"/>
              </w:rPr>
              <w:t xml:space="preserve">variable </w:t>
            </w:r>
            <w:r>
              <w:rPr>
                <w:rFonts w:ascii="Times New Roman" w:hAnsi="Times New Roman" w:cs="Times New Roman"/>
              </w:rPr>
              <w:t>based on physical location of hospital</w:t>
            </w:r>
            <w:r w:rsidR="00296D98">
              <w:rPr>
                <w:rFonts w:ascii="Times New Roman" w:hAnsi="Times New Roman" w:cs="Times New Roman"/>
              </w:rPr>
              <w:t xml:space="preserve"> within Fraser Health service area (</w:t>
            </w:r>
            <w:r>
              <w:rPr>
                <w:rFonts w:ascii="Times New Roman" w:hAnsi="Times New Roman" w:cs="Times New Roman"/>
              </w:rPr>
              <w:t>North, South, East</w:t>
            </w:r>
            <w:r w:rsidR="00296D98">
              <w:rPr>
                <w:rFonts w:ascii="Times New Roman" w:hAnsi="Times New Roman" w:cs="Times New Roman"/>
              </w:rPr>
              <w:t>).</w:t>
            </w:r>
          </w:p>
        </w:tc>
      </w:tr>
    </w:tbl>
    <w:p w14:paraId="493F14CB" w14:textId="77777777" w:rsidR="00737CB5" w:rsidRDefault="00737CB5" w:rsidP="002400AC">
      <w:pPr>
        <w:spacing w:line="480" w:lineRule="auto"/>
        <w:rPr>
          <w:rFonts w:ascii="Times New Roman" w:hAnsi="Times New Roman" w:cs="Times New Roman"/>
        </w:rPr>
      </w:pPr>
    </w:p>
    <w:sectPr w:rsidR="00737CB5" w:rsidSect="00C01C00">
      <w:headerReference w:type="default" r:id="rId8"/>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11F7E" w14:textId="77777777" w:rsidR="00FC7975" w:rsidRDefault="00FC7975">
      <w:pPr>
        <w:spacing w:after="0" w:line="240" w:lineRule="auto"/>
      </w:pPr>
      <w:r>
        <w:separator/>
      </w:r>
    </w:p>
  </w:endnote>
  <w:endnote w:type="continuationSeparator" w:id="0">
    <w:p w14:paraId="1E921B17" w14:textId="77777777" w:rsidR="00FC7975" w:rsidRDefault="00FC7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09179" w14:textId="77777777" w:rsidR="00FC7975" w:rsidRDefault="00FC7975">
      <w:pPr>
        <w:spacing w:after="0" w:line="240" w:lineRule="auto"/>
      </w:pPr>
      <w:r>
        <w:separator/>
      </w:r>
    </w:p>
  </w:footnote>
  <w:footnote w:type="continuationSeparator" w:id="0">
    <w:p w14:paraId="131D86BE" w14:textId="77777777" w:rsidR="00FC7975" w:rsidRDefault="00FC7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414274"/>
      <w:docPartObj>
        <w:docPartGallery w:val="Watermarks"/>
        <w:docPartUnique/>
      </w:docPartObj>
    </w:sdtPr>
    <w:sdtEndPr/>
    <w:sdtContent>
      <w:p w14:paraId="5911A258" w14:textId="77777777" w:rsidR="00FC7975" w:rsidRDefault="00151677">
        <w:pPr>
          <w:pStyle w:val="Header"/>
        </w:pPr>
        <w:r>
          <w:rPr>
            <w:noProof/>
            <w:lang w:val="en-US"/>
          </w:rPr>
          <w:pict w14:anchorId="05AA79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385"/>
    <w:multiLevelType w:val="hybridMultilevel"/>
    <w:tmpl w:val="E39C851E"/>
    <w:lvl w:ilvl="0" w:tplc="FDE4AA86">
      <w:start w:val="1"/>
      <w:numFmt w:val="bullet"/>
      <w:lvlText w:val=""/>
      <w:lvlJc w:val="left"/>
      <w:pPr>
        <w:ind w:left="360" w:hanging="360"/>
      </w:pPr>
      <w:rPr>
        <w:rFonts w:ascii="Symbol" w:hAnsi="Symbol" w:hint="default"/>
      </w:rPr>
    </w:lvl>
    <w:lvl w:ilvl="1" w:tplc="52C005C2" w:tentative="1">
      <w:start w:val="1"/>
      <w:numFmt w:val="bullet"/>
      <w:lvlText w:val="o"/>
      <w:lvlJc w:val="left"/>
      <w:pPr>
        <w:ind w:left="1080" w:hanging="360"/>
      </w:pPr>
      <w:rPr>
        <w:rFonts w:ascii="Courier New" w:hAnsi="Courier New" w:cs="Courier New" w:hint="default"/>
      </w:rPr>
    </w:lvl>
    <w:lvl w:ilvl="2" w:tplc="4C4C7EFC" w:tentative="1">
      <w:start w:val="1"/>
      <w:numFmt w:val="bullet"/>
      <w:lvlText w:val=""/>
      <w:lvlJc w:val="left"/>
      <w:pPr>
        <w:ind w:left="1800" w:hanging="360"/>
      </w:pPr>
      <w:rPr>
        <w:rFonts w:ascii="Wingdings" w:hAnsi="Wingdings" w:hint="default"/>
      </w:rPr>
    </w:lvl>
    <w:lvl w:ilvl="3" w:tplc="106C673E" w:tentative="1">
      <w:start w:val="1"/>
      <w:numFmt w:val="bullet"/>
      <w:lvlText w:val=""/>
      <w:lvlJc w:val="left"/>
      <w:pPr>
        <w:ind w:left="2520" w:hanging="360"/>
      </w:pPr>
      <w:rPr>
        <w:rFonts w:ascii="Symbol" w:hAnsi="Symbol" w:hint="default"/>
      </w:rPr>
    </w:lvl>
    <w:lvl w:ilvl="4" w:tplc="3C24ABB8" w:tentative="1">
      <w:start w:val="1"/>
      <w:numFmt w:val="bullet"/>
      <w:lvlText w:val="o"/>
      <w:lvlJc w:val="left"/>
      <w:pPr>
        <w:ind w:left="3240" w:hanging="360"/>
      </w:pPr>
      <w:rPr>
        <w:rFonts w:ascii="Courier New" w:hAnsi="Courier New" w:cs="Courier New" w:hint="default"/>
      </w:rPr>
    </w:lvl>
    <w:lvl w:ilvl="5" w:tplc="4E9C1E5E" w:tentative="1">
      <w:start w:val="1"/>
      <w:numFmt w:val="bullet"/>
      <w:lvlText w:val=""/>
      <w:lvlJc w:val="left"/>
      <w:pPr>
        <w:ind w:left="3960" w:hanging="360"/>
      </w:pPr>
      <w:rPr>
        <w:rFonts w:ascii="Wingdings" w:hAnsi="Wingdings" w:hint="default"/>
      </w:rPr>
    </w:lvl>
    <w:lvl w:ilvl="6" w:tplc="4AA047A2" w:tentative="1">
      <w:start w:val="1"/>
      <w:numFmt w:val="bullet"/>
      <w:lvlText w:val=""/>
      <w:lvlJc w:val="left"/>
      <w:pPr>
        <w:ind w:left="4680" w:hanging="360"/>
      </w:pPr>
      <w:rPr>
        <w:rFonts w:ascii="Symbol" w:hAnsi="Symbol" w:hint="default"/>
      </w:rPr>
    </w:lvl>
    <w:lvl w:ilvl="7" w:tplc="A28E8B24" w:tentative="1">
      <w:start w:val="1"/>
      <w:numFmt w:val="bullet"/>
      <w:lvlText w:val="o"/>
      <w:lvlJc w:val="left"/>
      <w:pPr>
        <w:ind w:left="5400" w:hanging="360"/>
      </w:pPr>
      <w:rPr>
        <w:rFonts w:ascii="Courier New" w:hAnsi="Courier New" w:cs="Courier New" w:hint="default"/>
      </w:rPr>
    </w:lvl>
    <w:lvl w:ilvl="8" w:tplc="50DA2922" w:tentative="1">
      <w:start w:val="1"/>
      <w:numFmt w:val="bullet"/>
      <w:lvlText w:val=""/>
      <w:lvlJc w:val="left"/>
      <w:pPr>
        <w:ind w:left="6120" w:hanging="360"/>
      </w:pPr>
      <w:rPr>
        <w:rFonts w:ascii="Wingdings" w:hAnsi="Wingdings" w:hint="default"/>
      </w:rPr>
    </w:lvl>
  </w:abstractNum>
  <w:abstractNum w:abstractNumId="1" w15:restartNumberingAfterBreak="0">
    <w:nsid w:val="17514019"/>
    <w:multiLevelType w:val="hybridMultilevel"/>
    <w:tmpl w:val="AAC25ED4"/>
    <w:lvl w:ilvl="0" w:tplc="413C1BE8">
      <w:start w:val="1"/>
      <w:numFmt w:val="bullet"/>
      <w:lvlText w:val=""/>
      <w:lvlJc w:val="left"/>
      <w:pPr>
        <w:ind w:left="720" w:hanging="360"/>
      </w:pPr>
      <w:rPr>
        <w:rFonts w:ascii="Symbol" w:hAnsi="Symbol" w:hint="default"/>
      </w:rPr>
    </w:lvl>
    <w:lvl w:ilvl="1" w:tplc="FAC02B8A">
      <w:start w:val="1"/>
      <w:numFmt w:val="bullet"/>
      <w:lvlText w:val="o"/>
      <w:lvlJc w:val="left"/>
      <w:pPr>
        <w:ind w:left="1440" w:hanging="360"/>
      </w:pPr>
      <w:rPr>
        <w:rFonts w:ascii="Courier New" w:hAnsi="Courier New" w:cs="Courier New" w:hint="default"/>
      </w:rPr>
    </w:lvl>
    <w:lvl w:ilvl="2" w:tplc="AEA45FA2">
      <w:start w:val="1"/>
      <w:numFmt w:val="bullet"/>
      <w:lvlText w:val=""/>
      <w:lvlJc w:val="left"/>
      <w:pPr>
        <w:ind w:left="2160" w:hanging="360"/>
      </w:pPr>
      <w:rPr>
        <w:rFonts w:ascii="Wingdings" w:hAnsi="Wingdings" w:hint="default"/>
      </w:rPr>
    </w:lvl>
    <w:lvl w:ilvl="3" w:tplc="525E5FDA">
      <w:numFmt w:val="bullet"/>
      <w:lvlText w:val="-"/>
      <w:lvlJc w:val="left"/>
      <w:pPr>
        <w:ind w:left="2880" w:hanging="360"/>
      </w:pPr>
      <w:rPr>
        <w:rFonts w:ascii="Arial" w:eastAsiaTheme="minorHAnsi" w:hAnsi="Arial" w:cs="Arial" w:hint="default"/>
      </w:rPr>
    </w:lvl>
    <w:lvl w:ilvl="4" w:tplc="857A13AA" w:tentative="1">
      <w:start w:val="1"/>
      <w:numFmt w:val="bullet"/>
      <w:lvlText w:val="o"/>
      <w:lvlJc w:val="left"/>
      <w:pPr>
        <w:ind w:left="3600" w:hanging="360"/>
      </w:pPr>
      <w:rPr>
        <w:rFonts w:ascii="Courier New" w:hAnsi="Courier New" w:cs="Courier New" w:hint="default"/>
      </w:rPr>
    </w:lvl>
    <w:lvl w:ilvl="5" w:tplc="BF2CA510" w:tentative="1">
      <w:start w:val="1"/>
      <w:numFmt w:val="bullet"/>
      <w:lvlText w:val=""/>
      <w:lvlJc w:val="left"/>
      <w:pPr>
        <w:ind w:left="4320" w:hanging="360"/>
      </w:pPr>
      <w:rPr>
        <w:rFonts w:ascii="Wingdings" w:hAnsi="Wingdings" w:hint="default"/>
      </w:rPr>
    </w:lvl>
    <w:lvl w:ilvl="6" w:tplc="F5DC79F0" w:tentative="1">
      <w:start w:val="1"/>
      <w:numFmt w:val="bullet"/>
      <w:lvlText w:val=""/>
      <w:lvlJc w:val="left"/>
      <w:pPr>
        <w:ind w:left="5040" w:hanging="360"/>
      </w:pPr>
      <w:rPr>
        <w:rFonts w:ascii="Symbol" w:hAnsi="Symbol" w:hint="default"/>
      </w:rPr>
    </w:lvl>
    <w:lvl w:ilvl="7" w:tplc="65FC15BC" w:tentative="1">
      <w:start w:val="1"/>
      <w:numFmt w:val="bullet"/>
      <w:lvlText w:val="o"/>
      <w:lvlJc w:val="left"/>
      <w:pPr>
        <w:ind w:left="5760" w:hanging="360"/>
      </w:pPr>
      <w:rPr>
        <w:rFonts w:ascii="Courier New" w:hAnsi="Courier New" w:cs="Courier New" w:hint="default"/>
      </w:rPr>
    </w:lvl>
    <w:lvl w:ilvl="8" w:tplc="264446E2" w:tentative="1">
      <w:start w:val="1"/>
      <w:numFmt w:val="bullet"/>
      <w:lvlText w:val=""/>
      <w:lvlJc w:val="left"/>
      <w:pPr>
        <w:ind w:left="6480" w:hanging="360"/>
      </w:pPr>
      <w:rPr>
        <w:rFonts w:ascii="Wingdings" w:hAnsi="Wingdings" w:hint="default"/>
      </w:rPr>
    </w:lvl>
  </w:abstractNum>
  <w:abstractNum w:abstractNumId="2" w15:restartNumberingAfterBreak="0">
    <w:nsid w:val="191F72D2"/>
    <w:multiLevelType w:val="hybridMultilevel"/>
    <w:tmpl w:val="1486DA0C"/>
    <w:lvl w:ilvl="0" w:tplc="1DDA79A8">
      <w:start w:val="1"/>
      <w:numFmt w:val="bullet"/>
      <w:lvlText w:val=""/>
      <w:lvlJc w:val="left"/>
      <w:pPr>
        <w:ind w:left="720" w:hanging="360"/>
      </w:pPr>
      <w:rPr>
        <w:rFonts w:ascii="Symbol" w:hAnsi="Symbol" w:hint="default"/>
      </w:rPr>
    </w:lvl>
    <w:lvl w:ilvl="1" w:tplc="AB4AD082" w:tentative="1">
      <w:start w:val="1"/>
      <w:numFmt w:val="bullet"/>
      <w:lvlText w:val="o"/>
      <w:lvlJc w:val="left"/>
      <w:pPr>
        <w:ind w:left="1440" w:hanging="360"/>
      </w:pPr>
      <w:rPr>
        <w:rFonts w:ascii="Courier New" w:hAnsi="Courier New" w:cs="Courier New" w:hint="default"/>
      </w:rPr>
    </w:lvl>
    <w:lvl w:ilvl="2" w:tplc="8318CF6C" w:tentative="1">
      <w:start w:val="1"/>
      <w:numFmt w:val="bullet"/>
      <w:lvlText w:val=""/>
      <w:lvlJc w:val="left"/>
      <w:pPr>
        <w:ind w:left="2160" w:hanging="360"/>
      </w:pPr>
      <w:rPr>
        <w:rFonts w:ascii="Wingdings" w:hAnsi="Wingdings" w:hint="default"/>
      </w:rPr>
    </w:lvl>
    <w:lvl w:ilvl="3" w:tplc="0FE8BB94" w:tentative="1">
      <w:start w:val="1"/>
      <w:numFmt w:val="bullet"/>
      <w:lvlText w:val=""/>
      <w:lvlJc w:val="left"/>
      <w:pPr>
        <w:ind w:left="2880" w:hanging="360"/>
      </w:pPr>
      <w:rPr>
        <w:rFonts w:ascii="Symbol" w:hAnsi="Symbol" w:hint="default"/>
      </w:rPr>
    </w:lvl>
    <w:lvl w:ilvl="4" w:tplc="9F3A1FC6" w:tentative="1">
      <w:start w:val="1"/>
      <w:numFmt w:val="bullet"/>
      <w:lvlText w:val="o"/>
      <w:lvlJc w:val="left"/>
      <w:pPr>
        <w:ind w:left="3600" w:hanging="360"/>
      </w:pPr>
      <w:rPr>
        <w:rFonts w:ascii="Courier New" w:hAnsi="Courier New" w:cs="Courier New" w:hint="default"/>
      </w:rPr>
    </w:lvl>
    <w:lvl w:ilvl="5" w:tplc="3F0C0B72" w:tentative="1">
      <w:start w:val="1"/>
      <w:numFmt w:val="bullet"/>
      <w:lvlText w:val=""/>
      <w:lvlJc w:val="left"/>
      <w:pPr>
        <w:ind w:left="4320" w:hanging="360"/>
      </w:pPr>
      <w:rPr>
        <w:rFonts w:ascii="Wingdings" w:hAnsi="Wingdings" w:hint="default"/>
      </w:rPr>
    </w:lvl>
    <w:lvl w:ilvl="6" w:tplc="5964DCE2" w:tentative="1">
      <w:start w:val="1"/>
      <w:numFmt w:val="bullet"/>
      <w:lvlText w:val=""/>
      <w:lvlJc w:val="left"/>
      <w:pPr>
        <w:ind w:left="5040" w:hanging="360"/>
      </w:pPr>
      <w:rPr>
        <w:rFonts w:ascii="Symbol" w:hAnsi="Symbol" w:hint="default"/>
      </w:rPr>
    </w:lvl>
    <w:lvl w:ilvl="7" w:tplc="58123310" w:tentative="1">
      <w:start w:val="1"/>
      <w:numFmt w:val="bullet"/>
      <w:lvlText w:val="o"/>
      <w:lvlJc w:val="left"/>
      <w:pPr>
        <w:ind w:left="5760" w:hanging="360"/>
      </w:pPr>
      <w:rPr>
        <w:rFonts w:ascii="Courier New" w:hAnsi="Courier New" w:cs="Courier New" w:hint="default"/>
      </w:rPr>
    </w:lvl>
    <w:lvl w:ilvl="8" w:tplc="6ED6700A" w:tentative="1">
      <w:start w:val="1"/>
      <w:numFmt w:val="bullet"/>
      <w:lvlText w:val=""/>
      <w:lvlJc w:val="left"/>
      <w:pPr>
        <w:ind w:left="6480" w:hanging="360"/>
      </w:pPr>
      <w:rPr>
        <w:rFonts w:ascii="Wingdings" w:hAnsi="Wingdings" w:hint="default"/>
      </w:rPr>
    </w:lvl>
  </w:abstractNum>
  <w:abstractNum w:abstractNumId="3" w15:restartNumberingAfterBreak="0">
    <w:nsid w:val="25F67766"/>
    <w:multiLevelType w:val="hybridMultilevel"/>
    <w:tmpl w:val="0316A9F2"/>
    <w:lvl w:ilvl="0" w:tplc="E430A1B0">
      <w:start w:val="1"/>
      <w:numFmt w:val="bullet"/>
      <w:lvlText w:val=""/>
      <w:lvlJc w:val="left"/>
      <w:pPr>
        <w:ind w:left="720" w:hanging="360"/>
      </w:pPr>
      <w:rPr>
        <w:rFonts w:ascii="Symbol" w:hAnsi="Symbol" w:hint="default"/>
      </w:rPr>
    </w:lvl>
    <w:lvl w:ilvl="1" w:tplc="67742F62">
      <w:start w:val="1"/>
      <w:numFmt w:val="bullet"/>
      <w:lvlText w:val="o"/>
      <w:lvlJc w:val="left"/>
      <w:pPr>
        <w:ind w:left="1440" w:hanging="360"/>
      </w:pPr>
      <w:rPr>
        <w:rFonts w:ascii="Courier New" w:hAnsi="Courier New" w:cs="Courier New" w:hint="default"/>
      </w:rPr>
    </w:lvl>
    <w:lvl w:ilvl="2" w:tplc="44B0691A" w:tentative="1">
      <w:start w:val="1"/>
      <w:numFmt w:val="bullet"/>
      <w:lvlText w:val=""/>
      <w:lvlJc w:val="left"/>
      <w:pPr>
        <w:ind w:left="2160" w:hanging="360"/>
      </w:pPr>
      <w:rPr>
        <w:rFonts w:ascii="Wingdings" w:hAnsi="Wingdings" w:hint="default"/>
      </w:rPr>
    </w:lvl>
    <w:lvl w:ilvl="3" w:tplc="AAB094DA" w:tentative="1">
      <w:start w:val="1"/>
      <w:numFmt w:val="bullet"/>
      <w:lvlText w:val=""/>
      <w:lvlJc w:val="left"/>
      <w:pPr>
        <w:ind w:left="2880" w:hanging="360"/>
      </w:pPr>
      <w:rPr>
        <w:rFonts w:ascii="Symbol" w:hAnsi="Symbol" w:hint="default"/>
      </w:rPr>
    </w:lvl>
    <w:lvl w:ilvl="4" w:tplc="FB6619D0" w:tentative="1">
      <w:start w:val="1"/>
      <w:numFmt w:val="bullet"/>
      <w:lvlText w:val="o"/>
      <w:lvlJc w:val="left"/>
      <w:pPr>
        <w:ind w:left="3600" w:hanging="360"/>
      </w:pPr>
      <w:rPr>
        <w:rFonts w:ascii="Courier New" w:hAnsi="Courier New" w:cs="Courier New" w:hint="default"/>
      </w:rPr>
    </w:lvl>
    <w:lvl w:ilvl="5" w:tplc="C31EEFF6" w:tentative="1">
      <w:start w:val="1"/>
      <w:numFmt w:val="bullet"/>
      <w:lvlText w:val=""/>
      <w:lvlJc w:val="left"/>
      <w:pPr>
        <w:ind w:left="4320" w:hanging="360"/>
      </w:pPr>
      <w:rPr>
        <w:rFonts w:ascii="Wingdings" w:hAnsi="Wingdings" w:hint="default"/>
      </w:rPr>
    </w:lvl>
    <w:lvl w:ilvl="6" w:tplc="483449EA" w:tentative="1">
      <w:start w:val="1"/>
      <w:numFmt w:val="bullet"/>
      <w:lvlText w:val=""/>
      <w:lvlJc w:val="left"/>
      <w:pPr>
        <w:ind w:left="5040" w:hanging="360"/>
      </w:pPr>
      <w:rPr>
        <w:rFonts w:ascii="Symbol" w:hAnsi="Symbol" w:hint="default"/>
      </w:rPr>
    </w:lvl>
    <w:lvl w:ilvl="7" w:tplc="12C68CF0" w:tentative="1">
      <w:start w:val="1"/>
      <w:numFmt w:val="bullet"/>
      <w:lvlText w:val="o"/>
      <w:lvlJc w:val="left"/>
      <w:pPr>
        <w:ind w:left="5760" w:hanging="360"/>
      </w:pPr>
      <w:rPr>
        <w:rFonts w:ascii="Courier New" w:hAnsi="Courier New" w:cs="Courier New" w:hint="default"/>
      </w:rPr>
    </w:lvl>
    <w:lvl w:ilvl="8" w:tplc="38D844DA" w:tentative="1">
      <w:start w:val="1"/>
      <w:numFmt w:val="bullet"/>
      <w:lvlText w:val=""/>
      <w:lvlJc w:val="left"/>
      <w:pPr>
        <w:ind w:left="6480" w:hanging="360"/>
      </w:pPr>
      <w:rPr>
        <w:rFonts w:ascii="Wingdings" w:hAnsi="Wingdings" w:hint="default"/>
      </w:rPr>
    </w:lvl>
  </w:abstractNum>
  <w:abstractNum w:abstractNumId="4" w15:restartNumberingAfterBreak="0">
    <w:nsid w:val="62C31D83"/>
    <w:multiLevelType w:val="hybridMultilevel"/>
    <w:tmpl w:val="1DDCDC7E"/>
    <w:lvl w:ilvl="0" w:tplc="43EAB446">
      <w:start w:val="1"/>
      <w:numFmt w:val="lowerRoman"/>
      <w:lvlText w:val="%1)"/>
      <w:lvlJc w:val="left"/>
      <w:pPr>
        <w:ind w:left="720" w:hanging="360"/>
      </w:pPr>
      <w:rPr>
        <w:rFonts w:hint="default"/>
        <w:color w:val="000000"/>
      </w:rPr>
    </w:lvl>
    <w:lvl w:ilvl="1" w:tplc="72F49CB8">
      <w:start w:val="1"/>
      <w:numFmt w:val="lowerLetter"/>
      <w:lvlText w:val="%2."/>
      <w:lvlJc w:val="left"/>
      <w:pPr>
        <w:ind w:left="1440" w:hanging="360"/>
      </w:pPr>
    </w:lvl>
    <w:lvl w:ilvl="2" w:tplc="AB88355C" w:tentative="1">
      <w:start w:val="1"/>
      <w:numFmt w:val="lowerRoman"/>
      <w:lvlText w:val="%3."/>
      <w:lvlJc w:val="right"/>
      <w:pPr>
        <w:ind w:left="2160" w:hanging="180"/>
      </w:pPr>
    </w:lvl>
    <w:lvl w:ilvl="3" w:tplc="954AA538" w:tentative="1">
      <w:start w:val="1"/>
      <w:numFmt w:val="decimal"/>
      <w:lvlText w:val="%4."/>
      <w:lvlJc w:val="left"/>
      <w:pPr>
        <w:ind w:left="2880" w:hanging="360"/>
      </w:pPr>
    </w:lvl>
    <w:lvl w:ilvl="4" w:tplc="D40668A4" w:tentative="1">
      <w:start w:val="1"/>
      <w:numFmt w:val="lowerLetter"/>
      <w:lvlText w:val="%5."/>
      <w:lvlJc w:val="left"/>
      <w:pPr>
        <w:ind w:left="3600" w:hanging="360"/>
      </w:pPr>
    </w:lvl>
    <w:lvl w:ilvl="5" w:tplc="D3ECAA60" w:tentative="1">
      <w:start w:val="1"/>
      <w:numFmt w:val="lowerRoman"/>
      <w:lvlText w:val="%6."/>
      <w:lvlJc w:val="right"/>
      <w:pPr>
        <w:ind w:left="4320" w:hanging="180"/>
      </w:pPr>
    </w:lvl>
    <w:lvl w:ilvl="6" w:tplc="CF267810" w:tentative="1">
      <w:start w:val="1"/>
      <w:numFmt w:val="decimal"/>
      <w:lvlText w:val="%7."/>
      <w:lvlJc w:val="left"/>
      <w:pPr>
        <w:ind w:left="5040" w:hanging="360"/>
      </w:pPr>
    </w:lvl>
    <w:lvl w:ilvl="7" w:tplc="747EA6A8" w:tentative="1">
      <w:start w:val="1"/>
      <w:numFmt w:val="lowerLetter"/>
      <w:lvlText w:val="%8."/>
      <w:lvlJc w:val="left"/>
      <w:pPr>
        <w:ind w:left="5760" w:hanging="360"/>
      </w:pPr>
    </w:lvl>
    <w:lvl w:ilvl="8" w:tplc="EB50EA62"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EA5"/>
    <w:rsid w:val="00001CA3"/>
    <w:rsid w:val="00004AEA"/>
    <w:rsid w:val="00005054"/>
    <w:rsid w:val="00005AA5"/>
    <w:rsid w:val="0000750A"/>
    <w:rsid w:val="000155A5"/>
    <w:rsid w:val="00015ED8"/>
    <w:rsid w:val="00025DD0"/>
    <w:rsid w:val="000318BB"/>
    <w:rsid w:val="00035E71"/>
    <w:rsid w:val="00045FA8"/>
    <w:rsid w:val="000504C7"/>
    <w:rsid w:val="00055777"/>
    <w:rsid w:val="00056350"/>
    <w:rsid w:val="000675D7"/>
    <w:rsid w:val="00072109"/>
    <w:rsid w:val="000771DE"/>
    <w:rsid w:val="00080B29"/>
    <w:rsid w:val="00093B8A"/>
    <w:rsid w:val="000A10FE"/>
    <w:rsid w:val="000A75EA"/>
    <w:rsid w:val="000B039A"/>
    <w:rsid w:val="000B3D3D"/>
    <w:rsid w:val="000B427F"/>
    <w:rsid w:val="000B4FCF"/>
    <w:rsid w:val="000B74D9"/>
    <w:rsid w:val="000C07DD"/>
    <w:rsid w:val="000C5BDA"/>
    <w:rsid w:val="000D0A06"/>
    <w:rsid w:val="000D68E6"/>
    <w:rsid w:val="000E217C"/>
    <w:rsid w:val="000F2432"/>
    <w:rsid w:val="000F5FAE"/>
    <w:rsid w:val="000F6B33"/>
    <w:rsid w:val="00102CB0"/>
    <w:rsid w:val="00107E43"/>
    <w:rsid w:val="00111DE4"/>
    <w:rsid w:val="00133454"/>
    <w:rsid w:val="00133D32"/>
    <w:rsid w:val="0014013F"/>
    <w:rsid w:val="00151677"/>
    <w:rsid w:val="0015216C"/>
    <w:rsid w:val="00152BC0"/>
    <w:rsid w:val="00155412"/>
    <w:rsid w:val="00155648"/>
    <w:rsid w:val="001662CD"/>
    <w:rsid w:val="001719A4"/>
    <w:rsid w:val="001728A3"/>
    <w:rsid w:val="001750D0"/>
    <w:rsid w:val="00177612"/>
    <w:rsid w:val="00181BE1"/>
    <w:rsid w:val="001828B1"/>
    <w:rsid w:val="00184179"/>
    <w:rsid w:val="00192FCB"/>
    <w:rsid w:val="00195509"/>
    <w:rsid w:val="00195824"/>
    <w:rsid w:val="00197A30"/>
    <w:rsid w:val="001A1BAD"/>
    <w:rsid w:val="001A4F26"/>
    <w:rsid w:val="001A7601"/>
    <w:rsid w:val="001B14F2"/>
    <w:rsid w:val="001B4314"/>
    <w:rsid w:val="001F04B7"/>
    <w:rsid w:val="001F4AB4"/>
    <w:rsid w:val="001F5A1D"/>
    <w:rsid w:val="0020259D"/>
    <w:rsid w:val="002102D7"/>
    <w:rsid w:val="00225709"/>
    <w:rsid w:val="00234C45"/>
    <w:rsid w:val="002400AC"/>
    <w:rsid w:val="002510BF"/>
    <w:rsid w:val="00257517"/>
    <w:rsid w:val="00262B92"/>
    <w:rsid w:val="00263994"/>
    <w:rsid w:val="00266455"/>
    <w:rsid w:val="00270B73"/>
    <w:rsid w:val="00275931"/>
    <w:rsid w:val="002772C1"/>
    <w:rsid w:val="002861D9"/>
    <w:rsid w:val="0029488E"/>
    <w:rsid w:val="002952B5"/>
    <w:rsid w:val="00296D98"/>
    <w:rsid w:val="00297DEF"/>
    <w:rsid w:val="002A00A6"/>
    <w:rsid w:val="002A0C80"/>
    <w:rsid w:val="002A6F04"/>
    <w:rsid w:val="002B12B8"/>
    <w:rsid w:val="002B4ED9"/>
    <w:rsid w:val="002C2D83"/>
    <w:rsid w:val="002C6374"/>
    <w:rsid w:val="002E3A04"/>
    <w:rsid w:val="002E7DA5"/>
    <w:rsid w:val="002F3881"/>
    <w:rsid w:val="002F3F8E"/>
    <w:rsid w:val="002F4916"/>
    <w:rsid w:val="002F4E1F"/>
    <w:rsid w:val="002F68D1"/>
    <w:rsid w:val="0030169F"/>
    <w:rsid w:val="00307E68"/>
    <w:rsid w:val="00314B3E"/>
    <w:rsid w:val="00314E5D"/>
    <w:rsid w:val="00321497"/>
    <w:rsid w:val="00323D81"/>
    <w:rsid w:val="0032625C"/>
    <w:rsid w:val="00326B17"/>
    <w:rsid w:val="00337F07"/>
    <w:rsid w:val="003403CD"/>
    <w:rsid w:val="003446D5"/>
    <w:rsid w:val="00346236"/>
    <w:rsid w:val="00351107"/>
    <w:rsid w:val="003524A3"/>
    <w:rsid w:val="00355176"/>
    <w:rsid w:val="00360853"/>
    <w:rsid w:val="0036467C"/>
    <w:rsid w:val="00364B82"/>
    <w:rsid w:val="00371B22"/>
    <w:rsid w:val="00376A40"/>
    <w:rsid w:val="00385B2D"/>
    <w:rsid w:val="003930D9"/>
    <w:rsid w:val="0039340B"/>
    <w:rsid w:val="00393F2D"/>
    <w:rsid w:val="003A4C07"/>
    <w:rsid w:val="003A4FB4"/>
    <w:rsid w:val="003A731F"/>
    <w:rsid w:val="003B109A"/>
    <w:rsid w:val="003B4447"/>
    <w:rsid w:val="003C455D"/>
    <w:rsid w:val="003C7BF1"/>
    <w:rsid w:val="003D2563"/>
    <w:rsid w:val="003E7CAB"/>
    <w:rsid w:val="003F0541"/>
    <w:rsid w:val="003F4120"/>
    <w:rsid w:val="003F7401"/>
    <w:rsid w:val="003F7A0C"/>
    <w:rsid w:val="00401270"/>
    <w:rsid w:val="004019F3"/>
    <w:rsid w:val="004022C3"/>
    <w:rsid w:val="00407992"/>
    <w:rsid w:val="0041352A"/>
    <w:rsid w:val="00424A10"/>
    <w:rsid w:val="00425577"/>
    <w:rsid w:val="00433455"/>
    <w:rsid w:val="00437E76"/>
    <w:rsid w:val="004464F9"/>
    <w:rsid w:val="0044722F"/>
    <w:rsid w:val="004473D9"/>
    <w:rsid w:val="00450C93"/>
    <w:rsid w:val="00451FFC"/>
    <w:rsid w:val="00453483"/>
    <w:rsid w:val="0045413F"/>
    <w:rsid w:val="00454C0C"/>
    <w:rsid w:val="004560BC"/>
    <w:rsid w:val="00456FD7"/>
    <w:rsid w:val="004575A2"/>
    <w:rsid w:val="00457898"/>
    <w:rsid w:val="004607F1"/>
    <w:rsid w:val="00461283"/>
    <w:rsid w:val="00461416"/>
    <w:rsid w:val="004635D0"/>
    <w:rsid w:val="004644B3"/>
    <w:rsid w:val="00465646"/>
    <w:rsid w:val="00466A1F"/>
    <w:rsid w:val="00466AA2"/>
    <w:rsid w:val="00471D62"/>
    <w:rsid w:val="004720E9"/>
    <w:rsid w:val="004734D7"/>
    <w:rsid w:val="00474153"/>
    <w:rsid w:val="0048463D"/>
    <w:rsid w:val="0049166B"/>
    <w:rsid w:val="00492574"/>
    <w:rsid w:val="004954DF"/>
    <w:rsid w:val="004966E6"/>
    <w:rsid w:val="004A5939"/>
    <w:rsid w:val="004A7425"/>
    <w:rsid w:val="004B16E2"/>
    <w:rsid w:val="004B6A49"/>
    <w:rsid w:val="004C04A9"/>
    <w:rsid w:val="004C6EB5"/>
    <w:rsid w:val="004C7F66"/>
    <w:rsid w:val="004D2494"/>
    <w:rsid w:val="004D371F"/>
    <w:rsid w:val="004E4746"/>
    <w:rsid w:val="004E68D9"/>
    <w:rsid w:val="00510E84"/>
    <w:rsid w:val="00513F8A"/>
    <w:rsid w:val="00532A68"/>
    <w:rsid w:val="005378CC"/>
    <w:rsid w:val="005403B6"/>
    <w:rsid w:val="00541A04"/>
    <w:rsid w:val="00544E58"/>
    <w:rsid w:val="00550A02"/>
    <w:rsid w:val="00552148"/>
    <w:rsid w:val="005549B3"/>
    <w:rsid w:val="00555CAB"/>
    <w:rsid w:val="0055677D"/>
    <w:rsid w:val="00561CF1"/>
    <w:rsid w:val="0056418D"/>
    <w:rsid w:val="00575562"/>
    <w:rsid w:val="00580106"/>
    <w:rsid w:val="005841C8"/>
    <w:rsid w:val="00591C97"/>
    <w:rsid w:val="00596654"/>
    <w:rsid w:val="0059712F"/>
    <w:rsid w:val="005A0215"/>
    <w:rsid w:val="005B1DFD"/>
    <w:rsid w:val="005B2AAC"/>
    <w:rsid w:val="005B32FE"/>
    <w:rsid w:val="005B501D"/>
    <w:rsid w:val="005C6E2D"/>
    <w:rsid w:val="005D3603"/>
    <w:rsid w:val="005E0CC8"/>
    <w:rsid w:val="005E2DDF"/>
    <w:rsid w:val="005E3BAE"/>
    <w:rsid w:val="005E4412"/>
    <w:rsid w:val="005E4A45"/>
    <w:rsid w:val="005E55ED"/>
    <w:rsid w:val="005F0256"/>
    <w:rsid w:val="005F5B9A"/>
    <w:rsid w:val="005F7D18"/>
    <w:rsid w:val="00600120"/>
    <w:rsid w:val="006010DC"/>
    <w:rsid w:val="00601A01"/>
    <w:rsid w:val="00604D35"/>
    <w:rsid w:val="006106D6"/>
    <w:rsid w:val="00614E64"/>
    <w:rsid w:val="0061716B"/>
    <w:rsid w:val="00626248"/>
    <w:rsid w:val="006344E7"/>
    <w:rsid w:val="00641D08"/>
    <w:rsid w:val="00642D78"/>
    <w:rsid w:val="00644199"/>
    <w:rsid w:val="00645E3F"/>
    <w:rsid w:val="006472B0"/>
    <w:rsid w:val="00653E79"/>
    <w:rsid w:val="006563F3"/>
    <w:rsid w:val="00664EA6"/>
    <w:rsid w:val="00666178"/>
    <w:rsid w:val="00672A6D"/>
    <w:rsid w:val="006752A9"/>
    <w:rsid w:val="006816DB"/>
    <w:rsid w:val="0068441D"/>
    <w:rsid w:val="00690941"/>
    <w:rsid w:val="00696EF8"/>
    <w:rsid w:val="006A028A"/>
    <w:rsid w:val="006A0547"/>
    <w:rsid w:val="006A05F3"/>
    <w:rsid w:val="006A2AFD"/>
    <w:rsid w:val="006A4DAD"/>
    <w:rsid w:val="006B1BE6"/>
    <w:rsid w:val="006B21A8"/>
    <w:rsid w:val="006B5CDF"/>
    <w:rsid w:val="006B76D0"/>
    <w:rsid w:val="006C5237"/>
    <w:rsid w:val="006D5423"/>
    <w:rsid w:val="006D5955"/>
    <w:rsid w:val="006D622D"/>
    <w:rsid w:val="006D6D72"/>
    <w:rsid w:val="006E01F3"/>
    <w:rsid w:val="006E12E2"/>
    <w:rsid w:val="006E197A"/>
    <w:rsid w:val="006E3213"/>
    <w:rsid w:val="006E4E78"/>
    <w:rsid w:val="006E55E8"/>
    <w:rsid w:val="006E68C6"/>
    <w:rsid w:val="006F11AF"/>
    <w:rsid w:val="006F122A"/>
    <w:rsid w:val="006F6CA6"/>
    <w:rsid w:val="007030C2"/>
    <w:rsid w:val="0071120A"/>
    <w:rsid w:val="007121B9"/>
    <w:rsid w:val="007123CE"/>
    <w:rsid w:val="007168FA"/>
    <w:rsid w:val="00725569"/>
    <w:rsid w:val="007256AD"/>
    <w:rsid w:val="007348E9"/>
    <w:rsid w:val="00737CB5"/>
    <w:rsid w:val="0074093D"/>
    <w:rsid w:val="007442A6"/>
    <w:rsid w:val="0075048F"/>
    <w:rsid w:val="007521FF"/>
    <w:rsid w:val="007522E5"/>
    <w:rsid w:val="007534CC"/>
    <w:rsid w:val="0075382B"/>
    <w:rsid w:val="00753F8C"/>
    <w:rsid w:val="00754B1E"/>
    <w:rsid w:val="007600C9"/>
    <w:rsid w:val="0076021B"/>
    <w:rsid w:val="00762C50"/>
    <w:rsid w:val="0076326A"/>
    <w:rsid w:val="007641DD"/>
    <w:rsid w:val="007875E8"/>
    <w:rsid w:val="007A7ACA"/>
    <w:rsid w:val="007B2FC1"/>
    <w:rsid w:val="007B3166"/>
    <w:rsid w:val="007B7984"/>
    <w:rsid w:val="007C4C80"/>
    <w:rsid w:val="007D24E7"/>
    <w:rsid w:val="007E0494"/>
    <w:rsid w:val="007E3A90"/>
    <w:rsid w:val="007E72E5"/>
    <w:rsid w:val="007E7EA5"/>
    <w:rsid w:val="00800FC3"/>
    <w:rsid w:val="00813AEF"/>
    <w:rsid w:val="00814817"/>
    <w:rsid w:val="008209E6"/>
    <w:rsid w:val="0083081C"/>
    <w:rsid w:val="008357F3"/>
    <w:rsid w:val="0084157A"/>
    <w:rsid w:val="00842342"/>
    <w:rsid w:val="008452C5"/>
    <w:rsid w:val="00846702"/>
    <w:rsid w:val="00850CAF"/>
    <w:rsid w:val="00854F31"/>
    <w:rsid w:val="0086190F"/>
    <w:rsid w:val="00870D89"/>
    <w:rsid w:val="00880A25"/>
    <w:rsid w:val="00886657"/>
    <w:rsid w:val="008915DA"/>
    <w:rsid w:val="00891C2E"/>
    <w:rsid w:val="00892DD6"/>
    <w:rsid w:val="008A48FC"/>
    <w:rsid w:val="008A5ACF"/>
    <w:rsid w:val="008B13FC"/>
    <w:rsid w:val="008B2C47"/>
    <w:rsid w:val="008B350B"/>
    <w:rsid w:val="008B40D8"/>
    <w:rsid w:val="008B5209"/>
    <w:rsid w:val="008B5B7D"/>
    <w:rsid w:val="008B6EE3"/>
    <w:rsid w:val="008B77EA"/>
    <w:rsid w:val="008C2E4F"/>
    <w:rsid w:val="008C55F7"/>
    <w:rsid w:val="008D1C57"/>
    <w:rsid w:val="008D2183"/>
    <w:rsid w:val="008E0709"/>
    <w:rsid w:val="008E4994"/>
    <w:rsid w:val="008E6A59"/>
    <w:rsid w:val="00902D36"/>
    <w:rsid w:val="0090389F"/>
    <w:rsid w:val="00912638"/>
    <w:rsid w:val="00921960"/>
    <w:rsid w:val="00926240"/>
    <w:rsid w:val="009264A5"/>
    <w:rsid w:val="00930B16"/>
    <w:rsid w:val="00932A07"/>
    <w:rsid w:val="00933E28"/>
    <w:rsid w:val="00936870"/>
    <w:rsid w:val="00937B71"/>
    <w:rsid w:val="009475AD"/>
    <w:rsid w:val="00950844"/>
    <w:rsid w:val="00951645"/>
    <w:rsid w:val="009543D0"/>
    <w:rsid w:val="00956786"/>
    <w:rsid w:val="00962308"/>
    <w:rsid w:val="00962B8E"/>
    <w:rsid w:val="0096374A"/>
    <w:rsid w:val="00967AB2"/>
    <w:rsid w:val="00984278"/>
    <w:rsid w:val="00990F7F"/>
    <w:rsid w:val="00996A9E"/>
    <w:rsid w:val="00997B67"/>
    <w:rsid w:val="009A0963"/>
    <w:rsid w:val="009A3BCE"/>
    <w:rsid w:val="009A3F28"/>
    <w:rsid w:val="009A4C0E"/>
    <w:rsid w:val="009B7B3F"/>
    <w:rsid w:val="009C54DB"/>
    <w:rsid w:val="009D2BF7"/>
    <w:rsid w:val="009D32FA"/>
    <w:rsid w:val="009E754A"/>
    <w:rsid w:val="009F68DF"/>
    <w:rsid w:val="00A16C56"/>
    <w:rsid w:val="00A2231C"/>
    <w:rsid w:val="00A24AAC"/>
    <w:rsid w:val="00A33399"/>
    <w:rsid w:val="00A3421D"/>
    <w:rsid w:val="00A35B00"/>
    <w:rsid w:val="00A376AA"/>
    <w:rsid w:val="00A41848"/>
    <w:rsid w:val="00A51138"/>
    <w:rsid w:val="00A566D1"/>
    <w:rsid w:val="00A65057"/>
    <w:rsid w:val="00A66147"/>
    <w:rsid w:val="00A71E0D"/>
    <w:rsid w:val="00A7233F"/>
    <w:rsid w:val="00A72DC9"/>
    <w:rsid w:val="00A742A0"/>
    <w:rsid w:val="00A86DE9"/>
    <w:rsid w:val="00A90748"/>
    <w:rsid w:val="00A935AB"/>
    <w:rsid w:val="00A944DC"/>
    <w:rsid w:val="00A94EBC"/>
    <w:rsid w:val="00AA5C5C"/>
    <w:rsid w:val="00AA7F12"/>
    <w:rsid w:val="00AB04D3"/>
    <w:rsid w:val="00AB0D75"/>
    <w:rsid w:val="00AB65C2"/>
    <w:rsid w:val="00AB7F83"/>
    <w:rsid w:val="00AE35EE"/>
    <w:rsid w:val="00AE5B15"/>
    <w:rsid w:val="00AF0A83"/>
    <w:rsid w:val="00AF0FF4"/>
    <w:rsid w:val="00B20292"/>
    <w:rsid w:val="00B23040"/>
    <w:rsid w:val="00B23588"/>
    <w:rsid w:val="00B32346"/>
    <w:rsid w:val="00B3293D"/>
    <w:rsid w:val="00B36362"/>
    <w:rsid w:val="00B4441F"/>
    <w:rsid w:val="00B52D9B"/>
    <w:rsid w:val="00B5562E"/>
    <w:rsid w:val="00B6038D"/>
    <w:rsid w:val="00B61CDB"/>
    <w:rsid w:val="00B664C3"/>
    <w:rsid w:val="00B66C62"/>
    <w:rsid w:val="00B74CC5"/>
    <w:rsid w:val="00B83C08"/>
    <w:rsid w:val="00B84D39"/>
    <w:rsid w:val="00B85F97"/>
    <w:rsid w:val="00B91F0C"/>
    <w:rsid w:val="00B944CE"/>
    <w:rsid w:val="00B956CA"/>
    <w:rsid w:val="00B96618"/>
    <w:rsid w:val="00B96F25"/>
    <w:rsid w:val="00BA0DD2"/>
    <w:rsid w:val="00BA16C6"/>
    <w:rsid w:val="00BA2303"/>
    <w:rsid w:val="00BA4E34"/>
    <w:rsid w:val="00BA7D13"/>
    <w:rsid w:val="00BB2F19"/>
    <w:rsid w:val="00BB7228"/>
    <w:rsid w:val="00BC24D9"/>
    <w:rsid w:val="00BC79D9"/>
    <w:rsid w:val="00BD360B"/>
    <w:rsid w:val="00BD3D80"/>
    <w:rsid w:val="00BD7AF8"/>
    <w:rsid w:val="00BE3658"/>
    <w:rsid w:val="00BE64B3"/>
    <w:rsid w:val="00BE70FE"/>
    <w:rsid w:val="00C01C00"/>
    <w:rsid w:val="00C0253F"/>
    <w:rsid w:val="00C03F3B"/>
    <w:rsid w:val="00C070B7"/>
    <w:rsid w:val="00C07AC0"/>
    <w:rsid w:val="00C1423C"/>
    <w:rsid w:val="00C2299E"/>
    <w:rsid w:val="00C24BF9"/>
    <w:rsid w:val="00C37043"/>
    <w:rsid w:val="00C37972"/>
    <w:rsid w:val="00C40F4D"/>
    <w:rsid w:val="00C43B5F"/>
    <w:rsid w:val="00C46B43"/>
    <w:rsid w:val="00C52AC6"/>
    <w:rsid w:val="00C548D8"/>
    <w:rsid w:val="00C55920"/>
    <w:rsid w:val="00C57EA4"/>
    <w:rsid w:val="00C633FA"/>
    <w:rsid w:val="00C636A0"/>
    <w:rsid w:val="00C66E54"/>
    <w:rsid w:val="00C72670"/>
    <w:rsid w:val="00C733CD"/>
    <w:rsid w:val="00C73935"/>
    <w:rsid w:val="00C824F8"/>
    <w:rsid w:val="00C943B8"/>
    <w:rsid w:val="00C9679F"/>
    <w:rsid w:val="00C97036"/>
    <w:rsid w:val="00CA2B5C"/>
    <w:rsid w:val="00CB1697"/>
    <w:rsid w:val="00CC3565"/>
    <w:rsid w:val="00CD2266"/>
    <w:rsid w:val="00CD2A45"/>
    <w:rsid w:val="00CD454E"/>
    <w:rsid w:val="00CE09E6"/>
    <w:rsid w:val="00CE136C"/>
    <w:rsid w:val="00CE3756"/>
    <w:rsid w:val="00CE43B8"/>
    <w:rsid w:val="00CE4EE1"/>
    <w:rsid w:val="00CF024F"/>
    <w:rsid w:val="00CF35E6"/>
    <w:rsid w:val="00CF417A"/>
    <w:rsid w:val="00CF6941"/>
    <w:rsid w:val="00D11AFA"/>
    <w:rsid w:val="00D142D6"/>
    <w:rsid w:val="00D17218"/>
    <w:rsid w:val="00D2660C"/>
    <w:rsid w:val="00D27A58"/>
    <w:rsid w:val="00D30977"/>
    <w:rsid w:val="00D37F77"/>
    <w:rsid w:val="00D51984"/>
    <w:rsid w:val="00D61A76"/>
    <w:rsid w:val="00D65E68"/>
    <w:rsid w:val="00D66701"/>
    <w:rsid w:val="00D66B78"/>
    <w:rsid w:val="00D75071"/>
    <w:rsid w:val="00D82618"/>
    <w:rsid w:val="00D87B3F"/>
    <w:rsid w:val="00DA10A7"/>
    <w:rsid w:val="00DB5505"/>
    <w:rsid w:val="00DC60F1"/>
    <w:rsid w:val="00DC67D3"/>
    <w:rsid w:val="00DD31DB"/>
    <w:rsid w:val="00DD6A32"/>
    <w:rsid w:val="00DE499E"/>
    <w:rsid w:val="00DE6384"/>
    <w:rsid w:val="00DF2718"/>
    <w:rsid w:val="00E00226"/>
    <w:rsid w:val="00E076C3"/>
    <w:rsid w:val="00E12A79"/>
    <w:rsid w:val="00E1457A"/>
    <w:rsid w:val="00E14D3D"/>
    <w:rsid w:val="00E15B0B"/>
    <w:rsid w:val="00E16F0C"/>
    <w:rsid w:val="00E17A71"/>
    <w:rsid w:val="00E21B8D"/>
    <w:rsid w:val="00E244EF"/>
    <w:rsid w:val="00E2613B"/>
    <w:rsid w:val="00E27D44"/>
    <w:rsid w:val="00E532E6"/>
    <w:rsid w:val="00E55FFB"/>
    <w:rsid w:val="00E57C60"/>
    <w:rsid w:val="00E57EDB"/>
    <w:rsid w:val="00E61A7F"/>
    <w:rsid w:val="00E63660"/>
    <w:rsid w:val="00E66E31"/>
    <w:rsid w:val="00E70E86"/>
    <w:rsid w:val="00E7250A"/>
    <w:rsid w:val="00E72C82"/>
    <w:rsid w:val="00E75FA2"/>
    <w:rsid w:val="00E80A01"/>
    <w:rsid w:val="00E822F1"/>
    <w:rsid w:val="00E84E35"/>
    <w:rsid w:val="00E864CB"/>
    <w:rsid w:val="00E86515"/>
    <w:rsid w:val="00E90DBC"/>
    <w:rsid w:val="00E94673"/>
    <w:rsid w:val="00E97E32"/>
    <w:rsid w:val="00E97E55"/>
    <w:rsid w:val="00EA1C27"/>
    <w:rsid w:val="00EA225B"/>
    <w:rsid w:val="00EA4515"/>
    <w:rsid w:val="00EA493F"/>
    <w:rsid w:val="00EB35C9"/>
    <w:rsid w:val="00EC0E4E"/>
    <w:rsid w:val="00EC1FD1"/>
    <w:rsid w:val="00EC26FD"/>
    <w:rsid w:val="00EC2B3D"/>
    <w:rsid w:val="00EC4694"/>
    <w:rsid w:val="00ED3DAD"/>
    <w:rsid w:val="00ED75C4"/>
    <w:rsid w:val="00EE294E"/>
    <w:rsid w:val="00EF2FA7"/>
    <w:rsid w:val="00F0500D"/>
    <w:rsid w:val="00F05BF0"/>
    <w:rsid w:val="00F0658A"/>
    <w:rsid w:val="00F06E41"/>
    <w:rsid w:val="00F11156"/>
    <w:rsid w:val="00F116E3"/>
    <w:rsid w:val="00F1735D"/>
    <w:rsid w:val="00F17914"/>
    <w:rsid w:val="00F2018A"/>
    <w:rsid w:val="00F21A6E"/>
    <w:rsid w:val="00F32962"/>
    <w:rsid w:val="00F365DC"/>
    <w:rsid w:val="00F41EFA"/>
    <w:rsid w:val="00F45024"/>
    <w:rsid w:val="00F45C1A"/>
    <w:rsid w:val="00F55BA4"/>
    <w:rsid w:val="00F64165"/>
    <w:rsid w:val="00F704E2"/>
    <w:rsid w:val="00F73BA2"/>
    <w:rsid w:val="00F8558F"/>
    <w:rsid w:val="00FA0372"/>
    <w:rsid w:val="00FA08AB"/>
    <w:rsid w:val="00FA525A"/>
    <w:rsid w:val="00FA6446"/>
    <w:rsid w:val="00FA7666"/>
    <w:rsid w:val="00FB722A"/>
    <w:rsid w:val="00FC1754"/>
    <w:rsid w:val="00FC6361"/>
    <w:rsid w:val="00FC7975"/>
    <w:rsid w:val="00FD1623"/>
    <w:rsid w:val="00FD7BEF"/>
    <w:rsid w:val="00FD7F8F"/>
    <w:rsid w:val="00FE3376"/>
    <w:rsid w:val="00FE36CC"/>
    <w:rsid w:val="00FE3DD9"/>
    <w:rsid w:val="00FE42C0"/>
    <w:rsid w:val="00FF0D24"/>
    <w:rsid w:val="00FF2A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27EC5C47"/>
  <w15:chartTrackingRefBased/>
  <w15:docId w15:val="{DB40DA57-93D1-4A8B-876C-5A2D114F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00AC"/>
    <w:rPr>
      <w:color w:val="0563C1" w:themeColor="hyperlink"/>
      <w:u w:val="single"/>
    </w:rPr>
  </w:style>
  <w:style w:type="paragraph" w:styleId="ListParagraph">
    <w:name w:val="List Paragraph"/>
    <w:basedOn w:val="Normal"/>
    <w:uiPriority w:val="34"/>
    <w:qFormat/>
    <w:rsid w:val="00015ED8"/>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gkelc">
    <w:name w:val="hgkelc"/>
    <w:basedOn w:val="DefaultParagraphFont"/>
    <w:rsid w:val="00E90DBC"/>
  </w:style>
  <w:style w:type="character" w:styleId="CommentReference">
    <w:name w:val="annotation reference"/>
    <w:basedOn w:val="DefaultParagraphFont"/>
    <w:uiPriority w:val="99"/>
    <w:semiHidden/>
    <w:unhideWhenUsed/>
    <w:rsid w:val="0090389F"/>
    <w:rPr>
      <w:sz w:val="16"/>
      <w:szCs w:val="16"/>
    </w:rPr>
  </w:style>
  <w:style w:type="paragraph" w:styleId="CommentText">
    <w:name w:val="annotation text"/>
    <w:basedOn w:val="Normal"/>
    <w:link w:val="CommentTextChar"/>
    <w:uiPriority w:val="99"/>
    <w:semiHidden/>
    <w:unhideWhenUsed/>
    <w:rsid w:val="0090389F"/>
    <w:pPr>
      <w:spacing w:line="240" w:lineRule="auto"/>
    </w:pPr>
    <w:rPr>
      <w:sz w:val="20"/>
      <w:szCs w:val="20"/>
    </w:rPr>
  </w:style>
  <w:style w:type="character" w:customStyle="1" w:styleId="CommentTextChar">
    <w:name w:val="Comment Text Char"/>
    <w:basedOn w:val="DefaultParagraphFont"/>
    <w:link w:val="CommentText"/>
    <w:uiPriority w:val="99"/>
    <w:semiHidden/>
    <w:rsid w:val="0090389F"/>
    <w:rPr>
      <w:sz w:val="20"/>
      <w:szCs w:val="20"/>
    </w:rPr>
  </w:style>
  <w:style w:type="paragraph" w:styleId="CommentSubject">
    <w:name w:val="annotation subject"/>
    <w:basedOn w:val="CommentText"/>
    <w:next w:val="CommentText"/>
    <w:link w:val="CommentSubjectChar"/>
    <w:uiPriority w:val="99"/>
    <w:semiHidden/>
    <w:unhideWhenUsed/>
    <w:rsid w:val="0090389F"/>
    <w:rPr>
      <w:b/>
      <w:bCs/>
    </w:rPr>
  </w:style>
  <w:style w:type="character" w:customStyle="1" w:styleId="CommentSubjectChar">
    <w:name w:val="Comment Subject Char"/>
    <w:basedOn w:val="CommentTextChar"/>
    <w:link w:val="CommentSubject"/>
    <w:uiPriority w:val="99"/>
    <w:semiHidden/>
    <w:rsid w:val="0090389F"/>
    <w:rPr>
      <w:b/>
      <w:bCs/>
      <w:sz w:val="20"/>
      <w:szCs w:val="20"/>
    </w:rPr>
  </w:style>
  <w:style w:type="paragraph" w:styleId="BalloonText">
    <w:name w:val="Balloon Text"/>
    <w:basedOn w:val="Normal"/>
    <w:link w:val="BalloonTextChar"/>
    <w:uiPriority w:val="99"/>
    <w:semiHidden/>
    <w:unhideWhenUsed/>
    <w:rsid w:val="009038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89F"/>
    <w:rPr>
      <w:rFonts w:ascii="Segoe UI" w:hAnsi="Segoe UI" w:cs="Segoe UI"/>
      <w:sz w:val="18"/>
      <w:szCs w:val="18"/>
    </w:rPr>
  </w:style>
  <w:style w:type="paragraph" w:styleId="Revision">
    <w:name w:val="Revision"/>
    <w:hidden/>
    <w:uiPriority w:val="99"/>
    <w:semiHidden/>
    <w:rsid w:val="000318BB"/>
    <w:pPr>
      <w:spacing w:after="0" w:line="240" w:lineRule="auto"/>
    </w:pPr>
  </w:style>
  <w:style w:type="character" w:styleId="FollowedHyperlink">
    <w:name w:val="FollowedHyperlink"/>
    <w:basedOn w:val="DefaultParagraphFont"/>
    <w:uiPriority w:val="99"/>
    <w:semiHidden/>
    <w:unhideWhenUsed/>
    <w:rsid w:val="00056350"/>
    <w:rPr>
      <w:color w:val="954F72" w:themeColor="followedHyperlink"/>
      <w:u w:val="single"/>
    </w:rPr>
  </w:style>
  <w:style w:type="paragraph" w:styleId="FootnoteText">
    <w:name w:val="footnote text"/>
    <w:basedOn w:val="Normal"/>
    <w:link w:val="FootnoteTextChar"/>
    <w:uiPriority w:val="99"/>
    <w:semiHidden/>
    <w:unhideWhenUsed/>
    <w:rsid w:val="003524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24A3"/>
    <w:rPr>
      <w:sz w:val="20"/>
      <w:szCs w:val="20"/>
    </w:rPr>
  </w:style>
  <w:style w:type="character" w:styleId="FootnoteReference">
    <w:name w:val="footnote reference"/>
    <w:basedOn w:val="DefaultParagraphFont"/>
    <w:uiPriority w:val="99"/>
    <w:semiHidden/>
    <w:unhideWhenUsed/>
    <w:rsid w:val="003524A3"/>
    <w:rPr>
      <w:vertAlign w:val="superscript"/>
    </w:rPr>
  </w:style>
  <w:style w:type="paragraph" w:styleId="Header">
    <w:name w:val="header"/>
    <w:basedOn w:val="Normal"/>
    <w:link w:val="HeaderChar"/>
    <w:uiPriority w:val="99"/>
    <w:unhideWhenUsed/>
    <w:rsid w:val="00A66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147"/>
  </w:style>
  <w:style w:type="paragraph" w:styleId="Footer">
    <w:name w:val="footer"/>
    <w:basedOn w:val="Normal"/>
    <w:link w:val="FooterChar"/>
    <w:uiPriority w:val="99"/>
    <w:unhideWhenUsed/>
    <w:rsid w:val="00A66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147"/>
  </w:style>
  <w:style w:type="paragraph" w:styleId="NormalWeb">
    <w:name w:val="Normal (Web)"/>
    <w:basedOn w:val="Normal"/>
    <w:uiPriority w:val="99"/>
    <w:unhideWhenUsed/>
    <w:rsid w:val="0048463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48463D"/>
    <w:rPr>
      <w:b/>
      <w:bCs/>
    </w:rPr>
  </w:style>
  <w:style w:type="character" w:styleId="Emphasis">
    <w:name w:val="Emphasis"/>
    <w:basedOn w:val="DefaultParagraphFont"/>
    <w:uiPriority w:val="20"/>
    <w:qFormat/>
    <w:rsid w:val="0048463D"/>
    <w:rPr>
      <w:i/>
      <w:iCs/>
    </w:rPr>
  </w:style>
  <w:style w:type="table" w:styleId="TableGrid">
    <w:name w:val="Table Grid"/>
    <w:basedOn w:val="TableNormal"/>
    <w:uiPriority w:val="39"/>
    <w:rsid w:val="00492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107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6BE40A0-3395-4F4C-8DCC-7BBA5B08D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BC Clinical and Support Services</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 Kennard</dc:creator>
  <cp:lastModifiedBy>Duncombe, Tamara [FH]</cp:lastModifiedBy>
  <cp:revision>2</cp:revision>
  <cp:lastPrinted>2022-02-26T21:15:00Z</cp:lastPrinted>
  <dcterms:created xsi:type="dcterms:W3CDTF">2022-10-25T22:03:00Z</dcterms:created>
  <dcterms:modified xsi:type="dcterms:W3CDTF">2022-10-25T22:03:00Z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http://www.zotero.org/styles/american-medical-association</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http://www.zotero.org/styles/apa</vt:lpwstr>
  </property>
  <property fmtid="{D5CDD505-2E9C-101B-9397-08002B2CF9AE}" pid="6" name="Mendeley Recent Style Id 2_1">
    <vt:lpwstr>http://www.zotero.org/styles/american-sociological-association</vt:lpwstr>
  </property>
  <property fmtid="{D5CDD505-2E9C-101B-9397-08002B2CF9AE}" pid="7" name="Mendeley Recent Style Id 3_1">
    <vt:lpwstr>http://www.zotero.org/styles/chicago-author-date</vt:lpwstr>
  </property>
  <property fmtid="{D5CDD505-2E9C-101B-9397-08002B2CF9AE}" pid="8" name="Mendeley Recent Style Id 4_1">
    <vt:lpwstr>http://www.zotero.org/styles/chicago-fullnote-bibliography</vt:lpwstr>
  </property>
  <property fmtid="{D5CDD505-2E9C-101B-9397-08002B2CF9AE}" pid="9" name="Mendeley Recent Style Id 5_1">
    <vt:lpwstr>http://www.zotero.org/styles/chicago-note-bibliography</vt:lpwstr>
  </property>
  <property fmtid="{D5CDD505-2E9C-101B-9397-08002B2CF9AE}" pid="10" name="Mendeley Recent Style Id 6_1">
    <vt:lpwstr>http://www.zotero.org/styles/harvard1</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http://www.zotero.org/styles/vancouver</vt:lpwstr>
  </property>
  <property fmtid="{D5CDD505-2E9C-101B-9397-08002B2CF9AE}" pid="14" name="Mendeley Recent Style Name 0_1">
    <vt:lpwstr>American Medical Association 11th edition</vt:lpwstr>
  </property>
  <property fmtid="{D5CDD505-2E9C-101B-9397-08002B2CF9AE}" pid="15" name="Mendeley Recent Style Name 1_1">
    <vt:lpwstr>American Psychological Association 7th edition</vt:lpwstr>
  </property>
  <property fmtid="{D5CDD505-2E9C-101B-9397-08002B2CF9AE}" pid="16" name="Mendeley Recent Style Name 2_1">
    <vt:lpwstr>American Sociological Association 6th edition</vt:lpwstr>
  </property>
  <property fmtid="{D5CDD505-2E9C-101B-9397-08002B2CF9AE}" pid="17" name="Mendeley Recent Style Name 3_1">
    <vt:lpwstr>Chicago Manual of Style 17th edition (author-date)</vt:lpwstr>
  </property>
  <property fmtid="{D5CDD505-2E9C-101B-9397-08002B2CF9AE}" pid="18" name="Mendeley Recent Style Name 4_1">
    <vt:lpwstr>Chicago Manual of Style 17th edition (full note)</vt:lpwstr>
  </property>
  <property fmtid="{D5CDD505-2E9C-101B-9397-08002B2CF9AE}" pid="19" name="Mendeley Recent Style Name 5_1">
    <vt:lpwstr>Chicago Manual of Style 17th edition (note)</vt:lpwstr>
  </property>
  <property fmtid="{D5CDD505-2E9C-101B-9397-08002B2CF9AE}" pid="20" name="Mendeley Recent Style Name 6_1">
    <vt:lpwstr>Harvard reference format 1 (deprecated)</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9th edition</vt:lpwstr>
  </property>
  <property fmtid="{D5CDD505-2E9C-101B-9397-08002B2CF9AE}" pid="23" name="Mendeley Recent Style Name 9_1">
    <vt:lpwstr>Vancouver</vt:lpwstr>
  </property>
  <property fmtid="{D5CDD505-2E9C-101B-9397-08002B2CF9AE}" pid="24" name="Mendeley Unique User Id_1">
    <vt:lpwstr>d67e1619-ff2e-3033-a957-c467e60f4184</vt:lpwstr>
  </property>
</Properties>
</file>