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8D" w:rsidRPr="00B74706" w:rsidRDefault="00FC2E8D" w:rsidP="00FC2E8D">
      <w:pPr>
        <w:suppressLineNumbers/>
        <w:rPr>
          <w:rFonts w:ascii="Times New Roman" w:hAnsi="Times New Roman" w:cs="Times New Roman"/>
          <w:sz w:val="21"/>
        </w:rPr>
      </w:pPr>
      <w:r w:rsidRPr="00B74706">
        <w:rPr>
          <w:rStyle w:val="normaltextrun"/>
          <w:rFonts w:ascii="Times New Roman" w:hAnsi="Times New Roman" w:cs="Times New Roman"/>
          <w:color w:val="2E74B5"/>
          <w:sz w:val="28"/>
          <w:szCs w:val="32"/>
          <w:shd w:val="clear" w:color="auto" w:fill="FFFFFF"/>
        </w:rPr>
        <w:t xml:space="preserve">Appendix </w:t>
      </w:r>
    </w:p>
    <w:p w:rsidR="00FC2E8D" w:rsidRPr="00B74706" w:rsidRDefault="00FC2E8D" w:rsidP="00FC2E8D">
      <w:pPr>
        <w:suppressLineNumbers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Appendix </w:t>
      </w:r>
      <w:r w:rsidRPr="00B74706">
        <w:rPr>
          <w:rFonts w:ascii="Times New Roman" w:hAnsi="Times New Roman" w:cs="Times New Roman"/>
        </w:rPr>
        <w:t>Figure 1</w:t>
      </w:r>
      <w:r>
        <w:rPr>
          <w:rFonts w:ascii="Times New Roman" w:hAnsi="Times New Roman" w:cs="Times New Roman"/>
        </w:rPr>
        <w:t>.</w:t>
      </w:r>
      <w:proofErr w:type="gramEnd"/>
      <w:r w:rsidRPr="00B747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74706">
        <w:rPr>
          <w:rFonts w:ascii="Times New Roman" w:hAnsi="Times New Roman" w:cs="Times New Roman"/>
        </w:rPr>
        <w:t xml:space="preserve">mpiric </w:t>
      </w:r>
      <w:r>
        <w:rPr>
          <w:rFonts w:ascii="Times New Roman" w:hAnsi="Times New Roman" w:cs="Times New Roman"/>
        </w:rPr>
        <w:t>A</w:t>
      </w:r>
      <w:r w:rsidRPr="00B74706">
        <w:rPr>
          <w:rFonts w:ascii="Times New Roman" w:hAnsi="Times New Roman" w:cs="Times New Roman"/>
        </w:rPr>
        <w:t xml:space="preserve">ntibiotic </w:t>
      </w:r>
      <w:r w:rsidR="005E633C">
        <w:rPr>
          <w:rFonts w:ascii="Times New Roman" w:hAnsi="Times New Roman" w:cs="Times New Roman"/>
        </w:rPr>
        <w:t>within 24</w:t>
      </w:r>
      <w:r>
        <w:rPr>
          <w:rFonts w:ascii="Times New Roman" w:hAnsi="Times New Roman" w:cs="Times New Roman"/>
        </w:rPr>
        <w:t xml:space="preserve"> Hours of Hospital Admission</w:t>
      </w:r>
      <w:r w:rsidRPr="00B74706">
        <w:rPr>
          <w:rFonts w:ascii="Times New Roman" w:hAnsi="Times New Roman" w:cs="Times New Roman"/>
        </w:rPr>
        <w:t xml:space="preserve"> </w:t>
      </w:r>
    </w:p>
    <w:p w:rsidR="00FC2E8D" w:rsidRPr="00B74706" w:rsidRDefault="00FC2E8D" w:rsidP="00FC2E8D">
      <w:pPr>
        <w:suppressLineNumbers/>
        <w:rPr>
          <w:rFonts w:ascii="Times New Roman" w:hAnsi="Times New Roman" w:cs="Times New Roman"/>
        </w:rPr>
      </w:pPr>
      <w:r w:rsidRPr="00B74706">
        <w:rPr>
          <w:rFonts w:ascii="Times New Roman" w:hAnsi="Times New Roman" w:cs="Times New Roman"/>
          <w:noProof/>
        </w:rPr>
        <w:drawing>
          <wp:inline distT="0" distB="0" distL="0" distR="0" wp14:anchorId="15C4DB3E" wp14:editId="3C1BA2BB">
            <wp:extent cx="4668890" cy="3033871"/>
            <wp:effectExtent l="0" t="0" r="17780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C2E8D" w:rsidRDefault="00FC2E8D" w:rsidP="00FC2E8D">
      <w:pPr>
        <w:suppressLineNumbers/>
        <w:rPr>
          <w:rFonts w:ascii="Times New Roman" w:hAnsi="Times New Roman" w:cs="Times New Roman"/>
        </w:rPr>
      </w:pPr>
      <w:r w:rsidRPr="00B74706">
        <w:rPr>
          <w:rFonts w:ascii="Times New Roman" w:hAnsi="Times New Roman" w:cs="Times New Roman"/>
        </w:rPr>
        <w:t xml:space="preserve">Abbreviations: Azithromycin (AZI), Ceftriaxone (CTX), </w:t>
      </w:r>
      <w:proofErr w:type="spellStart"/>
      <w:r w:rsidRPr="00B74706">
        <w:rPr>
          <w:rFonts w:ascii="Times New Roman" w:hAnsi="Times New Roman" w:cs="Times New Roman"/>
        </w:rPr>
        <w:t>Piperacillin-Tazobactam</w:t>
      </w:r>
      <w:proofErr w:type="spellEnd"/>
      <w:r w:rsidRPr="00B74706">
        <w:rPr>
          <w:rFonts w:ascii="Times New Roman" w:hAnsi="Times New Roman" w:cs="Times New Roman"/>
        </w:rPr>
        <w:t xml:space="preserve"> (PIP), </w:t>
      </w:r>
      <w:proofErr w:type="spellStart"/>
      <w:r>
        <w:rPr>
          <w:rFonts w:ascii="Times New Roman" w:hAnsi="Times New Roman" w:cs="Times New Roman"/>
        </w:rPr>
        <w:t>Cefepime</w:t>
      </w:r>
      <w:proofErr w:type="spellEnd"/>
      <w:r>
        <w:rPr>
          <w:rFonts w:ascii="Times New Roman" w:hAnsi="Times New Roman" w:cs="Times New Roman"/>
        </w:rPr>
        <w:t xml:space="preserve"> (CEF), </w:t>
      </w:r>
      <w:proofErr w:type="spellStart"/>
      <w:r>
        <w:rPr>
          <w:rFonts w:ascii="Times New Roman" w:hAnsi="Times New Roman" w:cs="Times New Roman"/>
        </w:rPr>
        <w:t>Vancomycin</w:t>
      </w:r>
      <w:proofErr w:type="spellEnd"/>
      <w:r>
        <w:rPr>
          <w:rFonts w:ascii="Times New Roman" w:hAnsi="Times New Roman" w:cs="Times New Roman"/>
        </w:rPr>
        <w:t xml:space="preserve"> (VAN)</w:t>
      </w:r>
    </w:p>
    <w:p w:rsidR="00FC2E8D" w:rsidRDefault="00FC2E8D" w:rsidP="00FC2E8D">
      <w:pPr>
        <w:suppressLineNumbers/>
        <w:spacing w:after="0" w:line="240" w:lineRule="auto"/>
        <w:rPr>
          <w:rFonts w:ascii="Times New Roman" w:hAnsi="Times New Roman" w:cs="Times New Roman"/>
        </w:rPr>
      </w:pPr>
    </w:p>
    <w:p w:rsidR="00FC2E8D" w:rsidRDefault="00FC2E8D" w:rsidP="00FC2E8D">
      <w:pPr>
        <w:suppressLineNumbers/>
        <w:spacing w:after="0" w:line="240" w:lineRule="auto"/>
        <w:rPr>
          <w:rFonts w:ascii="Times New Roman" w:hAnsi="Times New Roman" w:cs="Times New Roman"/>
        </w:rPr>
      </w:pPr>
    </w:p>
    <w:p w:rsidR="00FC2E8D" w:rsidRDefault="00FC2E8D" w:rsidP="00FC2E8D">
      <w:pPr>
        <w:suppressLineNumbers/>
        <w:spacing w:after="0" w:line="240" w:lineRule="auto"/>
        <w:rPr>
          <w:rFonts w:ascii="Times New Roman" w:hAnsi="Times New Roman" w:cs="Times New Roman"/>
        </w:rPr>
      </w:pPr>
    </w:p>
    <w:p w:rsidR="00FC2E8D" w:rsidRDefault="00FC2E8D" w:rsidP="00FC2E8D">
      <w:pPr>
        <w:suppressLineNumbers/>
        <w:spacing w:after="0" w:line="240" w:lineRule="auto"/>
        <w:rPr>
          <w:rFonts w:ascii="Times New Roman" w:hAnsi="Times New Roman" w:cs="Times New Roman"/>
        </w:rPr>
      </w:pPr>
    </w:p>
    <w:p w:rsidR="00FC2E8D" w:rsidRDefault="00FC2E8D" w:rsidP="00FC2E8D">
      <w:pPr>
        <w:suppressLineNumbers/>
        <w:spacing w:after="0" w:line="240" w:lineRule="auto"/>
        <w:rPr>
          <w:rFonts w:ascii="Times New Roman" w:hAnsi="Times New Roman" w:cs="Times New Roman"/>
        </w:rPr>
      </w:pPr>
    </w:p>
    <w:p w:rsidR="00FC2E8D" w:rsidRDefault="00FC2E8D" w:rsidP="00FC2E8D">
      <w:pPr>
        <w:suppressLineNumbers/>
        <w:spacing w:after="0" w:line="240" w:lineRule="auto"/>
        <w:rPr>
          <w:rFonts w:ascii="Times New Roman" w:hAnsi="Times New Roman" w:cs="Times New Roman"/>
        </w:rPr>
      </w:pPr>
    </w:p>
    <w:p w:rsidR="00FC2E8D" w:rsidRPr="00B74706" w:rsidRDefault="00FC2E8D" w:rsidP="00FC2E8D">
      <w:pPr>
        <w:suppressLineNumbers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Appendix </w:t>
      </w:r>
      <w:r w:rsidRPr="00B74706">
        <w:rPr>
          <w:rFonts w:ascii="Times New Roman" w:hAnsi="Times New Roman" w:cs="Times New Roman"/>
        </w:rPr>
        <w:t>Table 1</w:t>
      </w:r>
      <w:r>
        <w:rPr>
          <w:rFonts w:ascii="Times New Roman" w:hAnsi="Times New Roman" w:cs="Times New Roman"/>
        </w:rPr>
        <w:t>.</w:t>
      </w:r>
      <w:proofErr w:type="gramEnd"/>
      <w:r w:rsidR="0074082E">
        <w:rPr>
          <w:rFonts w:ascii="Times New Roman" w:hAnsi="Times New Roman" w:cs="Times New Roman"/>
        </w:rPr>
        <w:t xml:space="preserve"> Subgroup Analysis for Outcomes Excluding Transfer P</w:t>
      </w:r>
      <w:r w:rsidRPr="00B74706">
        <w:rPr>
          <w:rFonts w:ascii="Times New Roman" w:hAnsi="Times New Roman" w:cs="Times New Roman"/>
        </w:rPr>
        <w:t xml:space="preserve">atients </w:t>
      </w:r>
    </w:p>
    <w:p w:rsidR="00FC2E8D" w:rsidRPr="00B74706" w:rsidRDefault="00FC2E8D" w:rsidP="00FC2E8D">
      <w:pPr>
        <w:suppressLineNumbers/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2"/>
        <w:tblW w:w="8926" w:type="dxa"/>
        <w:tblLook w:val="04A0" w:firstRow="1" w:lastRow="0" w:firstColumn="1" w:lastColumn="0" w:noHBand="0" w:noVBand="1"/>
      </w:tblPr>
      <w:tblGrid>
        <w:gridCol w:w="5299"/>
        <w:gridCol w:w="1976"/>
        <w:gridCol w:w="1651"/>
      </w:tblGrid>
      <w:tr w:rsidR="00FC2E8D" w:rsidRPr="00B74706" w:rsidTr="00430E82">
        <w:trPr>
          <w:trHeight w:val="823"/>
        </w:trPr>
        <w:tc>
          <w:tcPr>
            <w:tcW w:w="5299" w:type="dxa"/>
            <w:tcBorders>
              <w:top w:val="single" w:sz="12" w:space="0" w:color="auto"/>
              <w:bottom w:val="single" w:sz="4" w:space="0" w:color="auto"/>
            </w:tcBorders>
          </w:tcPr>
          <w:p w:rsidR="00FC2E8D" w:rsidRPr="00B74706" w:rsidRDefault="00FC2E8D" w:rsidP="00F91AB8">
            <w:pPr>
              <w:suppressLineNumbers/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12" w:space="0" w:color="auto"/>
              <w:bottom w:val="single" w:sz="4" w:space="0" w:color="auto"/>
            </w:tcBorders>
          </w:tcPr>
          <w:p w:rsidR="00FC2E8D" w:rsidRPr="00B74706" w:rsidRDefault="00FC2E8D" w:rsidP="00F91AB8">
            <w:pPr>
              <w:suppressLineNumbers/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B74706">
              <w:rPr>
                <w:rFonts w:ascii="Times New Roman" w:hAnsi="Times New Roman" w:cs="Times New Roman"/>
              </w:rPr>
              <w:t>No secondary infection</w:t>
            </w:r>
          </w:p>
          <w:p w:rsidR="00FC2E8D" w:rsidRPr="00B74706" w:rsidRDefault="00FC2E8D" w:rsidP="00F91AB8">
            <w:pPr>
              <w:suppressLineNumbers/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F11A4C">
              <w:rPr>
                <w:rFonts w:ascii="Times New Roman" w:hAnsi="Times New Roman" w:cs="Times New Roman"/>
                <w:sz w:val="20"/>
              </w:rPr>
              <w:t>(N= 77)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4" w:space="0" w:color="auto"/>
            </w:tcBorders>
          </w:tcPr>
          <w:p w:rsidR="00FC2E8D" w:rsidRPr="00F11A4C" w:rsidRDefault="00FC2E8D" w:rsidP="00F91AB8">
            <w:pPr>
              <w:suppressLineNumbers/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F11A4C">
              <w:rPr>
                <w:rFonts w:ascii="Times New Roman" w:hAnsi="Times New Roman" w:cs="Times New Roman"/>
              </w:rPr>
              <w:t>Secondary infection</w:t>
            </w:r>
          </w:p>
          <w:p w:rsidR="00FC2E8D" w:rsidRPr="00B74706" w:rsidRDefault="00FC2E8D" w:rsidP="00F91AB8">
            <w:pPr>
              <w:suppressLineNumbers/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B74706">
              <w:rPr>
                <w:rFonts w:ascii="Times New Roman" w:hAnsi="Times New Roman" w:cs="Times New Roman"/>
                <w:sz w:val="20"/>
              </w:rPr>
              <w:t>(N=19)</w:t>
            </w:r>
          </w:p>
        </w:tc>
      </w:tr>
      <w:tr w:rsidR="00FC2E8D" w:rsidRPr="00B74706" w:rsidTr="00430E82">
        <w:trPr>
          <w:trHeight w:val="271"/>
        </w:trPr>
        <w:tc>
          <w:tcPr>
            <w:tcW w:w="5299" w:type="dxa"/>
            <w:tcBorders>
              <w:top w:val="single" w:sz="4" w:space="0" w:color="auto"/>
            </w:tcBorders>
          </w:tcPr>
          <w:p w:rsidR="00FC2E8D" w:rsidRPr="00B74706" w:rsidRDefault="00FC2E8D" w:rsidP="00F91AB8">
            <w:pPr>
              <w:suppressLineNumbers/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B74706">
              <w:rPr>
                <w:rFonts w:ascii="Times New Roman" w:hAnsi="Times New Roman" w:cs="Times New Roman"/>
              </w:rPr>
              <w:t>In hospital mortality</w:t>
            </w:r>
            <w:r>
              <w:rPr>
                <w:rFonts w:ascii="Times New Roman" w:hAnsi="Times New Roman" w:cs="Times New Roman"/>
              </w:rPr>
              <w:t>, n (%)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FC2E8D" w:rsidRPr="00B74706" w:rsidRDefault="00FC2E8D" w:rsidP="00F91AB8">
            <w:pPr>
              <w:suppressLineNumbers/>
              <w:spacing w:before="20" w:after="20" w:line="240" w:lineRule="auto"/>
              <w:ind w:right="275"/>
              <w:jc w:val="right"/>
              <w:rPr>
                <w:rFonts w:ascii="Times New Roman" w:hAnsi="Times New Roman" w:cs="Times New Roman"/>
              </w:rPr>
            </w:pPr>
            <w:r w:rsidRPr="00B74706">
              <w:rPr>
                <w:rFonts w:ascii="Times New Roman" w:hAnsi="Times New Roman" w:cs="Times New Roman"/>
              </w:rPr>
              <w:t>3 (3.9%)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FC2E8D" w:rsidRPr="00B74706" w:rsidRDefault="00FC2E8D" w:rsidP="00F91AB8">
            <w:pPr>
              <w:suppressLineNumbers/>
              <w:spacing w:before="20" w:after="2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(42.1</w:t>
            </w:r>
            <w:r w:rsidRPr="00B74706">
              <w:rPr>
                <w:rFonts w:ascii="Times New Roman" w:hAnsi="Times New Roman" w:cs="Times New Roman"/>
              </w:rPr>
              <w:t>%)</w:t>
            </w:r>
          </w:p>
        </w:tc>
      </w:tr>
      <w:tr w:rsidR="00FC2E8D" w:rsidRPr="00B74706" w:rsidTr="00430E82">
        <w:trPr>
          <w:trHeight w:val="271"/>
        </w:trPr>
        <w:tc>
          <w:tcPr>
            <w:tcW w:w="5299" w:type="dxa"/>
          </w:tcPr>
          <w:p w:rsidR="00FC2E8D" w:rsidRPr="00B74706" w:rsidRDefault="00FC2E8D" w:rsidP="00F91AB8">
            <w:pPr>
              <w:suppressLineNumbers/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B74706">
              <w:rPr>
                <w:rFonts w:ascii="Times New Roman" w:hAnsi="Times New Roman" w:cs="Times New Roman"/>
              </w:rPr>
              <w:t>ICU admission</w:t>
            </w:r>
            <w:r>
              <w:rPr>
                <w:rFonts w:ascii="Times New Roman" w:hAnsi="Times New Roman" w:cs="Times New Roman"/>
              </w:rPr>
              <w:t>, n (%)</w:t>
            </w:r>
          </w:p>
        </w:tc>
        <w:tc>
          <w:tcPr>
            <w:tcW w:w="1976" w:type="dxa"/>
          </w:tcPr>
          <w:p w:rsidR="00FC2E8D" w:rsidRPr="00B74706" w:rsidRDefault="00FC2E8D" w:rsidP="00F91AB8">
            <w:pPr>
              <w:suppressLineNumbers/>
              <w:spacing w:before="20" w:after="20" w:line="240" w:lineRule="auto"/>
              <w:ind w:right="27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(23.4</w:t>
            </w:r>
            <w:r w:rsidRPr="00B74706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651" w:type="dxa"/>
          </w:tcPr>
          <w:p w:rsidR="00FC2E8D" w:rsidRPr="00B74706" w:rsidRDefault="00FC2E8D" w:rsidP="00F91AB8">
            <w:pPr>
              <w:suppressLineNumbers/>
              <w:spacing w:before="20" w:after="2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(73.7</w:t>
            </w:r>
            <w:r w:rsidRPr="00B74706">
              <w:rPr>
                <w:rFonts w:ascii="Times New Roman" w:hAnsi="Times New Roman" w:cs="Times New Roman"/>
              </w:rPr>
              <w:t>%)</w:t>
            </w:r>
          </w:p>
        </w:tc>
      </w:tr>
      <w:tr w:rsidR="00FC2E8D" w:rsidRPr="00B74706" w:rsidTr="00430E82">
        <w:trPr>
          <w:trHeight w:val="258"/>
        </w:trPr>
        <w:tc>
          <w:tcPr>
            <w:tcW w:w="5299" w:type="dxa"/>
          </w:tcPr>
          <w:p w:rsidR="00FC2E8D" w:rsidRPr="00B74706" w:rsidRDefault="00FC2E8D" w:rsidP="00F91AB8">
            <w:pPr>
              <w:suppressLineNumbers/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B74706">
              <w:rPr>
                <w:rFonts w:ascii="Times New Roman" w:hAnsi="Times New Roman" w:cs="Times New Roman"/>
              </w:rPr>
              <w:t xml:space="preserve">    ICU </w:t>
            </w:r>
            <w:r w:rsidRPr="00B74706">
              <w:rPr>
                <w:rFonts w:ascii="Times New Roman" w:hAnsi="Times New Roman" w:cs="Times New Roman"/>
                <w:sz w:val="20"/>
              </w:rPr>
              <w:t>length of stay</w:t>
            </w:r>
            <w:r>
              <w:rPr>
                <w:rFonts w:ascii="Times New Roman" w:hAnsi="Times New Roman" w:cs="Times New Roman"/>
                <w:sz w:val="20"/>
              </w:rPr>
              <w:t>, median days (IQR)</w:t>
            </w:r>
          </w:p>
        </w:tc>
        <w:tc>
          <w:tcPr>
            <w:tcW w:w="1976" w:type="dxa"/>
          </w:tcPr>
          <w:p w:rsidR="00FC2E8D" w:rsidRPr="00B74706" w:rsidRDefault="00FC2E8D" w:rsidP="00F91AB8">
            <w:pPr>
              <w:suppressLineNumbers/>
              <w:spacing w:before="20" w:after="20" w:line="240" w:lineRule="auto"/>
              <w:ind w:right="275"/>
              <w:jc w:val="right"/>
              <w:rPr>
                <w:rFonts w:ascii="Times New Roman" w:hAnsi="Times New Roman" w:cs="Times New Roman"/>
              </w:rPr>
            </w:pPr>
            <w:r w:rsidRPr="00B74706">
              <w:rPr>
                <w:rFonts w:ascii="Times New Roman" w:hAnsi="Times New Roman" w:cs="Times New Roman"/>
              </w:rPr>
              <w:t>3.5</w:t>
            </w:r>
            <w:r w:rsidR="00430E82">
              <w:rPr>
                <w:rFonts w:ascii="Times New Roman" w:hAnsi="Times New Roman" w:cs="Times New Roman"/>
              </w:rPr>
              <w:t xml:space="preserve"> </w:t>
            </w:r>
            <w:r w:rsidR="00430E82" w:rsidRPr="00430E82">
              <w:rPr>
                <w:rFonts w:ascii="Times New Roman" w:hAnsi="Times New Roman" w:cs="Times New Roman"/>
              </w:rPr>
              <w:t xml:space="preserve"> (2-5)</w:t>
            </w:r>
          </w:p>
        </w:tc>
        <w:tc>
          <w:tcPr>
            <w:tcW w:w="1651" w:type="dxa"/>
          </w:tcPr>
          <w:p w:rsidR="00FC2E8D" w:rsidRPr="00B74706" w:rsidRDefault="00FC2E8D" w:rsidP="00430E82">
            <w:pPr>
              <w:suppressLineNumbers/>
              <w:spacing w:before="20" w:after="20" w:line="240" w:lineRule="auto"/>
              <w:jc w:val="right"/>
              <w:rPr>
                <w:rFonts w:ascii="Times New Roman" w:hAnsi="Times New Roman" w:cs="Times New Roman"/>
              </w:rPr>
            </w:pPr>
            <w:r w:rsidRPr="00B74706">
              <w:rPr>
                <w:rFonts w:ascii="Times New Roman" w:hAnsi="Times New Roman" w:cs="Times New Roman"/>
              </w:rPr>
              <w:t>10.5</w:t>
            </w:r>
            <w:r w:rsidR="00430E82">
              <w:rPr>
                <w:rFonts w:ascii="Times New Roman" w:hAnsi="Times New Roman" w:cs="Times New Roman"/>
              </w:rPr>
              <w:t xml:space="preserve"> </w:t>
            </w:r>
            <w:r w:rsidR="00A71A88">
              <w:rPr>
                <w:rFonts w:ascii="Times New Roman" w:hAnsi="Times New Roman" w:cs="Times New Roman"/>
              </w:rPr>
              <w:t>(5-18</w:t>
            </w:r>
            <w:r w:rsidR="00430E82" w:rsidRPr="00430E82">
              <w:rPr>
                <w:rFonts w:ascii="Times New Roman" w:hAnsi="Times New Roman" w:cs="Times New Roman"/>
              </w:rPr>
              <w:t>)</w:t>
            </w:r>
            <w:r w:rsidR="00430E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2E8D" w:rsidRPr="00B74706" w:rsidTr="00430E82">
        <w:trPr>
          <w:trHeight w:val="271"/>
        </w:trPr>
        <w:tc>
          <w:tcPr>
            <w:tcW w:w="5299" w:type="dxa"/>
          </w:tcPr>
          <w:p w:rsidR="00FC2E8D" w:rsidRPr="00B74706" w:rsidRDefault="00FC2E8D" w:rsidP="00F91AB8">
            <w:pPr>
              <w:suppressLineNumbers/>
              <w:spacing w:before="20"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 w:rsidRPr="00B74706">
              <w:rPr>
                <w:rFonts w:ascii="Times New Roman" w:hAnsi="Times New Roman" w:cs="Times New Roman"/>
              </w:rPr>
              <w:t xml:space="preserve"> length of sta</w:t>
            </w:r>
            <w:r>
              <w:rPr>
                <w:rFonts w:ascii="Times New Roman" w:hAnsi="Times New Roman" w:cs="Times New Roman"/>
              </w:rPr>
              <w:t>y, median days (IQR)</w:t>
            </w:r>
          </w:p>
        </w:tc>
        <w:tc>
          <w:tcPr>
            <w:tcW w:w="1976" w:type="dxa"/>
          </w:tcPr>
          <w:p w:rsidR="00FC2E8D" w:rsidRPr="00B74706" w:rsidRDefault="00FC2E8D" w:rsidP="00F91AB8">
            <w:pPr>
              <w:suppressLineNumbers/>
              <w:spacing w:before="20" w:after="20" w:line="240" w:lineRule="auto"/>
              <w:ind w:right="275"/>
              <w:jc w:val="right"/>
              <w:rPr>
                <w:rFonts w:ascii="Times New Roman" w:hAnsi="Times New Roman" w:cs="Times New Roman"/>
              </w:rPr>
            </w:pPr>
            <w:r w:rsidRPr="00B74706">
              <w:rPr>
                <w:rFonts w:ascii="Times New Roman" w:hAnsi="Times New Roman" w:cs="Times New Roman"/>
              </w:rPr>
              <w:t>7.5</w:t>
            </w:r>
            <w:r w:rsidR="00430E82">
              <w:rPr>
                <w:rFonts w:ascii="Times New Roman" w:hAnsi="Times New Roman" w:cs="Times New Roman"/>
              </w:rPr>
              <w:t xml:space="preserve"> (</w:t>
            </w:r>
            <w:r w:rsidR="00430E82" w:rsidRPr="00430E82">
              <w:rPr>
                <w:rFonts w:ascii="Times New Roman" w:hAnsi="Times New Roman" w:cs="Times New Roman"/>
              </w:rPr>
              <w:t>5-13)</w:t>
            </w:r>
          </w:p>
        </w:tc>
        <w:tc>
          <w:tcPr>
            <w:tcW w:w="1651" w:type="dxa"/>
          </w:tcPr>
          <w:p w:rsidR="00FC2E8D" w:rsidRPr="00B74706" w:rsidRDefault="00FC2E8D" w:rsidP="00F91AB8">
            <w:pPr>
              <w:suppressLineNumbers/>
              <w:spacing w:before="20" w:after="20" w:line="240" w:lineRule="auto"/>
              <w:jc w:val="right"/>
              <w:rPr>
                <w:rFonts w:ascii="Times New Roman" w:hAnsi="Times New Roman" w:cs="Times New Roman"/>
              </w:rPr>
            </w:pPr>
            <w:r w:rsidRPr="00B74706">
              <w:rPr>
                <w:rFonts w:ascii="Times New Roman" w:hAnsi="Times New Roman" w:cs="Times New Roman"/>
              </w:rPr>
              <w:t>19</w:t>
            </w:r>
            <w:r w:rsidR="00430E82">
              <w:rPr>
                <w:rFonts w:ascii="Times New Roman" w:hAnsi="Times New Roman" w:cs="Times New Roman"/>
              </w:rPr>
              <w:t xml:space="preserve"> </w:t>
            </w:r>
            <w:r w:rsidR="00430E82" w:rsidRPr="00430E82">
              <w:rPr>
                <w:rFonts w:ascii="Times New Roman" w:hAnsi="Times New Roman" w:cs="Times New Roman"/>
              </w:rPr>
              <w:t>(8-22)</w:t>
            </w:r>
          </w:p>
        </w:tc>
      </w:tr>
      <w:tr w:rsidR="00FC2E8D" w:rsidRPr="00B74706" w:rsidTr="00430E82">
        <w:trPr>
          <w:trHeight w:val="281"/>
        </w:trPr>
        <w:tc>
          <w:tcPr>
            <w:tcW w:w="5299" w:type="dxa"/>
            <w:tcBorders>
              <w:bottom w:val="single" w:sz="12" w:space="0" w:color="auto"/>
            </w:tcBorders>
          </w:tcPr>
          <w:p w:rsidR="00FC2E8D" w:rsidRPr="00B74706" w:rsidRDefault="00FC2E8D" w:rsidP="00F91AB8">
            <w:pPr>
              <w:suppressLineNumbers/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B74706">
              <w:rPr>
                <w:rFonts w:ascii="Times New Roman" w:hAnsi="Times New Roman" w:cs="Times New Roman"/>
              </w:rPr>
              <w:t xml:space="preserve">Empiric antibiotics </w:t>
            </w:r>
            <w:r>
              <w:rPr>
                <w:rFonts w:ascii="Times New Roman" w:hAnsi="Times New Roman" w:cs="Times New Roman"/>
              </w:rPr>
              <w:t>received, n (%)</w:t>
            </w:r>
          </w:p>
        </w:tc>
        <w:tc>
          <w:tcPr>
            <w:tcW w:w="1976" w:type="dxa"/>
            <w:tcBorders>
              <w:bottom w:val="single" w:sz="12" w:space="0" w:color="auto"/>
            </w:tcBorders>
          </w:tcPr>
          <w:p w:rsidR="00FC2E8D" w:rsidRPr="00B74706" w:rsidRDefault="00FC2E8D" w:rsidP="00F91AB8">
            <w:pPr>
              <w:suppressLineNumbers/>
              <w:spacing w:before="20" w:after="20" w:line="240" w:lineRule="auto"/>
              <w:ind w:right="27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 (62.3</w:t>
            </w:r>
            <w:r w:rsidRPr="00B74706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651" w:type="dxa"/>
            <w:tcBorders>
              <w:bottom w:val="single" w:sz="12" w:space="0" w:color="auto"/>
            </w:tcBorders>
          </w:tcPr>
          <w:p w:rsidR="00FC2E8D" w:rsidRPr="00B74706" w:rsidRDefault="00FC2E8D" w:rsidP="00F91AB8">
            <w:pPr>
              <w:suppressLineNumbers/>
              <w:spacing w:before="20" w:after="2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(79</w:t>
            </w:r>
            <w:r w:rsidRPr="00B74706">
              <w:rPr>
                <w:rFonts w:ascii="Times New Roman" w:hAnsi="Times New Roman" w:cs="Times New Roman"/>
              </w:rPr>
              <w:t>%)</w:t>
            </w:r>
          </w:p>
        </w:tc>
      </w:tr>
    </w:tbl>
    <w:p w:rsidR="00B23F7E" w:rsidRDefault="00B23F7E">
      <w:bookmarkStart w:id="0" w:name="_GoBack"/>
      <w:bookmarkEnd w:id="0"/>
    </w:p>
    <w:sectPr w:rsidR="00B23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8D"/>
    <w:rsid w:val="00430E82"/>
    <w:rsid w:val="005E633C"/>
    <w:rsid w:val="0074082E"/>
    <w:rsid w:val="00A71A88"/>
    <w:rsid w:val="00B23F7E"/>
    <w:rsid w:val="00BA4202"/>
    <w:rsid w:val="00FC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8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C2E8D"/>
    <w:rPr>
      <w:sz w:val="16"/>
      <w:szCs w:val="16"/>
    </w:rPr>
  </w:style>
  <w:style w:type="character" w:customStyle="1" w:styleId="normaltextrun">
    <w:name w:val="normaltextrun"/>
    <w:basedOn w:val="DefaultParagraphFont"/>
    <w:rsid w:val="00FC2E8D"/>
  </w:style>
  <w:style w:type="table" w:styleId="TableGrid">
    <w:name w:val="Table Grid"/>
    <w:basedOn w:val="TableNormal"/>
    <w:uiPriority w:val="39"/>
    <w:rsid w:val="00FC2E8D"/>
    <w:pPr>
      <w:spacing w:line="240" w:lineRule="auto"/>
    </w:pPr>
    <w:rPr>
      <w:rFonts w:eastAsia="MS Minch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8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8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C2E8D"/>
    <w:rPr>
      <w:sz w:val="16"/>
      <w:szCs w:val="16"/>
    </w:rPr>
  </w:style>
  <w:style w:type="character" w:customStyle="1" w:styleId="normaltextrun">
    <w:name w:val="normaltextrun"/>
    <w:basedOn w:val="DefaultParagraphFont"/>
    <w:rsid w:val="00FC2E8D"/>
  </w:style>
  <w:style w:type="table" w:styleId="TableGrid">
    <w:name w:val="Table Grid"/>
    <w:basedOn w:val="TableNormal"/>
    <w:uiPriority w:val="39"/>
    <w:rsid w:val="00FC2E8D"/>
    <w:pPr>
      <w:spacing w:line="240" w:lineRule="auto"/>
    </w:pPr>
    <w:rPr>
      <w:rFonts w:eastAsia="MS Minch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8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c:style val="2"/>
  <c:chart>
    <c:title>
      <c:tx>
        <c:rich>
          <a:bodyPr/>
          <a:lstStyle/>
          <a:p>
            <a:pPr lvl="0">
              <a:defRPr b="1" i="0">
                <a:solidFill>
                  <a:srgbClr val="757575"/>
                </a:solidFill>
                <a:latin typeface="+mn-lt"/>
              </a:defRPr>
            </a:pPr>
            <a:r>
              <a:rPr lang="en-US" sz="1200" b="1" i="0">
                <a:solidFill>
                  <a:srgbClr val="757575"/>
                </a:solidFill>
                <a:latin typeface="+mn-lt"/>
              </a:rPr>
              <a:t>Empiric antibiotic</a:t>
            </a:r>
            <a:r>
              <a:rPr lang="en-US" sz="1200" b="1" i="0" baseline="0">
                <a:solidFill>
                  <a:srgbClr val="757575"/>
                </a:solidFill>
                <a:latin typeface="+mn-lt"/>
              </a:rPr>
              <a:t> classes</a:t>
            </a:r>
            <a:endParaRPr lang="en-US" sz="1200" b="1" i="0">
              <a:solidFill>
                <a:srgbClr val="757575"/>
              </a:solidFill>
              <a:latin typeface="+mn-lt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222009905665558"/>
          <c:y val="0.12879878651532192"/>
          <c:w val="0.86709649787500409"/>
          <c:h val="0.65760984422401747"/>
        </c:manualLayout>
      </c:layout>
      <c:barChart>
        <c:barDir val="col"/>
        <c:grouping val="clustered"/>
        <c:varyColors val="1"/>
        <c:ser>
          <c:idx val="0"/>
          <c:order val="0"/>
          <c:tx>
            <c:v>No secondary</c:v>
          </c:tx>
          <c:spPr>
            <a:solidFill>
              <a:srgbClr val="4F81BD"/>
            </a:solidFill>
            <a:ln cmpd="sng">
              <a:solidFill>
                <a:srgbClr val="000000"/>
              </a:solidFill>
            </a:ln>
          </c:spPr>
          <c:invertIfNegative val="1"/>
          <c:cat>
            <c:strRef>
              <c:f>Sheet2!$AN$28:$AN$32</c:f>
              <c:strCache>
                <c:ptCount val="5"/>
                <c:pt idx="0">
                  <c:v>AZI</c:v>
                </c:pt>
                <c:pt idx="1">
                  <c:v>CTX</c:v>
                </c:pt>
                <c:pt idx="2">
                  <c:v>PIP</c:v>
                </c:pt>
                <c:pt idx="3">
                  <c:v>CEF</c:v>
                </c:pt>
                <c:pt idx="4">
                  <c:v>VAN</c:v>
                </c:pt>
              </c:strCache>
            </c:strRef>
          </c:cat>
          <c:val>
            <c:numRef>
              <c:f>Sheet2!$AO$40:$AO$44</c:f>
              <c:numCache>
                <c:formatCode>General</c:formatCode>
                <c:ptCount val="5"/>
                <c:pt idx="0">
                  <c:v>0.20689655172413793</c:v>
                </c:pt>
                <c:pt idx="1">
                  <c:v>0.22988505747126436</c:v>
                </c:pt>
                <c:pt idx="2">
                  <c:v>0.10344827586206896</c:v>
                </c:pt>
                <c:pt idx="3">
                  <c:v>3.4482758620689655E-2</c:v>
                </c:pt>
                <c:pt idx="4">
                  <c:v>0.14942528735632185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A47-B085-5F4DA9D80362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ser>
          <c:idx val="1"/>
          <c:order val="1"/>
          <c:tx>
            <c:v>Proven</c:v>
          </c:tx>
          <c:spPr>
            <a:solidFill>
              <a:srgbClr val="C0504D"/>
            </a:solidFill>
            <a:ln cmpd="sng">
              <a:solidFill>
                <a:srgbClr val="000000"/>
              </a:solidFill>
            </a:ln>
          </c:spPr>
          <c:invertIfNegative val="1"/>
          <c:cat>
            <c:strRef>
              <c:f>Sheet2!$AN$28:$AN$32</c:f>
              <c:strCache>
                <c:ptCount val="5"/>
                <c:pt idx="0">
                  <c:v>AZI</c:v>
                </c:pt>
                <c:pt idx="1">
                  <c:v>CTX</c:v>
                </c:pt>
                <c:pt idx="2">
                  <c:v>PIP</c:v>
                </c:pt>
                <c:pt idx="3">
                  <c:v>CEF</c:v>
                </c:pt>
                <c:pt idx="4">
                  <c:v>VAN</c:v>
                </c:pt>
              </c:strCache>
            </c:strRef>
          </c:cat>
          <c:val>
            <c:numRef>
              <c:f>Sheet2!$AO$28:$AO$32</c:f>
              <c:numCache>
                <c:formatCode>General</c:formatCode>
                <c:ptCount val="5"/>
                <c:pt idx="0">
                  <c:v>0.1875</c:v>
                </c:pt>
                <c:pt idx="1">
                  <c:v>0.1875</c:v>
                </c:pt>
                <c:pt idx="2">
                  <c:v>0.125</c:v>
                </c:pt>
                <c:pt idx="3">
                  <c:v>0.25</c:v>
                </c:pt>
                <c:pt idx="4">
                  <c:v>0.1875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A47-B085-5F4DA9D80362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ser>
          <c:idx val="2"/>
          <c:order val="2"/>
          <c:tx>
            <c:v>Possible</c:v>
          </c:tx>
          <c:spPr>
            <a:solidFill>
              <a:srgbClr val="9BBB59"/>
            </a:solidFill>
            <a:ln cmpd="sng">
              <a:solidFill>
                <a:srgbClr val="000000"/>
              </a:solidFill>
            </a:ln>
          </c:spPr>
          <c:invertIfNegative val="1"/>
          <c:cat>
            <c:strRef>
              <c:f>Sheet2!$AN$28:$AN$32</c:f>
              <c:strCache>
                <c:ptCount val="5"/>
                <c:pt idx="0">
                  <c:v>AZI</c:v>
                </c:pt>
                <c:pt idx="1">
                  <c:v>CTX</c:v>
                </c:pt>
                <c:pt idx="2">
                  <c:v>PIP</c:v>
                </c:pt>
                <c:pt idx="3">
                  <c:v>CEF</c:v>
                </c:pt>
                <c:pt idx="4">
                  <c:v>VAN</c:v>
                </c:pt>
              </c:strCache>
            </c:strRef>
          </c:cat>
          <c:val>
            <c:numRef>
              <c:f>Sheet2!$AO$34:$AO$38</c:f>
              <c:numCache>
                <c:formatCode>General</c:formatCode>
                <c:ptCount val="5"/>
                <c:pt idx="0">
                  <c:v>0.66666666666666663</c:v>
                </c:pt>
                <c:pt idx="1">
                  <c:v>0.66666666666666663</c:v>
                </c:pt>
                <c:pt idx="2">
                  <c:v>0.13333333333333333</c:v>
                </c:pt>
                <c:pt idx="3">
                  <c:v>0.2</c:v>
                </c:pt>
                <c:pt idx="4">
                  <c:v>0.26666666666666666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A47-B085-5F4DA9D80362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cmpd="sng">
                    <a:solidFill>
                      <a:srgbClr val="000000"/>
                    </a:solidFill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952512"/>
        <c:axId val="250413440"/>
      </c:barChart>
      <c:catAx>
        <c:axId val="2499525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en-US"/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 lvl="0">
              <a:defRPr b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250413440"/>
        <c:crosses val="autoZero"/>
        <c:auto val="1"/>
        <c:lblAlgn val="ctr"/>
        <c:lblOffset val="100"/>
        <c:noMultiLvlLbl val="1"/>
      </c:catAx>
      <c:valAx>
        <c:axId val="250413440"/>
        <c:scaling>
          <c:orientation val="minMax"/>
        </c:scaling>
        <c:delete val="0"/>
        <c:axPos val="l"/>
        <c:majorGridlines>
          <c:spPr>
            <a:ln>
              <a:solidFill>
                <a:srgbClr val="B7B7B7"/>
              </a:solidFill>
            </a:ln>
          </c:spPr>
        </c:majorGridlines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en-US"/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ln/>
        </c:spPr>
        <c:txPr>
          <a:bodyPr/>
          <a:lstStyle/>
          <a:p>
            <a:pPr lvl="0">
              <a:defRPr b="0">
                <a:solidFill>
                  <a:srgbClr val="000000"/>
                </a:solidFill>
                <a:latin typeface="+mn-lt"/>
              </a:defRPr>
            </a:pPr>
            <a:endParaRPr lang="en-US"/>
          </a:p>
        </c:txPr>
        <c:crossAx val="249952512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 lvl="0">
            <a:defRPr b="0">
              <a:solidFill>
                <a:srgbClr val="1A1A1A"/>
              </a:solidFill>
              <a:latin typeface="+mn-lt"/>
            </a:defRPr>
          </a:pPr>
          <a:endParaRPr lang="en-US"/>
        </a:p>
      </c:txPr>
    </c:legend>
    <c:plotVisOnly val="1"/>
    <c:dispBlanksAs val="zero"/>
    <c:showDLblsOverMax val="1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Hiro</cp:lastModifiedBy>
  <cp:revision>6</cp:revision>
  <dcterms:created xsi:type="dcterms:W3CDTF">2022-07-01T23:19:00Z</dcterms:created>
  <dcterms:modified xsi:type="dcterms:W3CDTF">2022-07-28T22:06:00Z</dcterms:modified>
</cp:coreProperties>
</file>