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C920" w14:textId="47DAC4DF" w:rsidR="009A0893" w:rsidRPr="009B7CD3" w:rsidRDefault="00092715" w:rsidP="009B7CD3">
      <w:pPr>
        <w:pStyle w:val="Titel"/>
        <w:spacing w:line="360" w:lineRule="auto"/>
        <w:jc w:val="both"/>
        <w:rPr>
          <w:rFonts w:ascii="Times New Roman" w:hAnsi="Times New Roman" w:cs="Times New Roman"/>
        </w:rPr>
      </w:pPr>
      <w:r w:rsidRPr="009B7CD3">
        <w:rPr>
          <w:rFonts w:ascii="Times New Roman" w:hAnsi="Times New Roman" w:cs="Times New Roman"/>
        </w:rPr>
        <w:t xml:space="preserve">Annex </w:t>
      </w:r>
      <w:r w:rsidR="00E053E0" w:rsidRPr="009B7CD3">
        <w:rPr>
          <w:rFonts w:ascii="Times New Roman" w:hAnsi="Times New Roman" w:cs="Times New Roman"/>
        </w:rPr>
        <w:t xml:space="preserve">to </w:t>
      </w:r>
      <w:r w:rsidR="00993386">
        <w:rPr>
          <w:rFonts w:ascii="Times New Roman" w:hAnsi="Times New Roman" w:cs="Times New Roman"/>
        </w:rPr>
        <w:t>‘Subsidiarity doesn’t win cases’</w:t>
      </w:r>
    </w:p>
    <w:p w14:paraId="09EA8A0C" w14:textId="76FCE1DA" w:rsidR="00A71BF2" w:rsidRPr="009B7CD3" w:rsidRDefault="00A71BF2" w:rsidP="009B7CD3">
      <w:pPr>
        <w:pStyle w:val="Overskrift1"/>
        <w:spacing w:line="360" w:lineRule="auto"/>
        <w:jc w:val="both"/>
        <w:rPr>
          <w:rFonts w:ascii="Times New Roman" w:hAnsi="Times New Roman" w:cs="Times New Roman"/>
        </w:rPr>
      </w:pPr>
      <w:r w:rsidRPr="009B7CD3">
        <w:rPr>
          <w:rFonts w:ascii="Times New Roman" w:hAnsi="Times New Roman" w:cs="Times New Roman"/>
        </w:rPr>
        <w:t>On the ECtHR’s own statistics</w:t>
      </w:r>
    </w:p>
    <w:p w14:paraId="7F7B4794" w14:textId="4C3D39E8" w:rsidR="00A71BF2" w:rsidRPr="009B7CD3" w:rsidRDefault="002A0926" w:rsidP="009B7CD3">
      <w:pPr>
        <w:spacing w:line="360" w:lineRule="auto"/>
        <w:jc w:val="both"/>
        <w:rPr>
          <w:rFonts w:ascii="Times New Roman" w:hAnsi="Times New Roman" w:cs="Times New Roman"/>
        </w:rPr>
      </w:pPr>
      <w:r w:rsidRPr="009B7CD3">
        <w:rPr>
          <w:rFonts w:ascii="Times New Roman" w:hAnsi="Times New Roman" w:cs="Times New Roman"/>
        </w:rPr>
        <w:t>I have gathered the Court’s own statistics in one dataset for easy presentation of summary statistics. The data are the statistics that</w:t>
      </w:r>
      <w:r w:rsidR="00A71BF2" w:rsidRPr="009B7CD3">
        <w:rPr>
          <w:rFonts w:ascii="Times New Roman" w:hAnsi="Times New Roman" w:cs="Times New Roman"/>
        </w:rPr>
        <w:t xml:space="preserve"> are </w:t>
      </w:r>
      <w:r w:rsidR="00455BB2" w:rsidRPr="009B7CD3">
        <w:rPr>
          <w:rFonts w:ascii="Times New Roman" w:hAnsi="Times New Roman" w:cs="Times New Roman"/>
        </w:rPr>
        <w:t xml:space="preserve">published yearly </w:t>
      </w:r>
      <w:r w:rsidR="008B3408" w:rsidRPr="009B7CD3">
        <w:rPr>
          <w:rFonts w:ascii="Times New Roman" w:hAnsi="Times New Roman" w:cs="Times New Roman"/>
        </w:rPr>
        <w:t xml:space="preserve">by the </w:t>
      </w:r>
      <w:r w:rsidR="00AB4AD7" w:rsidRPr="009B7CD3">
        <w:rPr>
          <w:rFonts w:ascii="Times New Roman" w:hAnsi="Times New Roman" w:cs="Times New Roman"/>
        </w:rPr>
        <w:t xml:space="preserve">Court </w:t>
      </w:r>
      <w:r w:rsidR="00205791" w:rsidRPr="009B7CD3">
        <w:rPr>
          <w:rFonts w:ascii="Times New Roman" w:hAnsi="Times New Roman" w:cs="Times New Roman"/>
        </w:rPr>
        <w:t>and contain information on pending cases and processed cases and whether cases have been processed</w:t>
      </w:r>
      <w:r w:rsidR="00C14146" w:rsidRPr="009B7CD3">
        <w:rPr>
          <w:rFonts w:ascii="Times New Roman" w:hAnsi="Times New Roman" w:cs="Times New Roman"/>
        </w:rPr>
        <w:t xml:space="preserve"> administratively or judicially</w:t>
      </w:r>
      <w:r w:rsidR="00100BFD" w:rsidRPr="009B7CD3">
        <w:rPr>
          <w:rFonts w:ascii="Times New Roman" w:hAnsi="Times New Roman" w:cs="Times New Roman"/>
        </w:rPr>
        <w:t xml:space="preserve">, and by which </w:t>
      </w:r>
      <w:r w:rsidR="00ED0456" w:rsidRPr="009B7CD3">
        <w:rPr>
          <w:rFonts w:ascii="Times New Roman" w:hAnsi="Times New Roman" w:cs="Times New Roman"/>
        </w:rPr>
        <w:t xml:space="preserve">type of judicial </w:t>
      </w:r>
      <w:r w:rsidR="00013FE2" w:rsidRPr="009B7CD3">
        <w:rPr>
          <w:rFonts w:ascii="Times New Roman" w:hAnsi="Times New Roman" w:cs="Times New Roman"/>
        </w:rPr>
        <w:t>formation.</w:t>
      </w:r>
      <w:r w:rsidR="008F7628" w:rsidRPr="009B7CD3">
        <w:rPr>
          <w:rFonts w:ascii="Times New Roman" w:hAnsi="Times New Roman" w:cs="Times New Roman"/>
        </w:rPr>
        <w:t xml:space="preserve"> They have changed over the years as the Court has also changed its policies on statistics and its </w:t>
      </w:r>
      <w:r w:rsidR="0079356F" w:rsidRPr="009B7CD3">
        <w:rPr>
          <w:rFonts w:ascii="Times New Roman" w:hAnsi="Times New Roman" w:cs="Times New Roman"/>
        </w:rPr>
        <w:t xml:space="preserve">working </w:t>
      </w:r>
      <w:r w:rsidR="004E164A" w:rsidRPr="009B7CD3">
        <w:rPr>
          <w:rFonts w:ascii="Times New Roman" w:hAnsi="Times New Roman" w:cs="Times New Roman"/>
        </w:rPr>
        <w:t xml:space="preserve">methods. There are a couple of </w:t>
      </w:r>
      <w:r w:rsidR="007C5D7D" w:rsidRPr="009B7CD3">
        <w:rPr>
          <w:rFonts w:ascii="Times New Roman" w:hAnsi="Times New Roman" w:cs="Times New Roman"/>
        </w:rPr>
        <w:t>Statistical overviews</w:t>
      </w:r>
      <w:r w:rsidR="00FE38D6" w:rsidRPr="009B7CD3">
        <w:rPr>
          <w:rFonts w:ascii="Times New Roman" w:hAnsi="Times New Roman" w:cs="Times New Roman"/>
        </w:rPr>
        <w:t xml:space="preserve"> for violations from different </w:t>
      </w:r>
      <w:r w:rsidRPr="009B7CD3">
        <w:rPr>
          <w:rFonts w:ascii="Times New Roman" w:hAnsi="Times New Roman" w:cs="Times New Roman"/>
        </w:rPr>
        <w:t xml:space="preserve">states 1959-2019 and simplified yearly ones which I have used to fill in a few blanks. A couple of blanks have also been filled in by </w:t>
      </w:r>
      <w:r w:rsidR="000D77ED" w:rsidRPr="009B7CD3">
        <w:rPr>
          <w:rFonts w:ascii="Times New Roman" w:hAnsi="Times New Roman" w:cs="Times New Roman"/>
        </w:rPr>
        <w:t>the numbers on early cases and inadmissible ones given by Ed Bates in</w:t>
      </w:r>
      <w:r w:rsidR="00EF186F" w:rsidRPr="009B7CD3">
        <w:rPr>
          <w:rFonts w:ascii="Times New Roman" w:hAnsi="Times New Roman" w:cs="Times New Roman"/>
        </w:rPr>
        <w:t xml:space="preserve"> </w:t>
      </w:r>
      <w:r w:rsidR="00082C5F" w:rsidRPr="00082C5F">
        <w:rPr>
          <w:rFonts w:ascii="Times New Roman" w:hAnsi="Times New Roman" w:cs="Times New Roman"/>
          <w:i/>
          <w:iCs/>
        </w:rPr>
        <w:t>t</w:t>
      </w:r>
      <w:r w:rsidR="00EF186F" w:rsidRPr="009B7CD3">
        <w:rPr>
          <w:rFonts w:ascii="Times New Roman" w:hAnsi="Times New Roman" w:cs="Times New Roman"/>
          <w:i/>
          <w:noProof/>
        </w:rPr>
        <w:t xml:space="preserve">he evolution of the european convention on human rights: From its inception to the creation of a permanent court of human rights  </w:t>
      </w:r>
      <w:r w:rsidR="00EF186F" w:rsidRPr="009B7CD3">
        <w:rPr>
          <w:rFonts w:ascii="Times New Roman" w:hAnsi="Times New Roman" w:cs="Times New Roman"/>
          <w:noProof/>
        </w:rPr>
        <w:t>(2010)</w:t>
      </w:r>
      <w:r w:rsidR="000D77ED" w:rsidRPr="009B7CD3">
        <w:rPr>
          <w:rFonts w:ascii="Times New Roman" w:hAnsi="Times New Roman" w:cs="Times New Roman"/>
        </w:rPr>
        <w:fldChar w:fldCharType="begin"/>
      </w:r>
      <w:r w:rsidR="000D77ED" w:rsidRPr="009B7CD3">
        <w:rPr>
          <w:rFonts w:ascii="Times New Roman" w:hAnsi="Times New Roman" w:cs="Times New Roman"/>
        </w:rPr>
        <w:instrText xml:space="preserve"> ADDIN EN.CITE &lt;EndNote&gt;&lt;Cite&gt;&lt;Author&gt;Bates&lt;/Author&gt;&lt;Year&gt;2010&lt;/Year&gt;&lt;RecNum&gt;1157&lt;/RecNum&gt;&lt;record&gt;&lt;rec-number&gt;1157&lt;/rec-number&gt;&lt;foreign-keys&gt;&lt;key app="EN" db-id="ar25ddw9azerp9e55w4x9rrkwwtx00w92xar" timestamp="1591604049"&gt;1157&lt;/key&gt;&lt;/foreign-keys&gt;&lt;ref-type name="Book"&gt;6&lt;/ref-type&gt;&lt;contributors&gt;&lt;authors&gt;&lt;author&gt;Bates, Ed&lt;/author&gt;&lt;/authors&gt;&lt;/contributors&gt;&lt;titles&gt;&lt;title&gt;The evolution of the European Convention on Human Rights: from its inception to the creation of a permanent court of human rights&lt;/title&gt;&lt;/titles&gt;&lt;dates&gt;&lt;year&gt;2010&lt;/year&gt;&lt;/dates&gt;&lt;publisher&gt;Oxford University Press&lt;/publisher&gt;&lt;isbn&gt;0199207992&lt;/isbn&gt;&lt;urls&gt;&lt;/urls&gt;&lt;/record&gt;&lt;/Cite&gt;&lt;/EndNote&gt;</w:instrText>
      </w:r>
      <w:r w:rsidR="00B8406E">
        <w:rPr>
          <w:rFonts w:ascii="Times New Roman" w:hAnsi="Times New Roman" w:cs="Times New Roman"/>
        </w:rPr>
        <w:fldChar w:fldCharType="separate"/>
      </w:r>
      <w:r w:rsidR="000D77ED" w:rsidRPr="009B7CD3">
        <w:rPr>
          <w:rFonts w:ascii="Times New Roman" w:hAnsi="Times New Roman" w:cs="Times New Roman"/>
        </w:rPr>
        <w:fldChar w:fldCharType="end"/>
      </w:r>
      <w:r w:rsidRPr="009B7CD3">
        <w:rPr>
          <w:rFonts w:ascii="Times New Roman" w:hAnsi="Times New Roman" w:cs="Times New Roman"/>
        </w:rPr>
        <w:t>.</w:t>
      </w:r>
      <w:r w:rsidR="00013FE2" w:rsidRPr="009B7CD3">
        <w:rPr>
          <w:rFonts w:ascii="Times New Roman" w:hAnsi="Times New Roman" w:cs="Times New Roman"/>
        </w:rPr>
        <w:t xml:space="preserve"> The</w:t>
      </w:r>
      <w:r w:rsidRPr="009B7CD3">
        <w:rPr>
          <w:rFonts w:ascii="Times New Roman" w:hAnsi="Times New Roman" w:cs="Times New Roman"/>
        </w:rPr>
        <w:t xml:space="preserve"> bulk of the data</w:t>
      </w:r>
      <w:r w:rsidR="00EF186F" w:rsidRPr="009B7CD3">
        <w:rPr>
          <w:rFonts w:ascii="Times New Roman" w:hAnsi="Times New Roman" w:cs="Times New Roman"/>
        </w:rPr>
        <w:t xml:space="preserve"> is made up however by the Courts yearly</w:t>
      </w:r>
      <w:r w:rsidR="00013FE2" w:rsidRPr="009B7CD3">
        <w:rPr>
          <w:rFonts w:ascii="Times New Roman" w:hAnsi="Times New Roman" w:cs="Times New Roman"/>
        </w:rPr>
        <w:t xml:space="preserve"> </w:t>
      </w:r>
      <w:r w:rsidR="004A253D" w:rsidRPr="009B7CD3">
        <w:rPr>
          <w:rFonts w:ascii="Times New Roman" w:hAnsi="Times New Roman" w:cs="Times New Roman"/>
        </w:rPr>
        <w:t>statistics</w:t>
      </w:r>
      <w:r w:rsidR="00EF186F" w:rsidRPr="009B7CD3">
        <w:rPr>
          <w:rFonts w:ascii="Times New Roman" w:hAnsi="Times New Roman" w:cs="Times New Roman"/>
        </w:rPr>
        <w:t xml:space="preserve"> reports whic</w:t>
      </w:r>
      <w:r w:rsidR="00BF0667">
        <w:rPr>
          <w:rFonts w:ascii="Times New Roman" w:hAnsi="Times New Roman" w:cs="Times New Roman"/>
        </w:rPr>
        <w:t>h</w:t>
      </w:r>
      <w:r w:rsidR="004A253D" w:rsidRPr="009B7CD3">
        <w:rPr>
          <w:rFonts w:ascii="Times New Roman" w:hAnsi="Times New Roman" w:cs="Times New Roman"/>
        </w:rPr>
        <w:t xml:space="preserve"> have been published consistently since 2006, </w:t>
      </w:r>
      <w:r w:rsidR="00EF186F" w:rsidRPr="009B7CD3">
        <w:rPr>
          <w:rFonts w:ascii="Times New Roman" w:hAnsi="Times New Roman" w:cs="Times New Roman"/>
        </w:rPr>
        <w:t>though</w:t>
      </w:r>
      <w:r w:rsidR="00F92132" w:rsidRPr="009B7CD3">
        <w:rPr>
          <w:rFonts w:ascii="Times New Roman" w:hAnsi="Times New Roman" w:cs="Times New Roman"/>
        </w:rPr>
        <w:t xml:space="preserve"> unilateral declarations and </w:t>
      </w:r>
      <w:r w:rsidR="00C42B45" w:rsidRPr="009B7CD3">
        <w:rPr>
          <w:rFonts w:ascii="Times New Roman" w:hAnsi="Times New Roman" w:cs="Times New Roman"/>
        </w:rPr>
        <w:t>friendly settlements have for example only been included since 2009</w:t>
      </w:r>
      <w:r w:rsidR="008F7628" w:rsidRPr="009B7CD3">
        <w:rPr>
          <w:rFonts w:ascii="Times New Roman" w:hAnsi="Times New Roman" w:cs="Times New Roman"/>
        </w:rPr>
        <w:t xml:space="preserve">. </w:t>
      </w:r>
    </w:p>
    <w:p w14:paraId="5068B4DA" w14:textId="05BEB03A" w:rsidR="00E053E0" w:rsidRPr="009B7CD3" w:rsidRDefault="00E053E0" w:rsidP="009B7CD3">
      <w:pPr>
        <w:pStyle w:val="Overskrift1"/>
        <w:spacing w:line="360" w:lineRule="auto"/>
        <w:jc w:val="both"/>
        <w:rPr>
          <w:rFonts w:ascii="Times New Roman" w:hAnsi="Times New Roman" w:cs="Times New Roman"/>
        </w:rPr>
      </w:pPr>
      <w:r w:rsidRPr="009B7CD3">
        <w:rPr>
          <w:rFonts w:ascii="Times New Roman" w:hAnsi="Times New Roman" w:cs="Times New Roman"/>
        </w:rPr>
        <w:t>On the HUDOC</w:t>
      </w:r>
      <w:r w:rsidR="00232666" w:rsidRPr="009B7CD3">
        <w:rPr>
          <w:rFonts w:ascii="Times New Roman" w:hAnsi="Times New Roman" w:cs="Times New Roman"/>
        </w:rPr>
        <w:t xml:space="preserve"> searches</w:t>
      </w:r>
    </w:p>
    <w:p w14:paraId="0953F745" w14:textId="015ADF31" w:rsidR="009869A5" w:rsidRPr="009B7CD3" w:rsidRDefault="00CF6221" w:rsidP="009B7CD3">
      <w:pPr>
        <w:spacing w:line="360" w:lineRule="auto"/>
        <w:jc w:val="both"/>
        <w:rPr>
          <w:rFonts w:ascii="Times New Roman" w:hAnsi="Times New Roman" w:cs="Times New Roman"/>
        </w:rPr>
      </w:pPr>
      <w:r w:rsidRPr="009B7CD3">
        <w:rPr>
          <w:rFonts w:ascii="Times New Roman" w:hAnsi="Times New Roman" w:cs="Times New Roman"/>
        </w:rPr>
        <w:t>The data taken from the HUDOC database have been updated latest on 1.1.202</w:t>
      </w:r>
      <w:r w:rsidR="0077747F">
        <w:rPr>
          <w:rFonts w:ascii="Times New Roman" w:hAnsi="Times New Roman" w:cs="Times New Roman"/>
        </w:rPr>
        <w:t>2</w:t>
      </w:r>
      <w:r w:rsidRPr="009B7CD3">
        <w:rPr>
          <w:rFonts w:ascii="Times New Roman" w:hAnsi="Times New Roman" w:cs="Times New Roman"/>
        </w:rPr>
        <w:t xml:space="preserve">. These searches simply use the HUDOC’s own advanced search module </w:t>
      </w:r>
      <w:r w:rsidR="009B6F98" w:rsidRPr="009B7CD3">
        <w:rPr>
          <w:rFonts w:ascii="Times New Roman" w:hAnsi="Times New Roman" w:cs="Times New Roman"/>
        </w:rPr>
        <w:t xml:space="preserve">and </w:t>
      </w:r>
      <w:r w:rsidR="00145CD3" w:rsidRPr="009B7CD3">
        <w:rPr>
          <w:rFonts w:ascii="Times New Roman" w:hAnsi="Times New Roman" w:cs="Times New Roman"/>
        </w:rPr>
        <w:t xml:space="preserve">notes the information for each year </w:t>
      </w:r>
      <w:proofErr w:type="gramStart"/>
      <w:r w:rsidR="00A6763D" w:rsidRPr="009B7CD3">
        <w:rPr>
          <w:rFonts w:ascii="Times New Roman" w:hAnsi="Times New Roman" w:cs="Times New Roman"/>
        </w:rPr>
        <w:t>in order to</w:t>
      </w:r>
      <w:proofErr w:type="gramEnd"/>
      <w:r w:rsidR="00A6763D" w:rsidRPr="009B7CD3">
        <w:rPr>
          <w:rFonts w:ascii="Times New Roman" w:hAnsi="Times New Roman" w:cs="Times New Roman"/>
        </w:rPr>
        <w:t xml:space="preserve"> create simple </w:t>
      </w:r>
      <w:r w:rsidR="00CA7D48" w:rsidRPr="009B7CD3">
        <w:rPr>
          <w:rFonts w:ascii="Times New Roman" w:hAnsi="Times New Roman" w:cs="Times New Roman"/>
        </w:rPr>
        <w:t xml:space="preserve">descriptive statistics. </w:t>
      </w:r>
      <w:r w:rsidR="00854525">
        <w:rPr>
          <w:rFonts w:ascii="Times New Roman" w:hAnsi="Times New Roman" w:cs="Times New Roman"/>
        </w:rPr>
        <w:t xml:space="preserve">In this dataset, and in general, I differentiate between ‘margin of appreciation’ keywords and ‘margin of appreciation’ </w:t>
      </w:r>
      <w:proofErr w:type="spellStart"/>
      <w:r w:rsidR="00854525">
        <w:rPr>
          <w:rFonts w:ascii="Times New Roman" w:hAnsi="Times New Roman" w:cs="Times New Roman"/>
        </w:rPr>
        <w:t>searchwords</w:t>
      </w:r>
      <w:proofErr w:type="spellEnd"/>
      <w:r w:rsidR="00854525">
        <w:rPr>
          <w:rFonts w:ascii="Times New Roman" w:hAnsi="Times New Roman" w:cs="Times New Roman"/>
        </w:rPr>
        <w:t>. The keywords are allocated by the administrators of the HUDOC</w:t>
      </w:r>
      <w:r w:rsidR="004F24F7">
        <w:rPr>
          <w:rFonts w:ascii="Times New Roman" w:hAnsi="Times New Roman" w:cs="Times New Roman"/>
        </w:rPr>
        <w:t xml:space="preserve"> database, while searching for ‘margin of appreciation’ or ‘margin of discretion’ picks up all the cases where these phrases are mentioned somewhere in the judgment or separate opinion. </w:t>
      </w:r>
      <w:r w:rsidR="0035685C">
        <w:rPr>
          <w:rFonts w:ascii="Times New Roman" w:hAnsi="Times New Roman" w:cs="Times New Roman"/>
        </w:rPr>
        <w:t xml:space="preserve">All the empirical studies dealing with the margin of appreciation which are cited in this article </w:t>
      </w:r>
      <w:r w:rsidR="00B91E83">
        <w:rPr>
          <w:rFonts w:ascii="Times New Roman" w:hAnsi="Times New Roman" w:cs="Times New Roman"/>
        </w:rPr>
        <w:t xml:space="preserve">rely on the </w:t>
      </w:r>
      <w:proofErr w:type="spellStart"/>
      <w:r w:rsidR="00B91E83">
        <w:rPr>
          <w:rFonts w:ascii="Times New Roman" w:hAnsi="Times New Roman" w:cs="Times New Roman"/>
        </w:rPr>
        <w:t>searchword</w:t>
      </w:r>
      <w:proofErr w:type="spellEnd"/>
      <w:r w:rsidR="00B91E83">
        <w:rPr>
          <w:rFonts w:ascii="Times New Roman" w:hAnsi="Times New Roman" w:cs="Times New Roman"/>
        </w:rPr>
        <w:t xml:space="preserve"> approach rather than the allocated keywords.</w:t>
      </w:r>
      <w:r w:rsidR="0035685C">
        <w:rPr>
          <w:rFonts w:ascii="Times New Roman" w:hAnsi="Times New Roman" w:cs="Times New Roman"/>
        </w:rPr>
        <w:t xml:space="preserve"> </w:t>
      </w:r>
      <w:r w:rsidR="00CA7D48" w:rsidRPr="009B7CD3">
        <w:rPr>
          <w:rFonts w:ascii="Times New Roman" w:hAnsi="Times New Roman" w:cs="Times New Roman"/>
        </w:rPr>
        <w:t>It does not really make sense to make summary statistics on these searches in the usual way</w:t>
      </w:r>
      <w:r w:rsidR="00F63060" w:rsidRPr="009B7CD3">
        <w:rPr>
          <w:rFonts w:ascii="Times New Roman" w:hAnsi="Times New Roman" w:cs="Times New Roman"/>
        </w:rPr>
        <w:t xml:space="preserve"> since they are not tru</w:t>
      </w:r>
      <w:r w:rsidR="009869A5" w:rsidRPr="009B7CD3">
        <w:rPr>
          <w:rFonts w:ascii="Times New Roman" w:hAnsi="Times New Roman" w:cs="Times New Roman"/>
        </w:rPr>
        <w:t>l</w:t>
      </w:r>
      <w:r w:rsidR="004D3DDA">
        <w:rPr>
          <w:rFonts w:ascii="Times New Roman" w:hAnsi="Times New Roman" w:cs="Times New Roman"/>
        </w:rPr>
        <w:t>y samples</w:t>
      </w:r>
      <w:r w:rsidR="009869A5" w:rsidRPr="009B7CD3">
        <w:rPr>
          <w:rFonts w:ascii="Times New Roman" w:hAnsi="Times New Roman" w:cs="Times New Roman"/>
        </w:rPr>
        <w:t xml:space="preserve"> and are therefore used mainly for descriptive purposes in this article. Here are non-the-less some general information about the HUDOC dataset as of 1.1.202</w:t>
      </w:r>
      <w:r w:rsidR="0077747F">
        <w:rPr>
          <w:rFonts w:ascii="Times New Roman" w:hAnsi="Times New Roman" w:cs="Times New Roman"/>
        </w:rPr>
        <w:t>2</w:t>
      </w:r>
      <w:r w:rsidR="009869A5" w:rsidRPr="009B7CD3">
        <w:rPr>
          <w:rFonts w:ascii="Times New Roman" w:hAnsi="Times New Roman" w:cs="Times New Roman"/>
        </w:rPr>
        <w:t>.</w:t>
      </w:r>
    </w:p>
    <w:tbl>
      <w:tblPr>
        <w:tblW w:w="9013" w:type="dxa"/>
        <w:tblLook w:val="04A0" w:firstRow="1" w:lastRow="0" w:firstColumn="1" w:lastColumn="0" w:noHBand="0" w:noVBand="1"/>
      </w:tblPr>
      <w:tblGrid>
        <w:gridCol w:w="7799"/>
        <w:gridCol w:w="1214"/>
      </w:tblGrid>
      <w:tr w:rsidR="00E359E0" w:rsidRPr="009B7CD3" w14:paraId="7CC4A677" w14:textId="77777777" w:rsidTr="00A71BF2">
        <w:trPr>
          <w:trHeight w:val="327"/>
        </w:trPr>
        <w:tc>
          <w:tcPr>
            <w:tcW w:w="7799" w:type="dxa"/>
            <w:tcBorders>
              <w:top w:val="nil"/>
              <w:left w:val="nil"/>
              <w:bottom w:val="nil"/>
              <w:right w:val="nil"/>
            </w:tcBorders>
            <w:shd w:val="clear" w:color="auto" w:fill="auto"/>
            <w:noWrap/>
            <w:vAlign w:val="bottom"/>
            <w:hideMark/>
          </w:tcPr>
          <w:p w14:paraId="15589A1A"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Total judgments</w:t>
            </w:r>
          </w:p>
        </w:tc>
        <w:tc>
          <w:tcPr>
            <w:tcW w:w="1214" w:type="dxa"/>
            <w:tcBorders>
              <w:top w:val="nil"/>
              <w:left w:val="nil"/>
              <w:bottom w:val="nil"/>
              <w:right w:val="nil"/>
            </w:tcBorders>
            <w:shd w:val="clear" w:color="auto" w:fill="auto"/>
            <w:noWrap/>
            <w:vAlign w:val="bottom"/>
            <w:hideMark/>
          </w:tcPr>
          <w:p w14:paraId="031CA3CD"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24564</w:t>
            </w:r>
          </w:p>
        </w:tc>
      </w:tr>
      <w:tr w:rsidR="00E359E0" w:rsidRPr="009B7CD3" w14:paraId="3610742D" w14:textId="77777777" w:rsidTr="00A71BF2">
        <w:trPr>
          <w:trHeight w:val="327"/>
        </w:trPr>
        <w:tc>
          <w:tcPr>
            <w:tcW w:w="7799" w:type="dxa"/>
            <w:tcBorders>
              <w:top w:val="nil"/>
              <w:left w:val="nil"/>
              <w:bottom w:val="nil"/>
              <w:right w:val="nil"/>
            </w:tcBorders>
            <w:shd w:val="clear" w:color="auto" w:fill="auto"/>
            <w:noWrap/>
            <w:vAlign w:val="bottom"/>
            <w:hideMark/>
          </w:tcPr>
          <w:p w14:paraId="1F332FE0"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Total decisions</w:t>
            </w:r>
          </w:p>
        </w:tc>
        <w:tc>
          <w:tcPr>
            <w:tcW w:w="1214" w:type="dxa"/>
            <w:tcBorders>
              <w:top w:val="nil"/>
              <w:left w:val="nil"/>
              <w:bottom w:val="nil"/>
              <w:right w:val="nil"/>
            </w:tcBorders>
            <w:shd w:val="clear" w:color="auto" w:fill="auto"/>
            <w:noWrap/>
            <w:vAlign w:val="bottom"/>
            <w:hideMark/>
          </w:tcPr>
          <w:p w14:paraId="09C06C89"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28867</w:t>
            </w:r>
          </w:p>
        </w:tc>
      </w:tr>
      <w:tr w:rsidR="00E359E0" w:rsidRPr="009B7CD3" w14:paraId="775CEF84" w14:textId="77777777" w:rsidTr="00A71BF2">
        <w:trPr>
          <w:trHeight w:val="327"/>
        </w:trPr>
        <w:tc>
          <w:tcPr>
            <w:tcW w:w="7799" w:type="dxa"/>
            <w:tcBorders>
              <w:top w:val="nil"/>
              <w:left w:val="nil"/>
              <w:bottom w:val="nil"/>
              <w:right w:val="nil"/>
            </w:tcBorders>
            <w:shd w:val="clear" w:color="auto" w:fill="auto"/>
            <w:noWrap/>
            <w:vAlign w:val="bottom"/>
            <w:hideMark/>
          </w:tcPr>
          <w:p w14:paraId="3045A2DD"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Total judgments mentioning the margin of appreciation</w:t>
            </w:r>
          </w:p>
        </w:tc>
        <w:tc>
          <w:tcPr>
            <w:tcW w:w="1214" w:type="dxa"/>
            <w:tcBorders>
              <w:top w:val="nil"/>
              <w:left w:val="nil"/>
              <w:bottom w:val="nil"/>
              <w:right w:val="nil"/>
            </w:tcBorders>
            <w:shd w:val="clear" w:color="auto" w:fill="auto"/>
            <w:noWrap/>
            <w:vAlign w:val="bottom"/>
            <w:hideMark/>
          </w:tcPr>
          <w:p w14:paraId="7A85BAD1"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2731</w:t>
            </w:r>
          </w:p>
        </w:tc>
      </w:tr>
      <w:tr w:rsidR="00E359E0" w:rsidRPr="009B7CD3" w14:paraId="340360D4" w14:textId="77777777" w:rsidTr="00A71BF2">
        <w:trPr>
          <w:trHeight w:val="327"/>
        </w:trPr>
        <w:tc>
          <w:tcPr>
            <w:tcW w:w="7799" w:type="dxa"/>
            <w:tcBorders>
              <w:top w:val="nil"/>
              <w:left w:val="nil"/>
              <w:bottom w:val="nil"/>
              <w:right w:val="nil"/>
            </w:tcBorders>
            <w:shd w:val="clear" w:color="auto" w:fill="auto"/>
            <w:noWrap/>
            <w:vAlign w:val="bottom"/>
            <w:hideMark/>
          </w:tcPr>
          <w:p w14:paraId="435D8414"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Total decisions mentioning the margin of appreciation</w:t>
            </w:r>
          </w:p>
        </w:tc>
        <w:tc>
          <w:tcPr>
            <w:tcW w:w="1214" w:type="dxa"/>
            <w:tcBorders>
              <w:top w:val="nil"/>
              <w:left w:val="nil"/>
              <w:bottom w:val="nil"/>
              <w:right w:val="nil"/>
            </w:tcBorders>
            <w:shd w:val="clear" w:color="auto" w:fill="auto"/>
            <w:noWrap/>
            <w:vAlign w:val="bottom"/>
            <w:hideMark/>
          </w:tcPr>
          <w:p w14:paraId="75A0C71C"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1928</w:t>
            </w:r>
          </w:p>
        </w:tc>
      </w:tr>
      <w:tr w:rsidR="00E359E0" w:rsidRPr="009B7CD3" w14:paraId="5E4B2501" w14:textId="77777777" w:rsidTr="00A71BF2">
        <w:trPr>
          <w:trHeight w:val="327"/>
        </w:trPr>
        <w:tc>
          <w:tcPr>
            <w:tcW w:w="7799" w:type="dxa"/>
            <w:tcBorders>
              <w:top w:val="nil"/>
              <w:left w:val="nil"/>
              <w:bottom w:val="nil"/>
              <w:right w:val="nil"/>
            </w:tcBorders>
            <w:shd w:val="clear" w:color="auto" w:fill="auto"/>
            <w:noWrap/>
            <w:vAlign w:val="bottom"/>
            <w:hideMark/>
          </w:tcPr>
          <w:p w14:paraId="00A66EF9"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 xml:space="preserve">Total judgments and decisions with margin of appreciation </w:t>
            </w:r>
            <w:proofErr w:type="gramStart"/>
            <w:r w:rsidRPr="009B7CD3">
              <w:rPr>
                <w:rFonts w:ascii="Times New Roman" w:eastAsia="Times New Roman" w:hAnsi="Times New Roman" w:cs="Times New Roman"/>
                <w:color w:val="000000"/>
                <w:lang w:eastAsia="en-GB"/>
              </w:rPr>
              <w:t>key-word</w:t>
            </w:r>
            <w:proofErr w:type="gramEnd"/>
          </w:p>
        </w:tc>
        <w:tc>
          <w:tcPr>
            <w:tcW w:w="1214" w:type="dxa"/>
            <w:tcBorders>
              <w:top w:val="nil"/>
              <w:left w:val="nil"/>
              <w:bottom w:val="nil"/>
              <w:right w:val="nil"/>
            </w:tcBorders>
            <w:shd w:val="clear" w:color="auto" w:fill="auto"/>
            <w:noWrap/>
            <w:vAlign w:val="bottom"/>
            <w:hideMark/>
          </w:tcPr>
          <w:p w14:paraId="0BFC04A7" w14:textId="77777777" w:rsidR="00E359E0" w:rsidRPr="009B7CD3" w:rsidRDefault="00E359E0" w:rsidP="009B7CD3">
            <w:pPr>
              <w:spacing w:after="0" w:line="360" w:lineRule="auto"/>
              <w:jc w:val="both"/>
              <w:rPr>
                <w:rFonts w:ascii="Times New Roman" w:eastAsia="Times New Roman" w:hAnsi="Times New Roman" w:cs="Times New Roman"/>
                <w:color w:val="000000"/>
                <w:lang w:eastAsia="en-GB"/>
              </w:rPr>
            </w:pPr>
            <w:r w:rsidRPr="009B7CD3">
              <w:rPr>
                <w:rFonts w:ascii="Times New Roman" w:eastAsia="Times New Roman" w:hAnsi="Times New Roman" w:cs="Times New Roman"/>
                <w:color w:val="000000"/>
                <w:lang w:eastAsia="en-GB"/>
              </w:rPr>
              <w:t>1097</w:t>
            </w:r>
          </w:p>
        </w:tc>
      </w:tr>
    </w:tbl>
    <w:p w14:paraId="729C84FC" w14:textId="03D76E66" w:rsidR="009869A5" w:rsidRPr="009B7CD3" w:rsidRDefault="009869A5" w:rsidP="009B7CD3">
      <w:pPr>
        <w:spacing w:line="360" w:lineRule="auto"/>
        <w:jc w:val="both"/>
        <w:rPr>
          <w:rFonts w:ascii="Times New Roman" w:hAnsi="Times New Roman" w:cs="Times New Roman"/>
        </w:rPr>
      </w:pPr>
    </w:p>
    <w:p w14:paraId="7AB2DE5F" w14:textId="2E2BAA48" w:rsidR="00E359E0" w:rsidRPr="009B7CD3" w:rsidRDefault="00E359E0" w:rsidP="009B7CD3">
      <w:pPr>
        <w:spacing w:line="360" w:lineRule="auto"/>
        <w:jc w:val="both"/>
        <w:rPr>
          <w:rFonts w:ascii="Times New Roman" w:hAnsi="Times New Roman" w:cs="Times New Roman"/>
        </w:rPr>
      </w:pPr>
      <w:r w:rsidRPr="009B7CD3">
        <w:rPr>
          <w:rFonts w:ascii="Times New Roman" w:hAnsi="Times New Roman" w:cs="Times New Roman"/>
        </w:rPr>
        <w:t xml:space="preserve">Development of margin </w:t>
      </w:r>
      <w:proofErr w:type="gramStart"/>
      <w:r w:rsidRPr="009B7CD3">
        <w:rPr>
          <w:rFonts w:ascii="Times New Roman" w:hAnsi="Times New Roman" w:cs="Times New Roman"/>
        </w:rPr>
        <w:t>key-words</w:t>
      </w:r>
      <w:proofErr w:type="gramEnd"/>
      <w:r w:rsidRPr="009B7CD3">
        <w:rPr>
          <w:rFonts w:ascii="Times New Roman" w:hAnsi="Times New Roman" w:cs="Times New Roman"/>
        </w:rPr>
        <w:t xml:space="preserve"> and </w:t>
      </w:r>
      <w:r w:rsidR="00F15AB5" w:rsidRPr="009B7CD3">
        <w:rPr>
          <w:rFonts w:ascii="Times New Roman" w:hAnsi="Times New Roman" w:cs="Times New Roman"/>
        </w:rPr>
        <w:t>textual appearances over time in absolute numbers:</w:t>
      </w:r>
    </w:p>
    <w:p w14:paraId="5C3048EC" w14:textId="18663E75" w:rsidR="0082523B" w:rsidRPr="009B7CD3" w:rsidRDefault="0082523B" w:rsidP="009B7CD3">
      <w:pPr>
        <w:spacing w:line="360" w:lineRule="auto"/>
        <w:jc w:val="both"/>
        <w:rPr>
          <w:rFonts w:ascii="Times New Roman" w:hAnsi="Times New Roman" w:cs="Times New Roman"/>
        </w:rPr>
      </w:pPr>
      <w:r w:rsidRPr="009B7CD3">
        <w:rPr>
          <w:rFonts w:ascii="Times New Roman" w:hAnsi="Times New Roman" w:cs="Times New Roman"/>
          <w:noProof/>
        </w:rPr>
        <w:lastRenderedPageBreak/>
        <w:drawing>
          <wp:inline distT="0" distB="0" distL="0" distR="0" wp14:anchorId="2576D22B" wp14:editId="4DC535A4">
            <wp:extent cx="5982056" cy="2743200"/>
            <wp:effectExtent l="0" t="0" r="0" b="0"/>
            <wp:docPr id="1" name="Diagram 1">
              <a:extLst xmlns:a="http://schemas.openxmlformats.org/drawingml/2006/main">
                <a:ext uri="{FF2B5EF4-FFF2-40B4-BE49-F238E27FC236}">
                  <a16:creationId xmlns:a16="http://schemas.microsoft.com/office/drawing/2014/main" id="{B1D671E2-4BB9-4843-8003-F86091CF6D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B02F7B7" w14:textId="1EC4F4A4" w:rsidR="00E96CA3" w:rsidRPr="009B7CD3" w:rsidRDefault="00E96CA3" w:rsidP="009B7CD3">
      <w:pPr>
        <w:spacing w:line="360" w:lineRule="auto"/>
        <w:jc w:val="both"/>
        <w:rPr>
          <w:rFonts w:ascii="Times New Roman" w:hAnsi="Times New Roman" w:cs="Times New Roman"/>
        </w:rPr>
      </w:pPr>
      <w:r w:rsidRPr="009B7CD3">
        <w:rPr>
          <w:rFonts w:ascii="Times New Roman" w:hAnsi="Times New Roman" w:cs="Times New Roman"/>
        </w:rPr>
        <w:t xml:space="preserve">Development in margin </w:t>
      </w:r>
      <w:proofErr w:type="gramStart"/>
      <w:r w:rsidR="0015329D" w:rsidRPr="009B7CD3">
        <w:rPr>
          <w:rFonts w:ascii="Times New Roman" w:hAnsi="Times New Roman" w:cs="Times New Roman"/>
        </w:rPr>
        <w:t>key-words</w:t>
      </w:r>
      <w:proofErr w:type="gramEnd"/>
      <w:r w:rsidR="0015329D" w:rsidRPr="009B7CD3">
        <w:rPr>
          <w:rFonts w:ascii="Times New Roman" w:hAnsi="Times New Roman" w:cs="Times New Roman"/>
        </w:rPr>
        <w:t xml:space="preserve"> and textual appearances over time compared to number of judgments and decisions</w:t>
      </w:r>
    </w:p>
    <w:p w14:paraId="04E9EBA8" w14:textId="1889082B" w:rsidR="0015329D" w:rsidRPr="009B7CD3" w:rsidRDefault="004D2EA6" w:rsidP="009B7CD3">
      <w:pPr>
        <w:spacing w:line="360" w:lineRule="auto"/>
        <w:jc w:val="both"/>
        <w:rPr>
          <w:rFonts w:ascii="Times New Roman" w:hAnsi="Times New Roman" w:cs="Times New Roman"/>
        </w:rPr>
      </w:pPr>
      <w:r w:rsidRPr="009B7CD3">
        <w:rPr>
          <w:rFonts w:ascii="Times New Roman" w:hAnsi="Times New Roman" w:cs="Times New Roman"/>
          <w:noProof/>
        </w:rPr>
        <w:drawing>
          <wp:inline distT="0" distB="0" distL="0" distR="0" wp14:anchorId="5C0B188F" wp14:editId="1175C6EC">
            <wp:extent cx="5879465" cy="2709017"/>
            <wp:effectExtent l="0" t="0" r="6985" b="15240"/>
            <wp:docPr id="3" name="Diagram 3">
              <a:extLst xmlns:a="http://schemas.openxmlformats.org/drawingml/2006/main">
                <a:ext uri="{FF2B5EF4-FFF2-40B4-BE49-F238E27FC236}">
                  <a16:creationId xmlns:a16="http://schemas.microsoft.com/office/drawing/2014/main" id="{D21F1D4D-2FDE-45F3-B1CA-839923C1E9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FFA220E" w14:textId="1564426D" w:rsidR="000E6F06" w:rsidRDefault="000E6F06" w:rsidP="000E6F06">
      <w:pPr>
        <w:pStyle w:val="Overskrift1"/>
        <w:spacing w:line="360" w:lineRule="auto"/>
        <w:jc w:val="both"/>
        <w:rPr>
          <w:rFonts w:ascii="Times New Roman" w:hAnsi="Times New Roman" w:cs="Times New Roman"/>
        </w:rPr>
      </w:pPr>
      <w:r w:rsidRPr="009B7CD3">
        <w:rPr>
          <w:rFonts w:ascii="Times New Roman" w:hAnsi="Times New Roman" w:cs="Times New Roman"/>
        </w:rPr>
        <w:t xml:space="preserve">On </w:t>
      </w:r>
      <w:r w:rsidR="0077263F">
        <w:rPr>
          <w:rFonts w:ascii="Times New Roman" w:hAnsi="Times New Roman" w:cs="Times New Roman"/>
        </w:rPr>
        <w:t>the</w:t>
      </w:r>
      <w:r w:rsidR="00635D8B">
        <w:rPr>
          <w:rFonts w:ascii="Times New Roman" w:hAnsi="Times New Roman" w:cs="Times New Roman"/>
        </w:rPr>
        <w:t xml:space="preserve"> dataset of 21</w:t>
      </w:r>
      <w:r w:rsidR="0062789C">
        <w:rPr>
          <w:rFonts w:ascii="Times New Roman" w:hAnsi="Times New Roman" w:cs="Times New Roman"/>
        </w:rPr>
        <w:t>954 cases</w:t>
      </w:r>
    </w:p>
    <w:p w14:paraId="4255082B" w14:textId="49ADC125" w:rsidR="00537811" w:rsidRDefault="00537811" w:rsidP="00537811">
      <w:r>
        <w:t>Summary statistics</w:t>
      </w:r>
    </w:p>
    <w:p w14:paraId="29D77A57" w14:textId="20299700" w:rsidR="00957168" w:rsidRPr="000F710A" w:rsidRDefault="00957168" w:rsidP="000F710A">
      <w:pPr>
        <w:pStyle w:val="Overskrift2"/>
      </w:pPr>
      <w:r w:rsidRPr="000F710A">
        <w:t>Categorical variables</w:t>
      </w:r>
    </w:p>
    <w:p w14:paraId="38C565AB" w14:textId="4D47A70D" w:rsidR="003F7AA5" w:rsidRPr="000F710A" w:rsidRDefault="003F7AA5" w:rsidP="000F710A">
      <w:pPr>
        <w:spacing w:after="0"/>
        <w:rPr>
          <w:rFonts w:ascii="Times New Roman" w:hAnsi="Times New Roman" w:cs="Times New Roman"/>
          <w:b/>
          <w:bCs/>
          <w:sz w:val="24"/>
          <w:szCs w:val="24"/>
        </w:rPr>
      </w:pPr>
      <w:r w:rsidRPr="000F710A">
        <w:rPr>
          <w:rFonts w:ascii="Times New Roman" w:hAnsi="Times New Roman" w:cs="Times New Roman"/>
          <w:b/>
          <w:bCs/>
          <w:sz w:val="24"/>
          <w:szCs w:val="24"/>
        </w:rPr>
        <w:t>Originating body:</w:t>
      </w:r>
    </w:p>
    <w:p w14:paraId="20956DBE" w14:textId="77777777" w:rsidR="00537811" w:rsidRPr="000F710A" w:rsidRDefault="00537811" w:rsidP="00537811">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Court (Grand Chamber) 504</w:t>
      </w:r>
    </w:p>
    <w:p w14:paraId="1F9FCF18" w14:textId="77777777" w:rsidR="00537811" w:rsidRPr="000F710A" w:rsidRDefault="00537811" w:rsidP="00537811">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Court (Plenary) 205</w:t>
      </w:r>
    </w:p>
    <w:p w14:paraId="6F97ED52" w14:textId="561A6FB7"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Court (Chamber)  1282</w:t>
      </w:r>
    </w:p>
    <w:p w14:paraId="24966D21" w14:textId="09001852"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Court (Fifth Section Committee) 510</w:t>
      </w:r>
    </w:p>
    <w:p w14:paraId="163C8C4D" w14:textId="376EBD86"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Court (Fifth Section)  2055</w:t>
      </w:r>
    </w:p>
    <w:p w14:paraId="2BC23F95" w14:textId="1E57B687"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Court (First Section Committee) 385</w:t>
      </w:r>
    </w:p>
    <w:p w14:paraId="2F131065" w14:textId="7C28FDC5"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Court (First Section) 4181</w:t>
      </w:r>
    </w:p>
    <w:p w14:paraId="743DB0CE" w14:textId="714B81F6"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lastRenderedPageBreak/>
        <w:t xml:space="preserve">Court (Fourth Section Committee) </w:t>
      </w:r>
      <w:r w:rsidR="00537811" w:rsidRPr="000F710A">
        <w:rPr>
          <w:rStyle w:val="gd15mcfceub"/>
          <w:rFonts w:ascii="Times New Roman" w:eastAsiaTheme="majorEastAsia" w:hAnsi="Times New Roman" w:cs="Times New Roman"/>
          <w:color w:val="000000"/>
          <w:sz w:val="24"/>
          <w:szCs w:val="24"/>
          <w:bdr w:val="none" w:sz="0" w:space="0" w:color="auto" w:frame="1"/>
        </w:rPr>
        <w:t>407</w:t>
      </w:r>
    </w:p>
    <w:p w14:paraId="420548D6" w14:textId="64BA1C09"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Court (Fourth Section)     </w:t>
      </w:r>
      <w:r w:rsidR="00537811" w:rsidRPr="000F710A">
        <w:rPr>
          <w:rStyle w:val="gd15mcfceub"/>
          <w:rFonts w:ascii="Times New Roman" w:eastAsiaTheme="majorEastAsia" w:hAnsi="Times New Roman" w:cs="Times New Roman"/>
          <w:color w:val="000000"/>
          <w:sz w:val="24"/>
          <w:szCs w:val="24"/>
          <w:bdr w:val="none" w:sz="0" w:space="0" w:color="auto" w:frame="1"/>
        </w:rPr>
        <w:t>3300</w:t>
      </w:r>
      <w:r w:rsidRPr="000F710A">
        <w:rPr>
          <w:rStyle w:val="gd15mcfceub"/>
          <w:rFonts w:ascii="Times New Roman" w:eastAsiaTheme="majorEastAsia" w:hAnsi="Times New Roman" w:cs="Times New Roman"/>
          <w:color w:val="000000"/>
          <w:sz w:val="24"/>
          <w:szCs w:val="24"/>
          <w:bdr w:val="none" w:sz="0" w:space="0" w:color="auto" w:frame="1"/>
        </w:rPr>
        <w:t xml:space="preserve">       </w:t>
      </w:r>
    </w:p>
    <w:p w14:paraId="32634CE6" w14:textId="2A660499"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Court (Second Section Committee) </w:t>
      </w:r>
      <w:r w:rsidR="00537811" w:rsidRPr="000F710A">
        <w:rPr>
          <w:rStyle w:val="gd15mcfceub"/>
          <w:rFonts w:ascii="Times New Roman" w:eastAsiaTheme="majorEastAsia" w:hAnsi="Times New Roman" w:cs="Times New Roman"/>
          <w:color w:val="000000"/>
          <w:sz w:val="24"/>
          <w:szCs w:val="24"/>
          <w:bdr w:val="none" w:sz="0" w:space="0" w:color="auto" w:frame="1"/>
        </w:rPr>
        <w:t>475</w:t>
      </w:r>
    </w:p>
    <w:p w14:paraId="1F3E6843" w14:textId="6D0219B7"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Court (Second Section)  </w:t>
      </w:r>
      <w:r w:rsidR="00537811" w:rsidRPr="000F710A">
        <w:rPr>
          <w:rStyle w:val="gd15mcfceub"/>
          <w:rFonts w:ascii="Times New Roman" w:eastAsiaTheme="majorEastAsia" w:hAnsi="Times New Roman" w:cs="Times New Roman"/>
          <w:color w:val="000000"/>
          <w:sz w:val="24"/>
          <w:szCs w:val="24"/>
          <w:bdr w:val="none" w:sz="0" w:space="0" w:color="auto" w:frame="1"/>
        </w:rPr>
        <w:t>4477</w:t>
      </w:r>
    </w:p>
    <w:p w14:paraId="157EC0B1" w14:textId="24CFC83F"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Court (Third Section Committee) </w:t>
      </w:r>
      <w:r w:rsidR="00537811" w:rsidRPr="000F710A">
        <w:rPr>
          <w:rStyle w:val="gd15mcfceub"/>
          <w:rFonts w:ascii="Times New Roman" w:eastAsiaTheme="majorEastAsia" w:hAnsi="Times New Roman" w:cs="Times New Roman"/>
          <w:color w:val="000000"/>
          <w:sz w:val="24"/>
          <w:szCs w:val="24"/>
          <w:bdr w:val="none" w:sz="0" w:space="0" w:color="auto" w:frame="1"/>
        </w:rPr>
        <w:t>679</w:t>
      </w:r>
    </w:p>
    <w:p w14:paraId="01CB7A73" w14:textId="50E06C9F" w:rsidR="00420A8F" w:rsidRPr="000F710A" w:rsidRDefault="00420A8F"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Court (Third Section) </w:t>
      </w:r>
      <w:r w:rsidR="00537811" w:rsidRPr="000F710A">
        <w:rPr>
          <w:rStyle w:val="gd15mcfceub"/>
          <w:rFonts w:ascii="Times New Roman" w:eastAsiaTheme="majorEastAsia" w:hAnsi="Times New Roman" w:cs="Times New Roman"/>
          <w:color w:val="000000"/>
          <w:sz w:val="24"/>
          <w:szCs w:val="24"/>
          <w:bdr w:val="none" w:sz="0" w:space="0" w:color="auto" w:frame="1"/>
        </w:rPr>
        <w:t>3494</w:t>
      </w:r>
    </w:p>
    <w:p w14:paraId="4CB3F3DE" w14:textId="2E9F58E7" w:rsidR="003F7AA5" w:rsidRPr="000F710A" w:rsidRDefault="003F7AA5" w:rsidP="00420A8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p>
    <w:p w14:paraId="322253CF" w14:textId="35EE560A" w:rsidR="003F7AA5" w:rsidRPr="000F710A" w:rsidRDefault="003F7AA5" w:rsidP="00420A8F">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Respondent state</w:t>
      </w:r>
    </w:p>
    <w:p w14:paraId="0A85AAAC" w14:textId="77777777"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Albania 78 </w:t>
      </w:r>
    </w:p>
    <w:p w14:paraId="35E6EBB2" w14:textId="35105B1F"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Andorra 7</w:t>
      </w:r>
    </w:p>
    <w:p w14:paraId="78D726E0" w14:textId="1CC8D076"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Armenia 102</w:t>
      </w:r>
    </w:p>
    <w:p w14:paraId="1F1CA3C7" w14:textId="77777777"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Austria 452 </w:t>
      </w:r>
    </w:p>
    <w:p w14:paraId="199FA3BC" w14:textId="3FB937D2"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Azerbaijan 158</w:t>
      </w:r>
    </w:p>
    <w:p w14:paraId="23DC384C" w14:textId="70F8C259"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Belgium 273</w:t>
      </w:r>
    </w:p>
    <w:p w14:paraId="0F48E4D3" w14:textId="0E941D80"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Bosnia and Herzegovina 61</w:t>
      </w:r>
    </w:p>
    <w:p w14:paraId="7E30CBC4" w14:textId="61179EEB"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Bulgaria 663</w:t>
      </w:r>
    </w:p>
    <w:p w14:paraId="50006D9A" w14:textId="6231E29A"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Croatia 406</w:t>
      </w:r>
    </w:p>
    <w:p w14:paraId="3F1DCB3D" w14:textId="1AAECAFB"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Cyprus 82</w:t>
      </w:r>
    </w:p>
    <w:p w14:paraId="349A81DC" w14:textId="131CCF44"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Czech Republic 234</w:t>
      </w:r>
    </w:p>
    <w:p w14:paraId="62BADF08" w14:textId="510965C3"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Denmark 56</w:t>
      </w:r>
    </w:p>
    <w:p w14:paraId="635C0D8E" w14:textId="57D9401F"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Estonia 59</w:t>
      </w:r>
    </w:p>
    <w:p w14:paraId="34FD459D" w14:textId="4E69B12A"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Finland 196</w:t>
      </w:r>
    </w:p>
    <w:p w14:paraId="6D7D468C" w14:textId="551537D3"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France 1065</w:t>
      </w:r>
    </w:p>
    <w:p w14:paraId="2DDBF1C5" w14:textId="1EEBB230"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Georgia 88</w:t>
      </w:r>
    </w:p>
    <w:p w14:paraId="7401B16B" w14:textId="744CBB5B"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Germany 376</w:t>
      </w:r>
    </w:p>
    <w:p w14:paraId="259743CF" w14:textId="35EB01AD"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Greece 963</w:t>
      </w:r>
    </w:p>
    <w:p w14:paraId="28C36F12" w14:textId="4A386C66"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Hungary 508</w:t>
      </w:r>
    </w:p>
    <w:p w14:paraId="5625A97E" w14:textId="2C25449D"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Iceland 27</w:t>
      </w:r>
    </w:p>
    <w:p w14:paraId="34DDAC09" w14:textId="5E2DE5A0"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Ireland 43</w:t>
      </w:r>
    </w:p>
    <w:p w14:paraId="2EF3CC84" w14:textId="77777777"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Italy 2484 </w:t>
      </w:r>
    </w:p>
    <w:p w14:paraId="305D0F2F" w14:textId="117D69A4"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Latvia 143</w:t>
      </w:r>
    </w:p>
    <w:p w14:paraId="43377FC0" w14:textId="72C44646"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Liechtenstein</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9</w:t>
      </w:r>
    </w:p>
    <w:p w14:paraId="25887FAB" w14:textId="4430A383"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Lithuania</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196</w:t>
      </w:r>
    </w:p>
    <w:p w14:paraId="2C69A28B" w14:textId="28019E52"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Luxembourg 44</w:t>
      </w:r>
    </w:p>
    <w:p w14:paraId="2B365C26" w14:textId="7C216DFE"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Malta 91</w:t>
      </w:r>
    </w:p>
    <w:p w14:paraId="6152B253" w14:textId="6114ADAF"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Monaco 2</w:t>
      </w:r>
    </w:p>
    <w:p w14:paraId="7B451549" w14:textId="2001E958"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Montenegro 46</w:t>
      </w:r>
    </w:p>
    <w:p w14:paraId="73450E74" w14:textId="43991F3A"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Netherlands 206</w:t>
      </w:r>
    </w:p>
    <w:p w14:paraId="657182D2" w14:textId="350EA6E8"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Norway 52</w:t>
      </w:r>
    </w:p>
    <w:p w14:paraId="02FA16ED" w14:textId="4E2FE9DD"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Poland 1159</w:t>
      </w:r>
    </w:p>
    <w:p w14:paraId="0747701F" w14:textId="5F36C893"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Portugal</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354</w:t>
      </w:r>
    </w:p>
    <w:p w14:paraId="0A1EB763" w14:textId="553D6109"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Republic of Moldova</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357</w:t>
      </w:r>
    </w:p>
    <w:p w14:paraId="304BD024" w14:textId="3AD76053"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Romania</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1366</w:t>
      </w:r>
    </w:p>
    <w:p w14:paraId="38BC2ED2" w14:textId="4C9FAC52"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Russia 2458</w:t>
      </w:r>
    </w:p>
    <w:p w14:paraId="5A97A574" w14:textId="190490EC"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San Marino 15</w:t>
      </w:r>
    </w:p>
    <w:p w14:paraId="21DA35FB" w14:textId="25DE4AC3"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Serbia 189</w:t>
      </w:r>
    </w:p>
    <w:p w14:paraId="2E0F4311" w14:textId="29B155FA"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several 56</w:t>
      </w:r>
    </w:p>
    <w:p w14:paraId="2184736D" w14:textId="77BCBEF0"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Slovakia 369</w:t>
      </w:r>
    </w:p>
    <w:p w14:paraId="2AC03B9C" w14:textId="179E47B1"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Slovenia 361</w:t>
      </w:r>
    </w:p>
    <w:p w14:paraId="58886217" w14:textId="28C5BC96"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Spain 165</w:t>
      </w:r>
    </w:p>
    <w:p w14:paraId="2D9713C0" w14:textId="6B1811EF"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lastRenderedPageBreak/>
        <w:t>Sweden</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193</w:t>
      </w:r>
    </w:p>
    <w:p w14:paraId="26425166" w14:textId="2E542231"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Switzerland 212 </w:t>
      </w:r>
    </w:p>
    <w:p w14:paraId="0BEE286F" w14:textId="13FCF8A3" w:rsidR="003F7AA5" w:rsidRPr="000F710A" w:rsidRDefault="003F7AA5" w:rsidP="003F7AA5">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The former Yugoslav Republic of Macedonia</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 xml:space="preserve">154 </w:t>
      </w:r>
    </w:p>
    <w:p w14:paraId="1BC82798" w14:textId="2A0E49DD" w:rsidR="00EB7F40"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Turkey</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3430</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Ukraine</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1304</w:t>
      </w:r>
    </w:p>
    <w:p w14:paraId="699F8941" w14:textId="6854D221" w:rsidR="003F7AA5" w:rsidRPr="000F710A" w:rsidRDefault="003F7AA5"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United Kingdom</w:t>
      </w:r>
      <w:r w:rsidR="00EB7F40"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 xml:space="preserve">642 </w:t>
      </w:r>
    </w:p>
    <w:p w14:paraId="190E1887" w14:textId="7D55E669" w:rsidR="00583903" w:rsidRPr="000F710A" w:rsidRDefault="00583903" w:rsidP="00EB7F4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p>
    <w:p w14:paraId="469A7536" w14:textId="727059FB" w:rsidR="00794BAE" w:rsidRPr="000F710A" w:rsidRDefault="00794BAE"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Year</w:t>
      </w:r>
    </w:p>
    <w:p w14:paraId="7DE53FD2" w14:textId="0BC79FEF"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1960 1</w:t>
      </w:r>
    </w:p>
    <w:p w14:paraId="2D6AC497" w14:textId="044F474E"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1961 2</w:t>
      </w:r>
    </w:p>
    <w:p w14:paraId="720ADBB4" w14:textId="706F26A4"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1962 1</w:t>
      </w:r>
    </w:p>
    <w:p w14:paraId="5B7AB977" w14:textId="732A6154"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1967 1</w:t>
      </w:r>
    </w:p>
    <w:p w14:paraId="77C63C38" w14:textId="3BE4C82E"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1968 3</w:t>
      </w:r>
    </w:p>
    <w:p w14:paraId="43C509D1" w14:textId="52E05F82"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1969 4</w:t>
      </w:r>
    </w:p>
    <w:p w14:paraId="0BA849B3" w14:textId="7A345314"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1970</w:t>
      </w:r>
      <w:r w:rsid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4</w:t>
      </w:r>
    </w:p>
    <w:p w14:paraId="32EA5F96" w14:textId="5A1348DB"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1971 4</w:t>
      </w:r>
    </w:p>
    <w:p w14:paraId="18D3A673" w14:textId="30DEF14C"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1972 4</w:t>
      </w:r>
    </w:p>
    <w:p w14:paraId="02875D21" w14:textId="73DBAE1F"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1973 2</w:t>
      </w:r>
    </w:p>
    <w:p w14:paraId="606F0074" w14:textId="4DB3E055"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1974 2</w:t>
      </w:r>
    </w:p>
    <w:p w14:paraId="1BD4C0D5" w14:textId="08B20D80"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1975 4</w:t>
      </w:r>
    </w:p>
    <w:p w14:paraId="48454AD7" w14:textId="2B9ADA1B"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1976 12</w:t>
      </w:r>
    </w:p>
    <w:p w14:paraId="45A6CD87" w14:textId="6EAE0AD5"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1978 8</w:t>
      </w:r>
    </w:p>
    <w:p w14:paraId="27D404C4" w14:textId="7DCBF0FA"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1979 10</w:t>
      </w:r>
    </w:p>
    <w:p w14:paraId="50525C6A" w14:textId="77777777"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1980 14</w:t>
      </w:r>
    </w:p>
    <w:p w14:paraId="3BC94757" w14:textId="62D284CD"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1981 </w:t>
      </w:r>
      <w:r w:rsidR="00772620" w:rsidRPr="000F710A">
        <w:rPr>
          <w:rStyle w:val="gd15mcfceub"/>
          <w:rFonts w:ascii="Times New Roman" w:eastAsiaTheme="majorEastAsia" w:hAnsi="Times New Roman" w:cs="Times New Roman"/>
          <w:color w:val="000000"/>
          <w:sz w:val="24"/>
          <w:szCs w:val="24"/>
          <w:bdr w:val="none" w:sz="0" w:space="0" w:color="auto" w:frame="1"/>
        </w:rPr>
        <w:t>14</w:t>
      </w:r>
    </w:p>
    <w:p w14:paraId="4D77A1ED" w14:textId="720E48F2"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1982 </w:t>
      </w:r>
      <w:r w:rsidR="00772620" w:rsidRPr="000F710A">
        <w:rPr>
          <w:rStyle w:val="gd15mcfceub"/>
          <w:rFonts w:ascii="Times New Roman" w:eastAsiaTheme="majorEastAsia" w:hAnsi="Times New Roman" w:cs="Times New Roman"/>
          <w:color w:val="000000"/>
          <w:sz w:val="24"/>
          <w:szCs w:val="24"/>
          <w:bdr w:val="none" w:sz="0" w:space="0" w:color="auto" w:frame="1"/>
        </w:rPr>
        <w:t>22</w:t>
      </w:r>
    </w:p>
    <w:p w14:paraId="7AA729E6" w14:textId="19DB4A57"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1983 </w:t>
      </w:r>
      <w:r w:rsidR="00772620" w:rsidRPr="000F710A">
        <w:rPr>
          <w:rStyle w:val="gd15mcfceub"/>
          <w:rFonts w:ascii="Times New Roman" w:eastAsiaTheme="majorEastAsia" w:hAnsi="Times New Roman" w:cs="Times New Roman"/>
          <w:color w:val="000000"/>
          <w:sz w:val="24"/>
          <w:szCs w:val="24"/>
          <w:bdr w:val="none" w:sz="0" w:space="0" w:color="auto" w:frame="1"/>
        </w:rPr>
        <w:t>30</w:t>
      </w:r>
    </w:p>
    <w:p w14:paraId="54C16E5C" w14:textId="2DFEDD89"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1984 </w:t>
      </w:r>
      <w:r w:rsidR="00772620" w:rsidRPr="000F710A">
        <w:rPr>
          <w:rStyle w:val="gd15mcfceub"/>
          <w:rFonts w:ascii="Times New Roman" w:eastAsiaTheme="majorEastAsia" w:hAnsi="Times New Roman" w:cs="Times New Roman"/>
          <w:color w:val="000000"/>
          <w:sz w:val="24"/>
          <w:szCs w:val="24"/>
          <w:bdr w:val="none" w:sz="0" w:space="0" w:color="auto" w:frame="1"/>
        </w:rPr>
        <w:t>36</w:t>
      </w:r>
    </w:p>
    <w:p w14:paraId="52900215" w14:textId="120EE9F2"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1985 </w:t>
      </w:r>
      <w:r w:rsidR="00772620" w:rsidRPr="000F710A">
        <w:rPr>
          <w:rStyle w:val="gd15mcfceub"/>
          <w:rFonts w:ascii="Times New Roman" w:eastAsiaTheme="majorEastAsia" w:hAnsi="Times New Roman" w:cs="Times New Roman"/>
          <w:color w:val="000000"/>
          <w:sz w:val="24"/>
          <w:szCs w:val="24"/>
          <w:bdr w:val="none" w:sz="0" w:space="0" w:color="auto" w:frame="1"/>
        </w:rPr>
        <w:t>21</w:t>
      </w:r>
    </w:p>
    <w:p w14:paraId="734B3724" w14:textId="46DF1EC9"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1986 </w:t>
      </w:r>
      <w:r w:rsidR="00772620" w:rsidRPr="000F710A">
        <w:rPr>
          <w:rStyle w:val="gd15mcfceub"/>
          <w:rFonts w:ascii="Times New Roman" w:eastAsiaTheme="majorEastAsia" w:hAnsi="Times New Roman" w:cs="Times New Roman"/>
          <w:color w:val="000000"/>
          <w:sz w:val="24"/>
          <w:szCs w:val="24"/>
          <w:bdr w:val="none" w:sz="0" w:space="0" w:color="auto" w:frame="1"/>
        </w:rPr>
        <w:t>34</w:t>
      </w:r>
    </w:p>
    <w:p w14:paraId="40FD8C75" w14:textId="1AB7D20E"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1987 </w:t>
      </w:r>
      <w:r w:rsidR="00772620" w:rsidRPr="000F710A">
        <w:rPr>
          <w:rStyle w:val="gd15mcfceub"/>
          <w:rFonts w:ascii="Times New Roman" w:eastAsiaTheme="majorEastAsia" w:hAnsi="Times New Roman" w:cs="Times New Roman"/>
          <w:color w:val="000000"/>
          <w:sz w:val="24"/>
          <w:szCs w:val="24"/>
          <w:bdr w:val="none" w:sz="0" w:space="0" w:color="auto" w:frame="1"/>
        </w:rPr>
        <w:t>63</w:t>
      </w:r>
    </w:p>
    <w:p w14:paraId="22A8ACF2" w14:textId="005661EB"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1988 </w:t>
      </w:r>
      <w:r w:rsidR="00772620" w:rsidRPr="000F710A">
        <w:rPr>
          <w:rStyle w:val="gd15mcfceub"/>
          <w:rFonts w:ascii="Times New Roman" w:eastAsiaTheme="majorEastAsia" w:hAnsi="Times New Roman" w:cs="Times New Roman"/>
          <w:color w:val="000000"/>
          <w:sz w:val="24"/>
          <w:szCs w:val="24"/>
          <w:bdr w:val="none" w:sz="0" w:space="0" w:color="auto" w:frame="1"/>
        </w:rPr>
        <w:t>50</w:t>
      </w:r>
    </w:p>
    <w:p w14:paraId="543C5B01" w14:textId="024D2FAA"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1989 </w:t>
      </w:r>
      <w:r w:rsidR="00772620" w:rsidRPr="000F710A">
        <w:rPr>
          <w:rStyle w:val="gd15mcfceub"/>
          <w:rFonts w:ascii="Times New Roman" w:eastAsiaTheme="majorEastAsia" w:hAnsi="Times New Roman" w:cs="Times New Roman"/>
          <w:color w:val="000000"/>
          <w:sz w:val="24"/>
          <w:szCs w:val="24"/>
          <w:bdr w:val="none" w:sz="0" w:space="0" w:color="auto" w:frame="1"/>
        </w:rPr>
        <w:t>49</w:t>
      </w:r>
    </w:p>
    <w:p w14:paraId="76A7954E" w14:textId="7B485201"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1990 </w:t>
      </w:r>
      <w:r w:rsidR="00772620" w:rsidRPr="000F710A">
        <w:rPr>
          <w:rStyle w:val="gd15mcfceub"/>
          <w:rFonts w:ascii="Times New Roman" w:eastAsiaTheme="majorEastAsia" w:hAnsi="Times New Roman" w:cs="Times New Roman"/>
          <w:color w:val="000000"/>
          <w:sz w:val="24"/>
          <w:szCs w:val="24"/>
          <w:bdr w:val="none" w:sz="0" w:space="0" w:color="auto" w:frame="1"/>
        </w:rPr>
        <w:t>57</w:t>
      </w:r>
    </w:p>
    <w:p w14:paraId="2BD9C0C7" w14:textId="1D4CE739"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1991 </w:t>
      </w:r>
      <w:r w:rsidR="00772620" w:rsidRPr="000F710A">
        <w:rPr>
          <w:rStyle w:val="gd15mcfceub"/>
          <w:rFonts w:ascii="Times New Roman" w:eastAsiaTheme="majorEastAsia" w:hAnsi="Times New Roman" w:cs="Times New Roman"/>
          <w:color w:val="000000"/>
          <w:sz w:val="24"/>
          <w:szCs w:val="24"/>
          <w:bdr w:val="none" w:sz="0" w:space="0" w:color="auto" w:frame="1"/>
        </w:rPr>
        <w:t>142</w:t>
      </w:r>
    </w:p>
    <w:p w14:paraId="3FCF4627" w14:textId="55B472DE"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1992 </w:t>
      </w:r>
      <w:r w:rsidR="00772620" w:rsidRPr="000F710A">
        <w:rPr>
          <w:rStyle w:val="gd15mcfceub"/>
          <w:rFonts w:ascii="Times New Roman" w:eastAsiaTheme="majorEastAsia" w:hAnsi="Times New Roman" w:cs="Times New Roman"/>
          <w:color w:val="000000"/>
          <w:sz w:val="24"/>
          <w:szCs w:val="24"/>
          <w:bdr w:val="none" w:sz="0" w:space="0" w:color="auto" w:frame="1"/>
        </w:rPr>
        <w:t>161</w:t>
      </w:r>
    </w:p>
    <w:p w14:paraId="123C9811" w14:textId="43D6FC74"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1993 </w:t>
      </w:r>
      <w:r w:rsidR="00772620" w:rsidRPr="000F710A">
        <w:rPr>
          <w:rStyle w:val="gd15mcfceub"/>
          <w:rFonts w:ascii="Times New Roman" w:eastAsiaTheme="majorEastAsia" w:hAnsi="Times New Roman" w:cs="Times New Roman"/>
          <w:color w:val="000000"/>
          <w:sz w:val="24"/>
          <w:szCs w:val="24"/>
          <w:bdr w:val="none" w:sz="0" w:space="0" w:color="auto" w:frame="1"/>
        </w:rPr>
        <w:t>109</w:t>
      </w:r>
    </w:p>
    <w:p w14:paraId="273FC594" w14:textId="70074E07"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1994 </w:t>
      </w:r>
      <w:r w:rsidR="00772620" w:rsidRPr="000F710A">
        <w:rPr>
          <w:rStyle w:val="gd15mcfceub"/>
          <w:rFonts w:ascii="Times New Roman" w:eastAsiaTheme="majorEastAsia" w:hAnsi="Times New Roman" w:cs="Times New Roman"/>
          <w:color w:val="000000"/>
          <w:sz w:val="24"/>
          <w:szCs w:val="24"/>
          <w:bdr w:val="none" w:sz="0" w:space="0" w:color="auto" w:frame="1"/>
        </w:rPr>
        <w:t>78</w:t>
      </w:r>
    </w:p>
    <w:p w14:paraId="0570DD47" w14:textId="0FE85BF3"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1995 </w:t>
      </w:r>
      <w:r w:rsidR="00772620" w:rsidRPr="000F710A">
        <w:rPr>
          <w:rStyle w:val="gd15mcfceub"/>
          <w:rFonts w:ascii="Times New Roman" w:eastAsiaTheme="majorEastAsia" w:hAnsi="Times New Roman" w:cs="Times New Roman"/>
          <w:color w:val="000000"/>
          <w:sz w:val="24"/>
          <w:szCs w:val="24"/>
          <w:bdr w:val="none" w:sz="0" w:space="0" w:color="auto" w:frame="1"/>
        </w:rPr>
        <w:t>58</w:t>
      </w:r>
    </w:p>
    <w:p w14:paraId="179F23C3" w14:textId="78100818" w:rsidR="00D8421F" w:rsidRPr="000F710A" w:rsidRDefault="00D8421F" w:rsidP="00772620">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1996 </w:t>
      </w:r>
      <w:r w:rsidR="00772620" w:rsidRPr="000F710A">
        <w:rPr>
          <w:rStyle w:val="gd15mcfceub"/>
          <w:rFonts w:ascii="Times New Roman" w:eastAsiaTheme="majorEastAsia" w:hAnsi="Times New Roman" w:cs="Times New Roman"/>
          <w:color w:val="000000"/>
          <w:sz w:val="24"/>
          <w:szCs w:val="24"/>
          <w:bdr w:val="none" w:sz="0" w:space="0" w:color="auto" w:frame="1"/>
        </w:rPr>
        <w:t>138</w:t>
      </w:r>
      <w:r w:rsidRPr="000F710A">
        <w:rPr>
          <w:rStyle w:val="gd15mcfceub"/>
          <w:rFonts w:ascii="Times New Roman" w:eastAsiaTheme="majorEastAsia" w:hAnsi="Times New Roman" w:cs="Times New Roman"/>
          <w:color w:val="000000"/>
          <w:sz w:val="24"/>
          <w:szCs w:val="24"/>
          <w:bdr w:val="none" w:sz="0" w:space="0" w:color="auto" w:frame="1"/>
        </w:rPr>
        <w:t xml:space="preserve"> </w:t>
      </w:r>
    </w:p>
    <w:p w14:paraId="76155435" w14:textId="23F80332"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1997 </w:t>
      </w:r>
      <w:r w:rsidR="00633E1A" w:rsidRPr="000F710A">
        <w:rPr>
          <w:rStyle w:val="gd15mcfceub"/>
          <w:rFonts w:ascii="Times New Roman" w:eastAsiaTheme="majorEastAsia" w:hAnsi="Times New Roman" w:cs="Times New Roman"/>
          <w:color w:val="000000"/>
          <w:sz w:val="24"/>
          <w:szCs w:val="24"/>
          <w:bdr w:val="none" w:sz="0" w:space="0" w:color="auto" w:frame="1"/>
        </w:rPr>
        <w:t>210</w:t>
      </w:r>
    </w:p>
    <w:p w14:paraId="2D6890AA" w14:textId="52A02876"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1998 </w:t>
      </w:r>
      <w:r w:rsidR="00633E1A" w:rsidRPr="000F710A">
        <w:rPr>
          <w:rStyle w:val="gd15mcfceub"/>
          <w:rFonts w:ascii="Times New Roman" w:eastAsiaTheme="majorEastAsia" w:hAnsi="Times New Roman" w:cs="Times New Roman"/>
          <w:color w:val="000000"/>
          <w:sz w:val="24"/>
          <w:szCs w:val="24"/>
          <w:bdr w:val="none" w:sz="0" w:space="0" w:color="auto" w:frame="1"/>
        </w:rPr>
        <w:t>212</w:t>
      </w:r>
    </w:p>
    <w:p w14:paraId="723B1135" w14:textId="4456C873"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1999 </w:t>
      </w:r>
      <w:r w:rsidR="00633E1A" w:rsidRPr="000F710A">
        <w:rPr>
          <w:rStyle w:val="gd15mcfceub"/>
          <w:rFonts w:ascii="Times New Roman" w:eastAsiaTheme="majorEastAsia" w:hAnsi="Times New Roman" w:cs="Times New Roman"/>
          <w:color w:val="000000"/>
          <w:sz w:val="24"/>
          <w:szCs w:val="24"/>
          <w:bdr w:val="none" w:sz="0" w:space="0" w:color="auto" w:frame="1"/>
        </w:rPr>
        <w:t>193</w:t>
      </w:r>
    </w:p>
    <w:p w14:paraId="07452D80" w14:textId="526DA8EC" w:rsidR="00772620"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2000 </w:t>
      </w:r>
      <w:r w:rsidR="00633E1A" w:rsidRPr="000F710A">
        <w:rPr>
          <w:rStyle w:val="gd15mcfceub"/>
          <w:rFonts w:ascii="Times New Roman" w:eastAsiaTheme="majorEastAsia" w:hAnsi="Times New Roman" w:cs="Times New Roman"/>
          <w:color w:val="000000"/>
          <w:sz w:val="24"/>
          <w:szCs w:val="24"/>
          <w:bdr w:val="none" w:sz="0" w:space="0" w:color="auto" w:frame="1"/>
        </w:rPr>
        <w:t>695</w:t>
      </w:r>
    </w:p>
    <w:p w14:paraId="1C8077B7" w14:textId="29C15A3E"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2001 </w:t>
      </w:r>
      <w:r w:rsidR="00633E1A" w:rsidRPr="000F710A">
        <w:rPr>
          <w:rStyle w:val="gd15mcfceub"/>
          <w:rFonts w:ascii="Times New Roman" w:eastAsiaTheme="majorEastAsia" w:hAnsi="Times New Roman" w:cs="Times New Roman"/>
          <w:color w:val="000000"/>
          <w:sz w:val="24"/>
          <w:szCs w:val="24"/>
          <w:bdr w:val="none" w:sz="0" w:space="0" w:color="auto" w:frame="1"/>
        </w:rPr>
        <w:t>888</w:t>
      </w:r>
    </w:p>
    <w:p w14:paraId="6FD21244" w14:textId="3B94FB9C"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2002 </w:t>
      </w:r>
      <w:r w:rsidR="00633E1A" w:rsidRPr="000F710A">
        <w:rPr>
          <w:rStyle w:val="gd15mcfceub"/>
          <w:rFonts w:ascii="Times New Roman" w:eastAsiaTheme="majorEastAsia" w:hAnsi="Times New Roman" w:cs="Times New Roman"/>
          <w:color w:val="000000"/>
          <w:sz w:val="24"/>
          <w:szCs w:val="24"/>
          <w:bdr w:val="none" w:sz="0" w:space="0" w:color="auto" w:frame="1"/>
        </w:rPr>
        <w:t>844</w:t>
      </w:r>
    </w:p>
    <w:p w14:paraId="34FEC7B7" w14:textId="3FA21845"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2003 </w:t>
      </w:r>
      <w:r w:rsidR="00633E1A" w:rsidRPr="000F710A">
        <w:rPr>
          <w:rStyle w:val="gd15mcfceub"/>
          <w:rFonts w:ascii="Times New Roman" w:eastAsiaTheme="majorEastAsia" w:hAnsi="Times New Roman" w:cs="Times New Roman"/>
          <w:color w:val="000000"/>
          <w:sz w:val="24"/>
          <w:szCs w:val="24"/>
          <w:bdr w:val="none" w:sz="0" w:space="0" w:color="auto" w:frame="1"/>
        </w:rPr>
        <w:t>703</w:t>
      </w:r>
    </w:p>
    <w:p w14:paraId="213EE686" w14:textId="484414BA"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2004 </w:t>
      </w:r>
      <w:r w:rsidR="00633E1A" w:rsidRPr="000F710A">
        <w:rPr>
          <w:rStyle w:val="gd15mcfceub"/>
          <w:rFonts w:ascii="Times New Roman" w:eastAsiaTheme="majorEastAsia" w:hAnsi="Times New Roman" w:cs="Times New Roman"/>
          <w:color w:val="000000"/>
          <w:sz w:val="24"/>
          <w:szCs w:val="24"/>
          <w:bdr w:val="none" w:sz="0" w:space="0" w:color="auto" w:frame="1"/>
        </w:rPr>
        <w:t>718</w:t>
      </w:r>
    </w:p>
    <w:p w14:paraId="7A06D53D" w14:textId="46E4B6B0"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2005 </w:t>
      </w:r>
      <w:r w:rsidR="00633E1A" w:rsidRPr="000F710A">
        <w:rPr>
          <w:rStyle w:val="gd15mcfceub"/>
          <w:rFonts w:ascii="Times New Roman" w:eastAsiaTheme="majorEastAsia" w:hAnsi="Times New Roman" w:cs="Times New Roman"/>
          <w:color w:val="000000"/>
          <w:sz w:val="24"/>
          <w:szCs w:val="24"/>
          <w:bdr w:val="none" w:sz="0" w:space="0" w:color="auto" w:frame="1"/>
        </w:rPr>
        <w:t>1107</w:t>
      </w:r>
    </w:p>
    <w:p w14:paraId="0294A1AB" w14:textId="653ECF4C"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2006 </w:t>
      </w:r>
      <w:r w:rsidR="00633E1A" w:rsidRPr="000F710A">
        <w:rPr>
          <w:rStyle w:val="gd15mcfceub"/>
          <w:rFonts w:ascii="Times New Roman" w:eastAsiaTheme="majorEastAsia" w:hAnsi="Times New Roman" w:cs="Times New Roman"/>
          <w:color w:val="000000"/>
          <w:sz w:val="24"/>
          <w:szCs w:val="24"/>
          <w:bdr w:val="none" w:sz="0" w:space="0" w:color="auto" w:frame="1"/>
        </w:rPr>
        <w:t>156</w:t>
      </w:r>
    </w:p>
    <w:p w14:paraId="0AC87830" w14:textId="0D1FA3DC"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2007 </w:t>
      </w:r>
      <w:r w:rsidR="00633E1A" w:rsidRPr="000F710A">
        <w:rPr>
          <w:rStyle w:val="gd15mcfceub"/>
          <w:rFonts w:ascii="Times New Roman" w:eastAsiaTheme="majorEastAsia" w:hAnsi="Times New Roman" w:cs="Times New Roman"/>
          <w:color w:val="000000"/>
          <w:sz w:val="24"/>
          <w:szCs w:val="24"/>
          <w:bdr w:val="none" w:sz="0" w:space="0" w:color="auto" w:frame="1"/>
        </w:rPr>
        <w:t>1504</w:t>
      </w:r>
    </w:p>
    <w:p w14:paraId="64B03525" w14:textId="6A4467A3"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lastRenderedPageBreak/>
        <w:t xml:space="preserve">2008 </w:t>
      </w:r>
      <w:r w:rsidR="00633E1A" w:rsidRPr="000F710A">
        <w:rPr>
          <w:rStyle w:val="gd15mcfceub"/>
          <w:rFonts w:ascii="Times New Roman" w:eastAsiaTheme="majorEastAsia" w:hAnsi="Times New Roman" w:cs="Times New Roman"/>
          <w:color w:val="000000"/>
          <w:sz w:val="24"/>
          <w:szCs w:val="24"/>
          <w:bdr w:val="none" w:sz="0" w:space="0" w:color="auto" w:frame="1"/>
        </w:rPr>
        <w:t>1545</w:t>
      </w:r>
    </w:p>
    <w:p w14:paraId="5E4FD208" w14:textId="11AC37CB"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2009 </w:t>
      </w:r>
      <w:r w:rsidR="00633E1A" w:rsidRPr="000F710A">
        <w:rPr>
          <w:rStyle w:val="gd15mcfceub"/>
          <w:rFonts w:ascii="Times New Roman" w:eastAsiaTheme="majorEastAsia" w:hAnsi="Times New Roman" w:cs="Times New Roman"/>
          <w:color w:val="000000"/>
          <w:sz w:val="24"/>
          <w:szCs w:val="24"/>
          <w:bdr w:val="none" w:sz="0" w:space="0" w:color="auto" w:frame="1"/>
        </w:rPr>
        <w:t>1625</w:t>
      </w:r>
    </w:p>
    <w:p w14:paraId="2F096051" w14:textId="3894AF78"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2010 </w:t>
      </w:r>
      <w:r w:rsidR="00633E1A" w:rsidRPr="000F710A">
        <w:rPr>
          <w:rStyle w:val="gd15mcfceub"/>
          <w:rFonts w:ascii="Times New Roman" w:eastAsiaTheme="majorEastAsia" w:hAnsi="Times New Roman" w:cs="Times New Roman"/>
          <w:color w:val="000000"/>
          <w:sz w:val="24"/>
          <w:szCs w:val="24"/>
          <w:bdr w:val="none" w:sz="0" w:space="0" w:color="auto" w:frame="1"/>
        </w:rPr>
        <w:t>1502</w:t>
      </w:r>
    </w:p>
    <w:p w14:paraId="2179DC73" w14:textId="1689AFFC" w:rsidR="00633E1A"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2011 </w:t>
      </w:r>
      <w:r w:rsidR="00633E1A" w:rsidRPr="000F710A">
        <w:rPr>
          <w:rStyle w:val="gd15mcfceub"/>
          <w:rFonts w:ascii="Times New Roman" w:eastAsiaTheme="majorEastAsia" w:hAnsi="Times New Roman" w:cs="Times New Roman"/>
          <w:color w:val="000000"/>
          <w:sz w:val="24"/>
          <w:szCs w:val="24"/>
          <w:bdr w:val="none" w:sz="0" w:space="0" w:color="auto" w:frame="1"/>
        </w:rPr>
        <w:t>1161</w:t>
      </w:r>
    </w:p>
    <w:p w14:paraId="593EDF6C" w14:textId="03AFD8F3" w:rsidR="00D8421F" w:rsidRPr="000F710A" w:rsidRDefault="00D8421F" w:rsidP="00633E1A">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2012 </w:t>
      </w:r>
      <w:r w:rsidR="00633E1A" w:rsidRPr="000F710A">
        <w:rPr>
          <w:rStyle w:val="gd15mcfceub"/>
          <w:rFonts w:ascii="Times New Roman" w:eastAsiaTheme="majorEastAsia" w:hAnsi="Times New Roman" w:cs="Times New Roman"/>
          <w:color w:val="000000"/>
          <w:sz w:val="24"/>
          <w:szCs w:val="24"/>
          <w:bdr w:val="none" w:sz="0" w:space="0" w:color="auto" w:frame="1"/>
        </w:rPr>
        <w:t>1095</w:t>
      </w:r>
      <w:r w:rsidRPr="000F710A">
        <w:rPr>
          <w:rStyle w:val="gd15mcfceub"/>
          <w:rFonts w:ascii="Times New Roman" w:eastAsiaTheme="majorEastAsia" w:hAnsi="Times New Roman" w:cs="Times New Roman"/>
          <w:color w:val="000000"/>
          <w:sz w:val="24"/>
          <w:szCs w:val="24"/>
          <w:bdr w:val="none" w:sz="0" w:space="0" w:color="auto" w:frame="1"/>
        </w:rPr>
        <w:t xml:space="preserve"> </w:t>
      </w:r>
    </w:p>
    <w:p w14:paraId="2733AF23" w14:textId="1407BD7B" w:rsidR="00633E1A"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2013 </w:t>
      </w:r>
      <w:r w:rsidR="00633E1A" w:rsidRPr="000F710A">
        <w:rPr>
          <w:rStyle w:val="gd15mcfceub"/>
          <w:rFonts w:ascii="Times New Roman" w:eastAsiaTheme="majorEastAsia" w:hAnsi="Times New Roman" w:cs="Times New Roman"/>
          <w:color w:val="000000"/>
          <w:sz w:val="24"/>
          <w:szCs w:val="24"/>
          <w:bdr w:val="none" w:sz="0" w:space="0" w:color="auto" w:frame="1"/>
        </w:rPr>
        <w:t>917</w:t>
      </w:r>
    </w:p>
    <w:p w14:paraId="20FDD8E8" w14:textId="2D78CCE6" w:rsidR="00633E1A"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2014 </w:t>
      </w:r>
      <w:r w:rsidR="00633E1A" w:rsidRPr="000F710A">
        <w:rPr>
          <w:rStyle w:val="gd15mcfceub"/>
          <w:rFonts w:ascii="Times New Roman" w:eastAsiaTheme="majorEastAsia" w:hAnsi="Times New Roman" w:cs="Times New Roman"/>
          <w:color w:val="000000"/>
          <w:sz w:val="24"/>
          <w:szCs w:val="24"/>
          <w:bdr w:val="none" w:sz="0" w:space="0" w:color="auto" w:frame="1"/>
        </w:rPr>
        <w:t>893</w:t>
      </w:r>
    </w:p>
    <w:p w14:paraId="01DDF45D" w14:textId="339A7443" w:rsidR="00633E1A"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2015 </w:t>
      </w:r>
      <w:r w:rsidR="00633E1A" w:rsidRPr="000F710A">
        <w:rPr>
          <w:rStyle w:val="gd15mcfceub"/>
          <w:rFonts w:ascii="Times New Roman" w:eastAsiaTheme="majorEastAsia" w:hAnsi="Times New Roman" w:cs="Times New Roman"/>
          <w:color w:val="000000"/>
          <w:sz w:val="24"/>
          <w:szCs w:val="24"/>
          <w:bdr w:val="none" w:sz="0" w:space="0" w:color="auto" w:frame="1"/>
        </w:rPr>
        <w:t>822</w:t>
      </w:r>
    </w:p>
    <w:p w14:paraId="48E5C0EF" w14:textId="31719C69" w:rsidR="00633E1A"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2016 </w:t>
      </w:r>
      <w:r w:rsidR="00633E1A" w:rsidRPr="000F710A">
        <w:rPr>
          <w:rStyle w:val="gd15mcfceub"/>
          <w:rFonts w:ascii="Times New Roman" w:eastAsiaTheme="majorEastAsia" w:hAnsi="Times New Roman" w:cs="Times New Roman"/>
          <w:color w:val="000000"/>
          <w:sz w:val="24"/>
          <w:szCs w:val="24"/>
          <w:bdr w:val="none" w:sz="0" w:space="0" w:color="auto" w:frame="1"/>
        </w:rPr>
        <w:t>903</w:t>
      </w:r>
    </w:p>
    <w:p w14:paraId="534D29BC" w14:textId="726575EE" w:rsidR="00633E1A"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2017 </w:t>
      </w:r>
      <w:r w:rsidR="00633E1A" w:rsidRPr="000F710A">
        <w:rPr>
          <w:rStyle w:val="gd15mcfceub"/>
          <w:rFonts w:ascii="Times New Roman" w:eastAsiaTheme="majorEastAsia" w:hAnsi="Times New Roman" w:cs="Times New Roman"/>
          <w:color w:val="000000"/>
          <w:sz w:val="24"/>
          <w:szCs w:val="24"/>
          <w:bdr w:val="none" w:sz="0" w:space="0" w:color="auto" w:frame="1"/>
        </w:rPr>
        <w:t>886</w:t>
      </w:r>
    </w:p>
    <w:p w14:paraId="07AB98E3" w14:textId="2CB38802" w:rsidR="00633E1A"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2018 </w:t>
      </w:r>
      <w:r w:rsidR="00633E1A" w:rsidRPr="000F710A">
        <w:rPr>
          <w:rStyle w:val="gd15mcfceub"/>
          <w:rFonts w:ascii="Times New Roman" w:eastAsiaTheme="majorEastAsia" w:hAnsi="Times New Roman" w:cs="Times New Roman"/>
          <w:color w:val="000000"/>
          <w:sz w:val="24"/>
          <w:szCs w:val="24"/>
          <w:bdr w:val="none" w:sz="0" w:space="0" w:color="auto" w:frame="1"/>
        </w:rPr>
        <w:t>824</w:t>
      </w:r>
    </w:p>
    <w:p w14:paraId="5C0E1DC1" w14:textId="7E75869F" w:rsidR="00D8421F" w:rsidRPr="000F710A" w:rsidRDefault="00D8421F" w:rsidP="00D8421F">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2019 </w:t>
      </w:r>
      <w:r w:rsidR="00633E1A" w:rsidRPr="000F710A">
        <w:rPr>
          <w:rStyle w:val="gd15mcfceub"/>
          <w:rFonts w:ascii="Times New Roman" w:eastAsiaTheme="majorEastAsia" w:hAnsi="Times New Roman" w:cs="Times New Roman"/>
          <w:color w:val="000000"/>
          <w:sz w:val="24"/>
          <w:szCs w:val="24"/>
          <w:bdr w:val="none" w:sz="0" w:space="0" w:color="auto" w:frame="1"/>
        </w:rPr>
        <w:t>9</w:t>
      </w:r>
    </w:p>
    <w:p w14:paraId="5B38E7D2" w14:textId="77832C18" w:rsidR="00D8421F" w:rsidRPr="000F710A" w:rsidRDefault="00D8421F"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
    <w:p w14:paraId="7E3F9930" w14:textId="62032CCA" w:rsidR="00622173" w:rsidRPr="000F710A" w:rsidRDefault="00622173"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Importance level</w:t>
      </w:r>
    </w:p>
    <w:p w14:paraId="19EA2CC1" w14:textId="5BD599E2" w:rsidR="00622173" w:rsidRPr="000F710A" w:rsidRDefault="00622173" w:rsidP="00622173">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Key cases</w:t>
      </w:r>
      <w:r w:rsidR="00530AD6" w:rsidRPr="000F710A">
        <w:rPr>
          <w:rStyle w:val="gd15mcfceub"/>
          <w:rFonts w:ascii="Times New Roman" w:eastAsiaTheme="majorEastAsia" w:hAnsi="Times New Roman" w:cs="Times New Roman"/>
          <w:color w:val="000000"/>
          <w:sz w:val="24"/>
          <w:szCs w:val="24"/>
          <w:bdr w:val="none" w:sz="0" w:space="0" w:color="auto" w:frame="1"/>
        </w:rPr>
        <w:t xml:space="preserve"> </w:t>
      </w:r>
      <w:r w:rsidRPr="000F710A">
        <w:rPr>
          <w:rStyle w:val="gd15mcfceub"/>
          <w:rFonts w:ascii="Times New Roman" w:eastAsiaTheme="majorEastAsia" w:hAnsi="Times New Roman" w:cs="Times New Roman"/>
          <w:color w:val="000000"/>
          <w:sz w:val="24"/>
          <w:szCs w:val="24"/>
          <w:bdr w:val="none" w:sz="0" w:space="0" w:color="auto" w:frame="1"/>
        </w:rPr>
        <w:t xml:space="preserve">915   </w:t>
      </w:r>
    </w:p>
    <w:p w14:paraId="39F4D655" w14:textId="63C91D6E" w:rsidR="00622173" w:rsidRPr="000F710A" w:rsidRDefault="00622173" w:rsidP="00622173">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One 1450</w:t>
      </w:r>
    </w:p>
    <w:p w14:paraId="108447BA" w14:textId="264A92DD" w:rsidR="00622173" w:rsidRPr="000F710A" w:rsidRDefault="00622173" w:rsidP="00530AD6">
      <w:pPr>
        <w:pStyle w:val="FormateretHTML"/>
        <w:shd w:val="clear" w:color="auto" w:fill="FFFFFF"/>
        <w:wordWrap w:val="0"/>
        <w:rPr>
          <w:rFonts w:ascii="Times New Roman" w:hAnsi="Times New Roman" w:cs="Times New Roman"/>
          <w:color w:val="000000"/>
          <w:sz w:val="24"/>
          <w:szCs w:val="24"/>
        </w:rPr>
      </w:pPr>
      <w:r w:rsidRPr="000F710A">
        <w:rPr>
          <w:rStyle w:val="gd15mcfceub"/>
          <w:rFonts w:ascii="Times New Roman" w:eastAsiaTheme="majorEastAsia" w:hAnsi="Times New Roman" w:cs="Times New Roman"/>
          <w:color w:val="000000"/>
          <w:sz w:val="24"/>
          <w:szCs w:val="24"/>
          <w:bdr w:val="none" w:sz="0" w:space="0" w:color="auto" w:frame="1"/>
        </w:rPr>
        <w:t xml:space="preserve">Two </w:t>
      </w:r>
      <w:r w:rsidR="00530AD6" w:rsidRPr="000F710A">
        <w:rPr>
          <w:rStyle w:val="gd15mcfceub"/>
          <w:rFonts w:ascii="Times New Roman" w:eastAsiaTheme="majorEastAsia" w:hAnsi="Times New Roman" w:cs="Times New Roman"/>
          <w:color w:val="000000"/>
          <w:sz w:val="24"/>
          <w:szCs w:val="24"/>
          <w:bdr w:val="none" w:sz="0" w:space="0" w:color="auto" w:frame="1"/>
        </w:rPr>
        <w:t>4556</w:t>
      </w:r>
      <w:r w:rsidRPr="000F710A">
        <w:rPr>
          <w:rStyle w:val="gd15mcfceub"/>
          <w:rFonts w:ascii="Times New Roman" w:eastAsiaTheme="majorEastAsia" w:hAnsi="Times New Roman" w:cs="Times New Roman"/>
          <w:color w:val="000000"/>
          <w:sz w:val="24"/>
          <w:szCs w:val="24"/>
          <w:bdr w:val="none" w:sz="0" w:space="0" w:color="auto" w:frame="1"/>
        </w:rPr>
        <w:t xml:space="preserve"> </w:t>
      </w:r>
    </w:p>
    <w:p w14:paraId="43135AAF" w14:textId="2E971384" w:rsidR="00530AD6" w:rsidRPr="000F710A" w:rsidRDefault="00530AD6" w:rsidP="00530AD6">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Three 15033</w:t>
      </w:r>
    </w:p>
    <w:p w14:paraId="74D4784E" w14:textId="161841DF" w:rsidR="000E07E7" w:rsidRPr="000F710A" w:rsidRDefault="000E07E7" w:rsidP="00530AD6">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p>
    <w:p w14:paraId="16F452B3" w14:textId="77777777" w:rsidR="000E07E7" w:rsidRPr="000F710A" w:rsidRDefault="000E07E7" w:rsidP="000E07E7">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Separate opinions</w:t>
      </w:r>
    </w:p>
    <w:p w14:paraId="36156808" w14:textId="77777777" w:rsidR="000E07E7" w:rsidRPr="000F710A" w:rsidRDefault="000E07E7" w:rsidP="000E07E7">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   No   Yes  NA's </w:t>
      </w:r>
    </w:p>
    <w:p w14:paraId="6E44CDED" w14:textId="77777777" w:rsidR="000E07E7" w:rsidRPr="000F710A" w:rsidRDefault="000E07E7" w:rsidP="000E07E7">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18603  3350     1 </w:t>
      </w:r>
    </w:p>
    <w:p w14:paraId="3BA3D377" w14:textId="77777777" w:rsidR="000E07E7" w:rsidRPr="000F710A" w:rsidRDefault="000E07E7" w:rsidP="00530AD6">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p>
    <w:p w14:paraId="2EDA2484" w14:textId="1BB0663A" w:rsidR="00622173" w:rsidRPr="000F710A" w:rsidRDefault="00B8406E"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Pr>
          <w:rStyle w:val="gd15mcfceub"/>
          <w:rFonts w:ascii="Times New Roman" w:eastAsiaTheme="majorEastAsia" w:hAnsi="Times New Roman" w:cs="Times New Roman"/>
          <w:b/>
          <w:bCs/>
          <w:color w:val="000000"/>
          <w:sz w:val="24"/>
          <w:szCs w:val="24"/>
          <w:bdr w:val="none" w:sz="0" w:space="0" w:color="auto" w:frame="1"/>
        </w:rPr>
        <w:tab/>
      </w:r>
    </w:p>
    <w:p w14:paraId="534046F8" w14:textId="62C51F0D" w:rsidR="00957168" w:rsidRPr="000F710A" w:rsidRDefault="00957168" w:rsidP="000F710A">
      <w:pPr>
        <w:pStyle w:val="Overskrift2"/>
        <w:rPr>
          <w:rStyle w:val="gd15mcfceub"/>
        </w:rPr>
      </w:pPr>
      <w:r w:rsidRPr="000F710A">
        <w:rPr>
          <w:rStyle w:val="gd15mcfceub"/>
        </w:rPr>
        <w:t>Numerical variables</w:t>
      </w:r>
    </w:p>
    <w:p w14:paraId="7382FD28" w14:textId="6630CD03" w:rsidR="003502FA" w:rsidRPr="000F710A" w:rsidRDefault="003502FA" w:rsidP="003502FA">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Number of decisions</w:t>
      </w:r>
    </w:p>
    <w:p w14:paraId="105073F9" w14:textId="77777777" w:rsidR="003502FA" w:rsidRPr="000F710A" w:rsidRDefault="003502FA" w:rsidP="003502FA">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r w:rsidRPr="000F710A">
        <w:rPr>
          <w:rStyle w:val="gd15mcfceub"/>
          <w:rFonts w:ascii="Times New Roman" w:hAnsi="Times New Roman" w:cs="Times New Roman"/>
          <w:color w:val="000000"/>
          <w:sz w:val="24"/>
          <w:szCs w:val="24"/>
          <w:bdr w:val="none" w:sz="0" w:space="0" w:color="auto" w:frame="1"/>
        </w:rPr>
        <w:t xml:space="preserve">   Min. 1st Qu.  Median    Mean 3rd Qu.    Max. </w:t>
      </w:r>
    </w:p>
    <w:p w14:paraId="797DD1C0" w14:textId="77777777" w:rsidR="003502FA" w:rsidRPr="000F710A" w:rsidRDefault="003502FA" w:rsidP="003502FA">
      <w:pPr>
        <w:pStyle w:val="FormateretHTML"/>
        <w:shd w:val="clear" w:color="auto" w:fill="FFFFFF"/>
        <w:wordWrap w:val="0"/>
        <w:rPr>
          <w:rFonts w:ascii="Times New Roman" w:hAnsi="Times New Roman" w:cs="Times New Roman"/>
          <w:color w:val="000000"/>
          <w:sz w:val="24"/>
          <w:szCs w:val="24"/>
        </w:rPr>
      </w:pPr>
      <w:r w:rsidRPr="000F710A">
        <w:rPr>
          <w:rStyle w:val="gd15mcfceub"/>
          <w:rFonts w:ascii="Times New Roman" w:hAnsi="Times New Roman" w:cs="Times New Roman"/>
          <w:color w:val="000000"/>
          <w:sz w:val="24"/>
          <w:szCs w:val="24"/>
          <w:bdr w:val="none" w:sz="0" w:space="0" w:color="auto" w:frame="1"/>
        </w:rPr>
        <w:t xml:space="preserve">  0.000   1.000   1.000   1.599   2.000  21.000 </w:t>
      </w:r>
    </w:p>
    <w:p w14:paraId="27E727A6" w14:textId="77777777" w:rsidR="003502FA" w:rsidRPr="000F710A" w:rsidRDefault="003502FA"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
    <w:p w14:paraId="06B78674" w14:textId="65772C30" w:rsidR="00957168" w:rsidRPr="000F710A" w:rsidRDefault="00E02622"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Inadmissible decisions</w:t>
      </w:r>
    </w:p>
    <w:p w14:paraId="04B75CB8" w14:textId="77777777" w:rsidR="00E02622" w:rsidRPr="000F710A" w:rsidRDefault="00E02622" w:rsidP="00E02622">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   Min. 1st Qu.  Median    Mean 3rd Qu.    Max. </w:t>
      </w:r>
    </w:p>
    <w:p w14:paraId="096CBB9D" w14:textId="77777777" w:rsidR="00E02622" w:rsidRPr="000F710A" w:rsidRDefault="00E02622" w:rsidP="00E02622">
      <w:pPr>
        <w:pStyle w:val="FormateretHTML"/>
        <w:shd w:val="clear" w:color="auto" w:fill="FFFFFF"/>
        <w:wordWrap w:val="0"/>
        <w:rPr>
          <w:rFonts w:ascii="Times New Roman" w:hAnsi="Times New Roman" w:cs="Times New Roman"/>
          <w:color w:val="000000"/>
          <w:sz w:val="24"/>
          <w:szCs w:val="24"/>
        </w:rPr>
      </w:pPr>
      <w:r w:rsidRPr="000F710A">
        <w:rPr>
          <w:rStyle w:val="gd15mcfceub"/>
          <w:rFonts w:ascii="Times New Roman" w:eastAsiaTheme="majorEastAsia" w:hAnsi="Times New Roman" w:cs="Times New Roman"/>
          <w:color w:val="000000"/>
          <w:sz w:val="24"/>
          <w:szCs w:val="24"/>
          <w:bdr w:val="none" w:sz="0" w:space="0" w:color="auto" w:frame="1"/>
        </w:rPr>
        <w:t xml:space="preserve"> 0.0000  0.0000  0.0000  0.1171  0.0000  6.0000 </w:t>
      </w:r>
    </w:p>
    <w:p w14:paraId="788B7E15" w14:textId="77777777" w:rsidR="00E02622" w:rsidRPr="000F710A" w:rsidRDefault="00E02622"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
    <w:p w14:paraId="0500682B" w14:textId="471D9694" w:rsidR="00FA20F1" w:rsidRPr="000F710A" w:rsidRDefault="00FA20F1" w:rsidP="00FA20F1">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roofErr w:type="spellStart"/>
      <w:r w:rsidRPr="000F710A">
        <w:rPr>
          <w:rStyle w:val="gd15mcfceub"/>
          <w:rFonts w:ascii="Times New Roman" w:eastAsiaTheme="majorEastAsia" w:hAnsi="Times New Roman" w:cs="Times New Roman"/>
          <w:b/>
          <w:bCs/>
          <w:color w:val="000000"/>
          <w:sz w:val="24"/>
          <w:szCs w:val="24"/>
          <w:bdr w:val="none" w:sz="0" w:space="0" w:color="auto" w:frame="1"/>
        </w:rPr>
        <w:t>Non_violation</w:t>
      </w:r>
      <w:proofErr w:type="spellEnd"/>
      <w:r w:rsidRPr="000F710A">
        <w:rPr>
          <w:rStyle w:val="gd15mcfceub"/>
          <w:rFonts w:ascii="Times New Roman" w:eastAsiaTheme="majorEastAsia" w:hAnsi="Times New Roman" w:cs="Times New Roman"/>
          <w:b/>
          <w:bCs/>
          <w:color w:val="000000"/>
          <w:sz w:val="24"/>
          <w:szCs w:val="24"/>
          <w:bdr w:val="none" w:sz="0" w:space="0" w:color="auto" w:frame="1"/>
        </w:rPr>
        <w:t xml:space="preserve"> decisions</w:t>
      </w:r>
    </w:p>
    <w:p w14:paraId="0E32729A" w14:textId="77777777" w:rsidR="00FA20F1" w:rsidRPr="000F710A" w:rsidRDefault="00FA20F1" w:rsidP="00FA20F1">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r w:rsidRPr="000F710A">
        <w:rPr>
          <w:rStyle w:val="gd15mcfceub"/>
          <w:rFonts w:ascii="Times New Roman" w:hAnsi="Times New Roman" w:cs="Times New Roman"/>
          <w:color w:val="000000"/>
          <w:sz w:val="24"/>
          <w:szCs w:val="24"/>
          <w:bdr w:val="none" w:sz="0" w:space="0" w:color="auto" w:frame="1"/>
        </w:rPr>
        <w:t xml:space="preserve">   Min. 1st Qu.  Median    Mean 3rd Qu.    Max. </w:t>
      </w:r>
    </w:p>
    <w:p w14:paraId="40632475" w14:textId="77777777" w:rsidR="00FA20F1" w:rsidRPr="000F710A" w:rsidRDefault="00FA20F1" w:rsidP="00FA20F1">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r w:rsidRPr="000F710A">
        <w:rPr>
          <w:rStyle w:val="gd15mcfceub"/>
          <w:rFonts w:ascii="Times New Roman" w:hAnsi="Times New Roman" w:cs="Times New Roman"/>
          <w:color w:val="000000"/>
          <w:sz w:val="24"/>
          <w:szCs w:val="24"/>
          <w:bdr w:val="none" w:sz="0" w:space="0" w:color="auto" w:frame="1"/>
        </w:rPr>
        <w:t xml:space="preserve"> 0.0000  0.0000  0.0000  0.2361  0.0000 11.0000 </w:t>
      </w:r>
    </w:p>
    <w:p w14:paraId="0186EA3A" w14:textId="77777777" w:rsidR="00FA20F1" w:rsidRPr="000F710A" w:rsidRDefault="00FA20F1" w:rsidP="00FA20F1">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
    <w:p w14:paraId="2FD4766F" w14:textId="29B52437" w:rsidR="00FA20F1" w:rsidRPr="000F710A" w:rsidRDefault="00FA20F1" w:rsidP="00FA20F1">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Violation decisions</w:t>
      </w:r>
    </w:p>
    <w:p w14:paraId="15318797" w14:textId="77777777" w:rsidR="00FA20F1" w:rsidRPr="000F710A" w:rsidRDefault="00FA20F1" w:rsidP="00FA20F1">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r w:rsidRPr="000F710A">
        <w:rPr>
          <w:rStyle w:val="gd15mcfceub"/>
          <w:rFonts w:ascii="Times New Roman" w:hAnsi="Times New Roman" w:cs="Times New Roman"/>
          <w:color w:val="000000"/>
          <w:sz w:val="24"/>
          <w:szCs w:val="24"/>
          <w:bdr w:val="none" w:sz="0" w:space="0" w:color="auto" w:frame="1"/>
        </w:rPr>
        <w:t xml:space="preserve">   Min. 1st Qu.  Median    Mean 3rd Qu.    Max. </w:t>
      </w:r>
    </w:p>
    <w:p w14:paraId="282B5FA2" w14:textId="5411F35E" w:rsidR="00FA20F1" w:rsidRPr="000F710A" w:rsidRDefault="00FA20F1" w:rsidP="00FA20F1">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r w:rsidRPr="000F710A">
        <w:rPr>
          <w:rStyle w:val="gd15mcfceub"/>
          <w:rFonts w:ascii="Times New Roman" w:hAnsi="Times New Roman" w:cs="Times New Roman"/>
          <w:color w:val="000000"/>
          <w:sz w:val="24"/>
          <w:szCs w:val="24"/>
          <w:bdr w:val="none" w:sz="0" w:space="0" w:color="auto" w:frame="1"/>
        </w:rPr>
        <w:t xml:space="preserve">  0.000   1.000   1.000   1.246   2.000  12.000 </w:t>
      </w:r>
    </w:p>
    <w:p w14:paraId="4FB23809" w14:textId="031C97C7" w:rsidR="00A26F8D" w:rsidRPr="000F710A" w:rsidRDefault="00A26F8D" w:rsidP="00FA20F1">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p>
    <w:p w14:paraId="7AF74CFC" w14:textId="5D4F3127" w:rsidR="00A26F8D" w:rsidRPr="000F710A" w:rsidRDefault="00A26F8D" w:rsidP="00FA20F1">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Number of state wins</w:t>
      </w:r>
    </w:p>
    <w:p w14:paraId="611A8F26" w14:textId="77777777" w:rsidR="00A26F8D" w:rsidRPr="000F710A" w:rsidRDefault="00A26F8D" w:rsidP="00A26F8D">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   Min. 1st Qu.  Median    Mean 3rd Qu.    Max. </w:t>
      </w:r>
    </w:p>
    <w:p w14:paraId="56CA4A30" w14:textId="2DA01D85" w:rsidR="00A26F8D" w:rsidRPr="000F710A" w:rsidRDefault="00A26F8D" w:rsidP="00FA20F1">
      <w:pPr>
        <w:pStyle w:val="FormateretHTML"/>
        <w:shd w:val="clear" w:color="auto" w:fill="FFFFFF"/>
        <w:wordWrap w:val="0"/>
        <w:rPr>
          <w:rFonts w:ascii="Times New Roman" w:hAnsi="Times New Roman" w:cs="Times New Roman"/>
          <w:color w:val="000000"/>
          <w:sz w:val="24"/>
          <w:szCs w:val="24"/>
        </w:rPr>
      </w:pPr>
      <w:r w:rsidRPr="000F710A">
        <w:rPr>
          <w:rStyle w:val="gd15mcfceub"/>
          <w:rFonts w:ascii="Times New Roman" w:eastAsiaTheme="majorEastAsia" w:hAnsi="Times New Roman" w:cs="Times New Roman"/>
          <w:color w:val="000000"/>
          <w:sz w:val="24"/>
          <w:szCs w:val="24"/>
          <w:bdr w:val="none" w:sz="0" w:space="0" w:color="auto" w:frame="1"/>
        </w:rPr>
        <w:t xml:space="preserve"> 0.0000  0.0000  0.0000  0.3532  1.0000 11.0000 </w:t>
      </w:r>
    </w:p>
    <w:p w14:paraId="6CD87D4C" w14:textId="77777777" w:rsidR="003502FA" w:rsidRPr="000F710A" w:rsidRDefault="003502FA" w:rsidP="003502FA">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p>
    <w:p w14:paraId="4E56C167" w14:textId="28ABF511" w:rsidR="003502FA" w:rsidRPr="000F710A" w:rsidRDefault="00FA20F1" w:rsidP="003502FA">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Percent state win</w:t>
      </w:r>
    </w:p>
    <w:p w14:paraId="71466E92" w14:textId="77777777" w:rsidR="003502FA" w:rsidRPr="000F710A" w:rsidRDefault="003502FA" w:rsidP="003502FA">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r w:rsidRPr="000F710A">
        <w:rPr>
          <w:rStyle w:val="gd15mcfceub"/>
          <w:rFonts w:ascii="Times New Roman" w:hAnsi="Times New Roman" w:cs="Times New Roman"/>
          <w:color w:val="000000"/>
          <w:sz w:val="24"/>
          <w:szCs w:val="24"/>
          <w:bdr w:val="none" w:sz="0" w:space="0" w:color="auto" w:frame="1"/>
        </w:rPr>
        <w:t xml:space="preserve">   Min. 1st Qu.  Median    Mean 3rd Qu.    Max.    NA's </w:t>
      </w:r>
    </w:p>
    <w:p w14:paraId="360CD54B" w14:textId="77777777" w:rsidR="003502FA" w:rsidRPr="000F710A" w:rsidRDefault="003502FA" w:rsidP="003502FA">
      <w:pPr>
        <w:pStyle w:val="FormateretHTML"/>
        <w:shd w:val="clear" w:color="auto" w:fill="FFFFFF"/>
        <w:wordWrap w:val="0"/>
        <w:rPr>
          <w:rStyle w:val="gd15mcfceub"/>
          <w:rFonts w:ascii="Times New Roman" w:hAnsi="Times New Roman" w:cs="Times New Roman"/>
          <w:color w:val="000000"/>
          <w:sz w:val="24"/>
          <w:szCs w:val="24"/>
          <w:bdr w:val="none" w:sz="0" w:space="0" w:color="auto" w:frame="1"/>
        </w:rPr>
      </w:pPr>
      <w:r w:rsidRPr="000F710A">
        <w:rPr>
          <w:rStyle w:val="gd15mcfceub"/>
          <w:rFonts w:ascii="Times New Roman" w:hAnsi="Times New Roman" w:cs="Times New Roman"/>
          <w:color w:val="000000"/>
          <w:sz w:val="24"/>
          <w:szCs w:val="24"/>
          <w:bdr w:val="none" w:sz="0" w:space="0" w:color="auto" w:frame="1"/>
        </w:rPr>
        <w:t xml:space="preserve">   0.00    0.00    0.00   17.60   33.33  100.00    1979 </w:t>
      </w:r>
    </w:p>
    <w:p w14:paraId="720B91FC" w14:textId="77777777" w:rsidR="00957168" w:rsidRPr="000F710A" w:rsidRDefault="00957168"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
    <w:p w14:paraId="7390F3E4" w14:textId="77777777" w:rsidR="00957168" w:rsidRPr="000F710A" w:rsidRDefault="00957168"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
    <w:p w14:paraId="4F99EA83" w14:textId="33A8A6BA" w:rsidR="00794BAE" w:rsidRPr="000F710A" w:rsidRDefault="00530AD6" w:rsidP="000F710A">
      <w:pPr>
        <w:pStyle w:val="Overskrift2"/>
        <w:rPr>
          <w:rStyle w:val="gd15mcfceub"/>
        </w:rPr>
      </w:pPr>
      <w:r w:rsidRPr="000F710A">
        <w:rPr>
          <w:rStyle w:val="gd15mcfceub"/>
        </w:rPr>
        <w:lastRenderedPageBreak/>
        <w:t>Dummy variables:</w:t>
      </w:r>
    </w:p>
    <w:p w14:paraId="68110DC7" w14:textId="3A3CAFAA" w:rsidR="00530AD6" w:rsidRPr="000F710A" w:rsidRDefault="00530AD6"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
    <w:p w14:paraId="452BE745" w14:textId="450AC38D" w:rsidR="002D1D43" w:rsidRPr="000F710A" w:rsidRDefault="002D1D43"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 xml:space="preserve">Margin </w:t>
      </w:r>
      <w:proofErr w:type="gramStart"/>
      <w:r w:rsidRPr="000F710A">
        <w:rPr>
          <w:rStyle w:val="gd15mcfceub"/>
          <w:rFonts w:ascii="Times New Roman" w:eastAsiaTheme="majorEastAsia" w:hAnsi="Times New Roman" w:cs="Times New Roman"/>
          <w:b/>
          <w:bCs/>
          <w:color w:val="000000"/>
          <w:sz w:val="24"/>
          <w:szCs w:val="24"/>
          <w:bdr w:val="none" w:sz="0" w:space="0" w:color="auto" w:frame="1"/>
        </w:rPr>
        <w:t>key-word</w:t>
      </w:r>
      <w:proofErr w:type="gramEnd"/>
    </w:p>
    <w:p w14:paraId="394818B3" w14:textId="77777777" w:rsidR="002D1D43" w:rsidRPr="000F710A" w:rsidRDefault="002D1D43" w:rsidP="002D1D43">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   Min. 1st Qu.  Median    Mean 3rd Qu.    Max.    NA's </w:t>
      </w:r>
    </w:p>
    <w:p w14:paraId="1DE84EEA" w14:textId="77777777" w:rsidR="002D1D43" w:rsidRPr="000F710A" w:rsidRDefault="002D1D43" w:rsidP="002D1D43">
      <w:pPr>
        <w:pStyle w:val="FormateretHTML"/>
        <w:shd w:val="clear" w:color="auto" w:fill="FFFFFF"/>
        <w:wordWrap w:val="0"/>
        <w:rPr>
          <w:rFonts w:ascii="Times New Roman" w:hAnsi="Times New Roman" w:cs="Times New Roman"/>
          <w:color w:val="000000"/>
          <w:sz w:val="24"/>
          <w:szCs w:val="24"/>
        </w:rPr>
      </w:pPr>
      <w:r w:rsidRPr="000F710A">
        <w:rPr>
          <w:rStyle w:val="gd15mcfceub"/>
          <w:rFonts w:ascii="Times New Roman" w:eastAsiaTheme="majorEastAsia" w:hAnsi="Times New Roman" w:cs="Times New Roman"/>
          <w:color w:val="000000"/>
          <w:sz w:val="24"/>
          <w:szCs w:val="24"/>
          <w:bdr w:val="none" w:sz="0" w:space="0" w:color="auto" w:frame="1"/>
        </w:rPr>
        <w:t xml:space="preserve">0.00000 0.00000 0.00000 0.03726 0.00000 1.00000       1 </w:t>
      </w:r>
    </w:p>
    <w:p w14:paraId="48FCDCB4" w14:textId="74283036" w:rsidR="002D1D43" w:rsidRPr="000F710A" w:rsidRDefault="002D1D43"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p>
    <w:p w14:paraId="44CE7337" w14:textId="53840395" w:rsidR="002D1D43" w:rsidRPr="000F710A" w:rsidRDefault="006D5A0E" w:rsidP="00EB7F40">
      <w:pPr>
        <w:pStyle w:val="FormateretHTML"/>
        <w:shd w:val="clear" w:color="auto" w:fill="FFFFFF"/>
        <w:wordWrap w:val="0"/>
        <w:rPr>
          <w:rStyle w:val="gd15mcfceub"/>
          <w:rFonts w:ascii="Times New Roman" w:eastAsiaTheme="majorEastAsia" w:hAnsi="Times New Roman" w:cs="Times New Roman"/>
          <w:b/>
          <w:bCs/>
          <w:color w:val="000000"/>
          <w:sz w:val="24"/>
          <w:szCs w:val="24"/>
          <w:bdr w:val="none" w:sz="0" w:space="0" w:color="auto" w:frame="1"/>
        </w:rPr>
      </w:pPr>
      <w:r w:rsidRPr="000F710A">
        <w:rPr>
          <w:rStyle w:val="gd15mcfceub"/>
          <w:rFonts w:ascii="Times New Roman" w:eastAsiaTheme="majorEastAsia" w:hAnsi="Times New Roman" w:cs="Times New Roman"/>
          <w:b/>
          <w:bCs/>
          <w:color w:val="000000"/>
          <w:sz w:val="24"/>
          <w:szCs w:val="24"/>
          <w:bdr w:val="none" w:sz="0" w:space="0" w:color="auto" w:frame="1"/>
        </w:rPr>
        <w:t xml:space="preserve">Margin </w:t>
      </w:r>
      <w:proofErr w:type="spellStart"/>
      <w:r w:rsidRPr="000F710A">
        <w:rPr>
          <w:rStyle w:val="gd15mcfceub"/>
          <w:rFonts w:ascii="Times New Roman" w:eastAsiaTheme="majorEastAsia" w:hAnsi="Times New Roman" w:cs="Times New Roman"/>
          <w:b/>
          <w:bCs/>
          <w:color w:val="000000"/>
          <w:sz w:val="24"/>
          <w:szCs w:val="24"/>
          <w:bdr w:val="none" w:sz="0" w:space="0" w:color="auto" w:frame="1"/>
        </w:rPr>
        <w:t>Searchword</w:t>
      </w:r>
      <w:proofErr w:type="spellEnd"/>
    </w:p>
    <w:p w14:paraId="3CC8C51F" w14:textId="77777777" w:rsidR="006D5A0E" w:rsidRPr="000F710A" w:rsidRDefault="006D5A0E" w:rsidP="006D5A0E">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 xml:space="preserve">   Min. 1st Qu.  Median    Mean 3rd Qu.    Max. </w:t>
      </w:r>
    </w:p>
    <w:p w14:paraId="438FE7B3" w14:textId="1ECFB72D" w:rsidR="000E6F06" w:rsidRPr="000F710A" w:rsidRDefault="006D5A0E" w:rsidP="00094A98">
      <w:pPr>
        <w:pStyle w:val="FormateretHTML"/>
        <w:shd w:val="clear" w:color="auto" w:fill="FFFFFF"/>
        <w:wordWrap w:val="0"/>
        <w:rPr>
          <w:rStyle w:val="gd15mcfceub"/>
          <w:rFonts w:ascii="Times New Roman" w:eastAsiaTheme="majorEastAsia" w:hAnsi="Times New Roman" w:cs="Times New Roman"/>
          <w:color w:val="000000"/>
          <w:sz w:val="24"/>
          <w:szCs w:val="24"/>
          <w:bdr w:val="none" w:sz="0" w:space="0" w:color="auto" w:frame="1"/>
        </w:rPr>
      </w:pPr>
      <w:r w:rsidRPr="000F710A">
        <w:rPr>
          <w:rStyle w:val="gd15mcfceub"/>
          <w:rFonts w:ascii="Times New Roman" w:eastAsiaTheme="majorEastAsia" w:hAnsi="Times New Roman" w:cs="Times New Roman"/>
          <w:color w:val="000000"/>
          <w:sz w:val="24"/>
          <w:szCs w:val="24"/>
          <w:bdr w:val="none" w:sz="0" w:space="0" w:color="auto" w:frame="1"/>
        </w:rPr>
        <w:t>0.00000 0.00000 0.00000 0.08509 0.00000 1.00000</w:t>
      </w:r>
    </w:p>
    <w:p w14:paraId="21B305ED" w14:textId="77777777" w:rsidR="00094A98" w:rsidRPr="00094A98" w:rsidRDefault="00094A98" w:rsidP="00094A98">
      <w:pPr>
        <w:pStyle w:val="FormateretHTML"/>
        <w:shd w:val="clear" w:color="auto" w:fill="FFFFFF"/>
        <w:wordWrap w:val="0"/>
        <w:rPr>
          <w:rFonts w:ascii="Lucida Console" w:hAnsi="Lucida Console"/>
          <w:color w:val="000000"/>
        </w:rPr>
      </w:pPr>
    </w:p>
    <w:p w14:paraId="401A88CF" w14:textId="75C5E284" w:rsidR="00C9764E" w:rsidRPr="009B7CD3" w:rsidRDefault="00C9764E" w:rsidP="009B7CD3">
      <w:pPr>
        <w:pStyle w:val="Overskrift1"/>
        <w:spacing w:line="360" w:lineRule="auto"/>
        <w:jc w:val="both"/>
        <w:rPr>
          <w:rFonts w:ascii="Times New Roman" w:hAnsi="Times New Roman" w:cs="Times New Roman"/>
        </w:rPr>
      </w:pPr>
      <w:r w:rsidRPr="009B7CD3">
        <w:rPr>
          <w:rFonts w:ascii="Times New Roman" w:hAnsi="Times New Roman" w:cs="Times New Roman"/>
        </w:rPr>
        <w:t>On the 202 Key and Level 1 cases</w:t>
      </w:r>
    </w:p>
    <w:p w14:paraId="50C568A7" w14:textId="37455858" w:rsidR="00C9764E" w:rsidRPr="009B7CD3" w:rsidRDefault="002675F4" w:rsidP="009B7CD3">
      <w:pPr>
        <w:pStyle w:val="Overskrift2"/>
        <w:spacing w:line="360" w:lineRule="auto"/>
        <w:jc w:val="both"/>
        <w:rPr>
          <w:rFonts w:ascii="Times New Roman" w:hAnsi="Times New Roman" w:cs="Times New Roman"/>
        </w:rPr>
      </w:pPr>
      <w:r w:rsidRPr="009B7CD3">
        <w:rPr>
          <w:rFonts w:ascii="Times New Roman" w:hAnsi="Times New Roman" w:cs="Times New Roman"/>
        </w:rPr>
        <w:t>On the determination of which cases to include in this sample:</w:t>
      </w:r>
    </w:p>
    <w:p w14:paraId="5F4D64FE" w14:textId="3F09D948" w:rsidR="005070DB" w:rsidRPr="009B7CD3" w:rsidRDefault="005070DB" w:rsidP="009B7CD3">
      <w:pPr>
        <w:spacing w:line="360" w:lineRule="auto"/>
        <w:jc w:val="both"/>
        <w:rPr>
          <w:rFonts w:ascii="Times New Roman" w:hAnsi="Times New Roman" w:cs="Times New Roman"/>
        </w:rPr>
      </w:pPr>
      <w:r w:rsidRPr="009B7CD3">
        <w:rPr>
          <w:rFonts w:ascii="Times New Roman" w:hAnsi="Times New Roman" w:cs="Times New Roman"/>
        </w:rPr>
        <w:t>The sample includes all cases in the Key- or Level 1 importance category</w:t>
      </w:r>
      <w:r w:rsidR="003B00E5" w:rsidRPr="009B7CD3">
        <w:rPr>
          <w:rFonts w:ascii="Times New Roman" w:hAnsi="Times New Roman" w:cs="Times New Roman"/>
        </w:rPr>
        <w:t xml:space="preserve"> where the </w:t>
      </w:r>
      <w:r w:rsidRPr="009B7CD3">
        <w:rPr>
          <w:rFonts w:ascii="Times New Roman" w:hAnsi="Times New Roman" w:cs="Times New Roman"/>
        </w:rPr>
        <w:t xml:space="preserve">margin of appreciation is mentioned at least once. Searching the HUDOC database with a textual search for ‘margin of appreciation’ yielded 298 search-word cases, while using the database’s keyword search yielded 165 cases. After removing any doublets </w:t>
      </w:r>
      <w:r w:rsidR="005F7805">
        <w:rPr>
          <w:rFonts w:ascii="Times New Roman" w:hAnsi="Times New Roman" w:cs="Times New Roman"/>
        </w:rPr>
        <w:t xml:space="preserve">and non-cases </w:t>
      </w:r>
      <w:r w:rsidRPr="009B7CD3">
        <w:rPr>
          <w:rFonts w:ascii="Times New Roman" w:hAnsi="Times New Roman" w:cs="Times New Roman"/>
        </w:rPr>
        <w:t>from the list, the final list ended up with just 202 cases.</w:t>
      </w:r>
    </w:p>
    <w:p w14:paraId="42201746" w14:textId="62AE9B3A" w:rsidR="006A16A6" w:rsidRPr="009B7CD3" w:rsidRDefault="006A16A6" w:rsidP="009B7CD3">
      <w:pPr>
        <w:spacing w:line="360" w:lineRule="auto"/>
        <w:jc w:val="both"/>
        <w:rPr>
          <w:rFonts w:ascii="Times New Roman" w:hAnsi="Times New Roman" w:cs="Times New Roman"/>
        </w:rPr>
      </w:pPr>
      <w:r w:rsidRPr="009B7CD3">
        <w:rPr>
          <w:rFonts w:ascii="Times New Roman" w:hAnsi="Times New Roman" w:cs="Times New Roman"/>
        </w:rPr>
        <w:t>The complete list of cases is here:</w:t>
      </w:r>
    </w:p>
    <w:tbl>
      <w:tblPr>
        <w:tblW w:w="5000" w:type="pct"/>
        <w:shd w:val="clear" w:color="auto" w:fill="DEEAF6" w:themeFill="accent5" w:themeFillTint="33"/>
        <w:tblLook w:val="04A0" w:firstRow="1" w:lastRow="0" w:firstColumn="1" w:lastColumn="0" w:noHBand="0" w:noVBand="1"/>
      </w:tblPr>
      <w:tblGrid>
        <w:gridCol w:w="2558"/>
        <w:gridCol w:w="1861"/>
        <w:gridCol w:w="2160"/>
        <w:gridCol w:w="2447"/>
      </w:tblGrid>
      <w:tr w:rsidR="006511A9" w:rsidRPr="009B7CD3" w14:paraId="3B23B07F"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3132925" w14:textId="4AA07B46" w:rsidR="00D6161C" w:rsidRPr="009B7CD3" w:rsidRDefault="00047B7B" w:rsidP="009B7CD3">
            <w:pPr>
              <w:spacing w:after="0" w:line="360" w:lineRule="auto"/>
              <w:jc w:val="both"/>
              <w:rPr>
                <w:rFonts w:ascii="Times New Roman" w:eastAsia="Times New Roman" w:hAnsi="Times New Roman" w:cs="Times New Roman"/>
                <w:b/>
                <w:bCs/>
                <w:sz w:val="18"/>
                <w:szCs w:val="18"/>
                <w:lang w:eastAsia="en-GB"/>
              </w:rPr>
            </w:pPr>
            <w:r w:rsidRPr="009B7CD3">
              <w:rPr>
                <w:rFonts w:ascii="Times New Roman" w:eastAsia="Times New Roman" w:hAnsi="Times New Roman" w:cs="Times New Roman"/>
                <w:b/>
                <w:bCs/>
                <w:sz w:val="18"/>
                <w:szCs w:val="18"/>
                <w:lang w:eastAsia="en-GB"/>
              </w:rPr>
              <w:t>Cases</w:t>
            </w:r>
          </w:p>
        </w:tc>
        <w:tc>
          <w:tcPr>
            <w:tcW w:w="1109" w:type="pct"/>
            <w:tcBorders>
              <w:top w:val="nil"/>
              <w:left w:val="nil"/>
              <w:bottom w:val="single" w:sz="4" w:space="0" w:color="BFBFBF"/>
              <w:right w:val="nil"/>
            </w:tcBorders>
            <w:shd w:val="clear" w:color="auto" w:fill="DEEAF6" w:themeFill="accent5" w:themeFillTint="33"/>
            <w:noWrap/>
            <w:hideMark/>
          </w:tcPr>
          <w:p w14:paraId="611E280A" w14:textId="1CEBA74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D.l</w:t>
            </w:r>
            <w:proofErr w:type="spellEnd"/>
            <w:r w:rsidRPr="009B7CD3">
              <w:rPr>
                <w:rFonts w:ascii="Times New Roman" w:eastAsia="Times New Roman" w:hAnsi="Times New Roman" w:cs="Times New Roman"/>
                <w:color w:val="000000"/>
                <w:sz w:val="18"/>
                <w:szCs w:val="18"/>
                <w:lang w:eastAsia="en-GB"/>
              </w:rPr>
              <w:t>. V. Bulgaria</w:t>
            </w:r>
          </w:p>
        </w:tc>
        <w:tc>
          <w:tcPr>
            <w:tcW w:w="1275" w:type="pct"/>
            <w:tcBorders>
              <w:top w:val="nil"/>
              <w:left w:val="nil"/>
              <w:bottom w:val="single" w:sz="4" w:space="0" w:color="BFBFBF"/>
              <w:right w:val="nil"/>
            </w:tcBorders>
            <w:shd w:val="clear" w:color="auto" w:fill="DEEAF6" w:themeFill="accent5" w:themeFillTint="33"/>
            <w:noWrap/>
            <w:hideMark/>
          </w:tcPr>
          <w:p w14:paraId="5CF2E46E" w14:textId="0B1B606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Libert</w:t>
            </w:r>
            <w:proofErr w:type="spellEnd"/>
            <w:r w:rsidRPr="009B7CD3">
              <w:rPr>
                <w:rFonts w:ascii="Times New Roman" w:eastAsia="Times New Roman" w:hAnsi="Times New Roman" w:cs="Times New Roman"/>
                <w:color w:val="000000"/>
                <w:sz w:val="18"/>
                <w:szCs w:val="18"/>
                <w:lang w:eastAsia="en-GB"/>
              </w:rPr>
              <w:t xml:space="preserve"> v. France</w:t>
            </w:r>
          </w:p>
        </w:tc>
        <w:tc>
          <w:tcPr>
            <w:tcW w:w="1347" w:type="pct"/>
            <w:tcBorders>
              <w:top w:val="nil"/>
              <w:left w:val="nil"/>
              <w:bottom w:val="single" w:sz="4" w:space="0" w:color="BFBFBF"/>
              <w:right w:val="nil"/>
            </w:tcBorders>
            <w:shd w:val="clear" w:color="auto" w:fill="DEEAF6" w:themeFill="accent5" w:themeFillTint="33"/>
            <w:noWrap/>
            <w:hideMark/>
          </w:tcPr>
          <w:p w14:paraId="6D323B8E" w14:textId="2B039437"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S.j</w:t>
            </w:r>
            <w:proofErr w:type="spellEnd"/>
            <w:r w:rsidRPr="009B7CD3">
              <w:rPr>
                <w:rFonts w:ascii="Times New Roman" w:eastAsia="Times New Roman" w:hAnsi="Times New Roman" w:cs="Times New Roman"/>
                <w:color w:val="000000"/>
                <w:sz w:val="18"/>
                <w:szCs w:val="18"/>
                <w:lang w:eastAsia="en-GB"/>
              </w:rPr>
              <w:t>. V. Belgium</w:t>
            </w:r>
          </w:p>
        </w:tc>
      </w:tr>
      <w:tr w:rsidR="006511A9" w:rsidRPr="009B7CD3" w14:paraId="2407693E"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6336BFFE" w14:textId="691F1B4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Ališić</w:t>
            </w:r>
            <w:proofErr w:type="spellEnd"/>
            <w:r w:rsidRPr="009B7CD3">
              <w:rPr>
                <w:rFonts w:ascii="Times New Roman" w:eastAsia="Times New Roman" w:hAnsi="Times New Roman" w:cs="Times New Roman"/>
                <w:color w:val="000000"/>
                <w:sz w:val="18"/>
                <w:szCs w:val="18"/>
                <w:lang w:eastAsia="en-GB"/>
              </w:rPr>
              <w:t xml:space="preserve"> and others v. Bosnia and </w:t>
            </w:r>
            <w:proofErr w:type="spellStart"/>
            <w:r w:rsidRPr="009B7CD3">
              <w:rPr>
                <w:rFonts w:ascii="Times New Roman" w:eastAsia="Times New Roman" w:hAnsi="Times New Roman" w:cs="Times New Roman"/>
                <w:color w:val="000000"/>
                <w:sz w:val="18"/>
                <w:szCs w:val="18"/>
                <w:lang w:eastAsia="en-GB"/>
              </w:rPr>
              <w:t>herzegovina</w:t>
            </w:r>
            <w:proofErr w:type="spellEnd"/>
            <w:r w:rsidRPr="009B7CD3">
              <w:rPr>
                <w:rFonts w:ascii="Times New Roman" w:eastAsia="Times New Roman" w:hAnsi="Times New Roman" w:cs="Times New Roman"/>
                <w:color w:val="000000"/>
                <w:sz w:val="18"/>
                <w:szCs w:val="18"/>
                <w:lang w:eastAsia="en-GB"/>
              </w:rPr>
              <w:t>, and others</w:t>
            </w:r>
          </w:p>
        </w:tc>
        <w:tc>
          <w:tcPr>
            <w:tcW w:w="1109" w:type="pct"/>
            <w:tcBorders>
              <w:top w:val="nil"/>
              <w:left w:val="nil"/>
              <w:bottom w:val="single" w:sz="4" w:space="0" w:color="BFBFBF"/>
              <w:right w:val="nil"/>
            </w:tcBorders>
            <w:shd w:val="clear" w:color="auto" w:fill="DEEAF6" w:themeFill="accent5" w:themeFillTint="33"/>
            <w:noWrap/>
            <w:hideMark/>
          </w:tcPr>
          <w:p w14:paraId="46705488" w14:textId="2562F30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Davydov</w:t>
            </w:r>
            <w:proofErr w:type="spellEnd"/>
            <w:r w:rsidRPr="009B7CD3">
              <w:rPr>
                <w:rFonts w:ascii="Times New Roman" w:eastAsia="Times New Roman" w:hAnsi="Times New Roman" w:cs="Times New Roman"/>
                <w:color w:val="000000"/>
                <w:sz w:val="18"/>
                <w:szCs w:val="18"/>
                <w:lang w:eastAsia="en-GB"/>
              </w:rPr>
              <w:t xml:space="preserve"> and others v. Russia</w:t>
            </w:r>
          </w:p>
        </w:tc>
        <w:tc>
          <w:tcPr>
            <w:tcW w:w="1275" w:type="pct"/>
            <w:tcBorders>
              <w:top w:val="nil"/>
              <w:left w:val="nil"/>
              <w:bottom w:val="single" w:sz="4" w:space="0" w:color="BFBFBF"/>
              <w:right w:val="nil"/>
            </w:tcBorders>
            <w:shd w:val="clear" w:color="auto" w:fill="DEEAF6" w:themeFill="accent5" w:themeFillTint="33"/>
            <w:noWrap/>
            <w:hideMark/>
          </w:tcPr>
          <w:p w14:paraId="5E67B667" w14:textId="5885FA1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Lindheim</w:t>
            </w:r>
            <w:proofErr w:type="spellEnd"/>
            <w:r w:rsidRPr="009B7CD3">
              <w:rPr>
                <w:rFonts w:ascii="Times New Roman" w:eastAsia="Times New Roman" w:hAnsi="Times New Roman" w:cs="Times New Roman"/>
                <w:color w:val="000000"/>
                <w:sz w:val="18"/>
                <w:szCs w:val="18"/>
                <w:lang w:eastAsia="en-GB"/>
              </w:rPr>
              <w:t xml:space="preserve"> and others v. Norway</w:t>
            </w:r>
          </w:p>
        </w:tc>
        <w:tc>
          <w:tcPr>
            <w:tcW w:w="1347" w:type="pct"/>
            <w:tcBorders>
              <w:top w:val="nil"/>
              <w:left w:val="nil"/>
              <w:bottom w:val="single" w:sz="4" w:space="0" w:color="BFBFBF"/>
              <w:right w:val="nil"/>
            </w:tcBorders>
            <w:shd w:val="clear" w:color="auto" w:fill="DEEAF6" w:themeFill="accent5" w:themeFillTint="33"/>
            <w:noWrap/>
            <w:hideMark/>
          </w:tcPr>
          <w:p w14:paraId="4BCD74D2" w14:textId="5F0ADB0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Söderman</w:t>
            </w:r>
            <w:proofErr w:type="spellEnd"/>
            <w:r w:rsidRPr="009B7CD3">
              <w:rPr>
                <w:rFonts w:ascii="Times New Roman" w:eastAsia="Times New Roman" w:hAnsi="Times New Roman" w:cs="Times New Roman"/>
                <w:color w:val="000000"/>
                <w:sz w:val="18"/>
                <w:szCs w:val="18"/>
                <w:lang w:eastAsia="en-GB"/>
              </w:rPr>
              <w:t xml:space="preserve"> v. Sweden</w:t>
            </w:r>
          </w:p>
        </w:tc>
      </w:tr>
      <w:tr w:rsidR="006511A9" w:rsidRPr="009B7CD3" w14:paraId="39BD99A6"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4B5D37E7" w14:textId="7794F9A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Grudić</w:t>
            </w:r>
            <w:proofErr w:type="spellEnd"/>
            <w:r w:rsidRPr="009B7CD3">
              <w:rPr>
                <w:rFonts w:ascii="Times New Roman" w:eastAsia="Times New Roman" w:hAnsi="Times New Roman" w:cs="Times New Roman"/>
                <w:color w:val="000000"/>
                <w:sz w:val="18"/>
                <w:szCs w:val="18"/>
                <w:lang w:eastAsia="en-GB"/>
              </w:rPr>
              <w:t xml:space="preserve"> v. Serbia</w:t>
            </w:r>
          </w:p>
        </w:tc>
        <w:tc>
          <w:tcPr>
            <w:tcW w:w="1109" w:type="pct"/>
            <w:tcBorders>
              <w:top w:val="nil"/>
              <w:left w:val="nil"/>
              <w:bottom w:val="single" w:sz="4" w:space="0" w:color="BFBFBF"/>
              <w:right w:val="nil"/>
            </w:tcBorders>
            <w:shd w:val="clear" w:color="auto" w:fill="DEEAF6" w:themeFill="accent5" w:themeFillTint="33"/>
            <w:noWrap/>
            <w:hideMark/>
          </w:tcPr>
          <w:p w14:paraId="52368497" w14:textId="457AD71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De </w:t>
            </w:r>
            <w:proofErr w:type="spellStart"/>
            <w:r w:rsidRPr="009B7CD3">
              <w:rPr>
                <w:rFonts w:ascii="Times New Roman" w:eastAsia="Times New Roman" w:hAnsi="Times New Roman" w:cs="Times New Roman"/>
                <w:color w:val="000000"/>
                <w:sz w:val="18"/>
                <w:szCs w:val="18"/>
                <w:lang w:eastAsia="en-GB"/>
              </w:rPr>
              <w:t>souza</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ribeiro</w:t>
            </w:r>
            <w:proofErr w:type="spellEnd"/>
            <w:r w:rsidRPr="009B7CD3">
              <w:rPr>
                <w:rFonts w:ascii="Times New Roman" w:eastAsia="Times New Roman" w:hAnsi="Times New Roman" w:cs="Times New Roman"/>
                <w:color w:val="000000"/>
                <w:sz w:val="18"/>
                <w:szCs w:val="18"/>
                <w:lang w:eastAsia="en-GB"/>
              </w:rPr>
              <w:t xml:space="preserve"> v. France</w:t>
            </w:r>
          </w:p>
        </w:tc>
        <w:tc>
          <w:tcPr>
            <w:tcW w:w="1275" w:type="pct"/>
            <w:tcBorders>
              <w:top w:val="nil"/>
              <w:left w:val="nil"/>
              <w:bottom w:val="single" w:sz="4" w:space="0" w:color="BFBFBF"/>
              <w:right w:val="nil"/>
            </w:tcBorders>
            <w:shd w:val="clear" w:color="auto" w:fill="DEEAF6" w:themeFill="accent5" w:themeFillTint="33"/>
            <w:noWrap/>
            <w:hideMark/>
          </w:tcPr>
          <w:p w14:paraId="10896F5F" w14:textId="5FDD694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Lopes de </w:t>
            </w:r>
            <w:proofErr w:type="spellStart"/>
            <w:r w:rsidRPr="009B7CD3">
              <w:rPr>
                <w:rFonts w:ascii="Times New Roman" w:eastAsia="Times New Roman" w:hAnsi="Times New Roman" w:cs="Times New Roman"/>
                <w:color w:val="000000"/>
                <w:sz w:val="18"/>
                <w:szCs w:val="18"/>
                <w:lang w:eastAsia="en-GB"/>
              </w:rPr>
              <w:t>sousa</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fernandes</w:t>
            </w:r>
            <w:proofErr w:type="spellEnd"/>
            <w:r w:rsidRPr="009B7CD3">
              <w:rPr>
                <w:rFonts w:ascii="Times New Roman" w:eastAsia="Times New Roman" w:hAnsi="Times New Roman" w:cs="Times New Roman"/>
                <w:color w:val="000000"/>
                <w:sz w:val="18"/>
                <w:szCs w:val="18"/>
                <w:lang w:eastAsia="en-GB"/>
              </w:rPr>
              <w:t xml:space="preserve"> v. Portugal</w:t>
            </w:r>
          </w:p>
        </w:tc>
        <w:tc>
          <w:tcPr>
            <w:tcW w:w="1347" w:type="pct"/>
            <w:tcBorders>
              <w:top w:val="nil"/>
              <w:left w:val="nil"/>
              <w:bottom w:val="single" w:sz="4" w:space="0" w:color="BFBFBF"/>
              <w:right w:val="nil"/>
            </w:tcBorders>
            <w:shd w:val="clear" w:color="auto" w:fill="DEEAF6" w:themeFill="accent5" w:themeFillTint="33"/>
            <w:noWrap/>
            <w:hideMark/>
          </w:tcPr>
          <w:p w14:paraId="0382532D" w14:textId="12950ED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Sabanchiyeva</w:t>
            </w:r>
            <w:proofErr w:type="spellEnd"/>
            <w:r w:rsidRPr="009B7CD3">
              <w:rPr>
                <w:rFonts w:ascii="Times New Roman" w:eastAsia="Times New Roman" w:hAnsi="Times New Roman" w:cs="Times New Roman"/>
                <w:color w:val="000000"/>
                <w:sz w:val="18"/>
                <w:szCs w:val="18"/>
                <w:lang w:eastAsia="en-GB"/>
              </w:rPr>
              <w:t xml:space="preserve"> and others v. Russia</w:t>
            </w:r>
          </w:p>
        </w:tc>
      </w:tr>
      <w:tr w:rsidR="006511A9" w:rsidRPr="009B7CD3" w14:paraId="1CEC4451"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39BC46E7" w14:textId="5356FB8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Guberina</w:t>
            </w:r>
            <w:proofErr w:type="spellEnd"/>
            <w:r w:rsidRPr="009B7CD3">
              <w:rPr>
                <w:rFonts w:ascii="Times New Roman" w:eastAsia="Times New Roman" w:hAnsi="Times New Roman" w:cs="Times New Roman"/>
                <w:color w:val="000000"/>
                <w:sz w:val="18"/>
                <w:szCs w:val="18"/>
                <w:lang w:eastAsia="en-GB"/>
              </w:rPr>
              <w:t xml:space="preserve"> v. Croatia</w:t>
            </w:r>
          </w:p>
        </w:tc>
        <w:tc>
          <w:tcPr>
            <w:tcW w:w="1109" w:type="pct"/>
            <w:tcBorders>
              <w:top w:val="nil"/>
              <w:left w:val="nil"/>
              <w:bottom w:val="single" w:sz="4" w:space="0" w:color="BFBFBF"/>
              <w:right w:val="nil"/>
            </w:tcBorders>
            <w:shd w:val="clear" w:color="auto" w:fill="DEEAF6" w:themeFill="accent5" w:themeFillTint="33"/>
            <w:noWrap/>
            <w:hideMark/>
          </w:tcPr>
          <w:p w14:paraId="06F8DE58" w14:textId="6BCDCA4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De </w:t>
            </w:r>
            <w:proofErr w:type="spellStart"/>
            <w:r w:rsidRPr="009B7CD3">
              <w:rPr>
                <w:rFonts w:ascii="Times New Roman" w:eastAsia="Times New Roman" w:hAnsi="Times New Roman" w:cs="Times New Roman"/>
                <w:color w:val="000000"/>
                <w:sz w:val="18"/>
                <w:szCs w:val="18"/>
                <w:lang w:eastAsia="en-GB"/>
              </w:rPr>
              <w:t>tommaso</w:t>
            </w:r>
            <w:proofErr w:type="spellEnd"/>
            <w:r w:rsidRPr="009B7CD3">
              <w:rPr>
                <w:rFonts w:ascii="Times New Roman" w:eastAsia="Times New Roman" w:hAnsi="Times New Roman" w:cs="Times New Roman"/>
                <w:color w:val="000000"/>
                <w:sz w:val="18"/>
                <w:szCs w:val="18"/>
                <w:lang w:eastAsia="en-GB"/>
              </w:rPr>
              <w:t xml:space="preserve"> v. Italy</w:t>
            </w:r>
          </w:p>
        </w:tc>
        <w:tc>
          <w:tcPr>
            <w:tcW w:w="1275" w:type="pct"/>
            <w:tcBorders>
              <w:top w:val="nil"/>
              <w:left w:val="nil"/>
              <w:bottom w:val="single" w:sz="4" w:space="0" w:color="BFBFBF"/>
              <w:right w:val="nil"/>
            </w:tcBorders>
            <w:shd w:val="clear" w:color="auto" w:fill="DEEAF6" w:themeFill="accent5" w:themeFillTint="33"/>
            <w:noWrap/>
            <w:hideMark/>
          </w:tcPr>
          <w:p w14:paraId="147681F4" w14:textId="546AD3A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Lozovyye</w:t>
            </w:r>
            <w:proofErr w:type="spellEnd"/>
            <w:r w:rsidRPr="009B7CD3">
              <w:rPr>
                <w:rFonts w:ascii="Times New Roman" w:eastAsia="Times New Roman" w:hAnsi="Times New Roman" w:cs="Times New Roman"/>
                <w:color w:val="000000"/>
                <w:sz w:val="18"/>
                <w:szCs w:val="18"/>
                <w:lang w:eastAsia="en-GB"/>
              </w:rPr>
              <w:t xml:space="preserve"> v. Russia</w:t>
            </w:r>
          </w:p>
        </w:tc>
        <w:tc>
          <w:tcPr>
            <w:tcW w:w="1347" w:type="pct"/>
            <w:tcBorders>
              <w:top w:val="nil"/>
              <w:left w:val="nil"/>
              <w:bottom w:val="single" w:sz="4" w:space="0" w:color="BFBFBF"/>
              <w:right w:val="nil"/>
            </w:tcBorders>
            <w:shd w:val="clear" w:color="auto" w:fill="DEEAF6" w:themeFill="accent5" w:themeFillTint="33"/>
            <w:noWrap/>
            <w:hideMark/>
          </w:tcPr>
          <w:p w14:paraId="21643905" w14:textId="05D815E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Sace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elektrik</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ticaret</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sanayi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a.ş</w:t>
            </w:r>
            <w:proofErr w:type="spellEnd"/>
            <w:r w:rsidRPr="009B7CD3">
              <w:rPr>
                <w:rFonts w:ascii="Times New Roman" w:eastAsia="Times New Roman" w:hAnsi="Times New Roman" w:cs="Times New Roman"/>
                <w:color w:val="000000"/>
                <w:sz w:val="18"/>
                <w:szCs w:val="18"/>
                <w:lang w:eastAsia="en-GB"/>
              </w:rPr>
              <w:t>. V. Turkey</w:t>
            </w:r>
          </w:p>
        </w:tc>
      </w:tr>
      <w:tr w:rsidR="006511A9" w:rsidRPr="009B7CD3" w14:paraId="44F41586"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F05A68D" w14:textId="215A981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Hamidovic</w:t>
            </w:r>
            <w:proofErr w:type="spellEnd"/>
            <w:r w:rsidRPr="009B7CD3">
              <w:rPr>
                <w:rFonts w:ascii="Times New Roman" w:eastAsia="Times New Roman" w:hAnsi="Times New Roman" w:cs="Times New Roman"/>
                <w:color w:val="000000"/>
                <w:sz w:val="18"/>
                <w:szCs w:val="18"/>
                <w:lang w:eastAsia="en-GB"/>
              </w:rPr>
              <w:t xml:space="preserve"> v. Bosnia and </w:t>
            </w:r>
            <w:proofErr w:type="spellStart"/>
            <w:r w:rsidRPr="009B7CD3">
              <w:rPr>
                <w:rFonts w:ascii="Times New Roman" w:eastAsia="Times New Roman" w:hAnsi="Times New Roman" w:cs="Times New Roman"/>
                <w:color w:val="000000"/>
                <w:sz w:val="18"/>
                <w:szCs w:val="18"/>
                <w:lang w:eastAsia="en-GB"/>
              </w:rPr>
              <w:t>herzegovina</w:t>
            </w:r>
            <w:proofErr w:type="spellEnd"/>
          </w:p>
        </w:tc>
        <w:tc>
          <w:tcPr>
            <w:tcW w:w="1109" w:type="pct"/>
            <w:tcBorders>
              <w:top w:val="nil"/>
              <w:left w:val="nil"/>
              <w:bottom w:val="single" w:sz="4" w:space="0" w:color="BFBFBF"/>
              <w:right w:val="nil"/>
            </w:tcBorders>
            <w:shd w:val="clear" w:color="auto" w:fill="DEEAF6" w:themeFill="accent5" w:themeFillTint="33"/>
            <w:noWrap/>
            <w:hideMark/>
          </w:tcPr>
          <w:p w14:paraId="06D341DF" w14:textId="4CDC48D7"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Del </w:t>
            </w:r>
            <w:proofErr w:type="spellStart"/>
            <w:r w:rsidRPr="009B7CD3">
              <w:rPr>
                <w:rFonts w:ascii="Times New Roman" w:eastAsia="Times New Roman" w:hAnsi="Times New Roman" w:cs="Times New Roman"/>
                <w:color w:val="000000"/>
                <w:sz w:val="18"/>
                <w:szCs w:val="18"/>
                <w:lang w:eastAsia="en-GB"/>
              </w:rPr>
              <w:t>río</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prada</w:t>
            </w:r>
            <w:proofErr w:type="spellEnd"/>
            <w:r w:rsidRPr="009B7CD3">
              <w:rPr>
                <w:rFonts w:ascii="Times New Roman" w:eastAsia="Times New Roman" w:hAnsi="Times New Roman" w:cs="Times New Roman"/>
                <w:color w:val="000000"/>
                <w:sz w:val="18"/>
                <w:szCs w:val="18"/>
                <w:lang w:eastAsia="en-GB"/>
              </w:rPr>
              <w:t xml:space="preserve"> v. Spain</w:t>
            </w:r>
          </w:p>
        </w:tc>
        <w:tc>
          <w:tcPr>
            <w:tcW w:w="1275" w:type="pct"/>
            <w:tcBorders>
              <w:top w:val="nil"/>
              <w:left w:val="nil"/>
              <w:bottom w:val="single" w:sz="4" w:space="0" w:color="BFBFBF"/>
              <w:right w:val="nil"/>
            </w:tcBorders>
            <w:shd w:val="clear" w:color="auto" w:fill="DEEAF6" w:themeFill="accent5" w:themeFillTint="33"/>
            <w:noWrap/>
            <w:hideMark/>
          </w:tcPr>
          <w:p w14:paraId="7192C8E6" w14:textId="5C893237"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Lupeni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greek</w:t>
            </w:r>
            <w:proofErr w:type="spellEnd"/>
            <w:r w:rsidRPr="009B7CD3">
              <w:rPr>
                <w:rFonts w:ascii="Times New Roman" w:eastAsia="Times New Roman" w:hAnsi="Times New Roman" w:cs="Times New Roman"/>
                <w:color w:val="000000"/>
                <w:sz w:val="18"/>
                <w:szCs w:val="18"/>
                <w:lang w:eastAsia="en-GB"/>
              </w:rPr>
              <w:t xml:space="preserve"> catholic parish and others v. Romania</w:t>
            </w:r>
          </w:p>
        </w:tc>
        <w:tc>
          <w:tcPr>
            <w:tcW w:w="1347" w:type="pct"/>
            <w:tcBorders>
              <w:top w:val="nil"/>
              <w:left w:val="nil"/>
              <w:bottom w:val="single" w:sz="4" w:space="0" w:color="BFBFBF"/>
              <w:right w:val="nil"/>
            </w:tcBorders>
            <w:shd w:val="clear" w:color="auto" w:fill="DEEAF6" w:themeFill="accent5" w:themeFillTint="33"/>
            <w:noWrap/>
            <w:hideMark/>
          </w:tcPr>
          <w:p w14:paraId="273204EF" w14:textId="558CD6A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Şahin</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alpay</w:t>
            </w:r>
            <w:proofErr w:type="spellEnd"/>
            <w:r w:rsidRPr="009B7CD3">
              <w:rPr>
                <w:rFonts w:ascii="Times New Roman" w:eastAsia="Times New Roman" w:hAnsi="Times New Roman" w:cs="Times New Roman"/>
                <w:color w:val="000000"/>
                <w:sz w:val="18"/>
                <w:szCs w:val="18"/>
                <w:lang w:eastAsia="en-GB"/>
              </w:rPr>
              <w:t xml:space="preserve"> v. Turkey</w:t>
            </w:r>
          </w:p>
        </w:tc>
      </w:tr>
      <w:tr w:rsidR="006511A9" w:rsidRPr="009B7CD3" w14:paraId="7AB14DCC"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62EA8135" w14:textId="54C1F15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Kurić</w:t>
            </w:r>
            <w:proofErr w:type="spellEnd"/>
            <w:r w:rsidRPr="009B7CD3">
              <w:rPr>
                <w:rFonts w:ascii="Times New Roman" w:eastAsia="Times New Roman" w:hAnsi="Times New Roman" w:cs="Times New Roman"/>
                <w:color w:val="000000"/>
                <w:sz w:val="18"/>
                <w:szCs w:val="18"/>
                <w:lang w:eastAsia="en-GB"/>
              </w:rPr>
              <w:t xml:space="preserve"> and others v. Slovenia</w:t>
            </w:r>
          </w:p>
        </w:tc>
        <w:tc>
          <w:tcPr>
            <w:tcW w:w="1109" w:type="pct"/>
            <w:tcBorders>
              <w:top w:val="nil"/>
              <w:left w:val="nil"/>
              <w:bottom w:val="single" w:sz="4" w:space="0" w:color="BFBFBF"/>
              <w:right w:val="nil"/>
            </w:tcBorders>
            <w:shd w:val="clear" w:color="auto" w:fill="DEEAF6" w:themeFill="accent5" w:themeFillTint="33"/>
            <w:noWrap/>
            <w:hideMark/>
          </w:tcPr>
          <w:p w14:paraId="596BABB0" w14:textId="7830E69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Delfi</w:t>
            </w:r>
            <w:proofErr w:type="spellEnd"/>
            <w:r w:rsidRPr="009B7CD3">
              <w:rPr>
                <w:rFonts w:ascii="Times New Roman" w:eastAsia="Times New Roman" w:hAnsi="Times New Roman" w:cs="Times New Roman"/>
                <w:color w:val="000000"/>
                <w:sz w:val="18"/>
                <w:szCs w:val="18"/>
                <w:lang w:eastAsia="en-GB"/>
              </w:rPr>
              <w:t xml:space="preserve"> as v. Estonia</w:t>
            </w:r>
          </w:p>
        </w:tc>
        <w:tc>
          <w:tcPr>
            <w:tcW w:w="1275" w:type="pct"/>
            <w:tcBorders>
              <w:top w:val="nil"/>
              <w:left w:val="nil"/>
              <w:bottom w:val="single" w:sz="4" w:space="0" w:color="BFBFBF"/>
              <w:right w:val="nil"/>
            </w:tcBorders>
            <w:shd w:val="clear" w:color="auto" w:fill="DEEAF6" w:themeFill="accent5" w:themeFillTint="33"/>
            <w:noWrap/>
            <w:hideMark/>
          </w:tcPr>
          <w:p w14:paraId="12A66C30" w14:textId="26D8C1F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M.d.</w:t>
            </w:r>
            <w:proofErr w:type="spellEnd"/>
            <w:r w:rsidRPr="009B7CD3">
              <w:rPr>
                <w:rFonts w:ascii="Times New Roman" w:eastAsia="Times New Roman" w:hAnsi="Times New Roman" w:cs="Times New Roman"/>
                <w:color w:val="000000"/>
                <w:sz w:val="18"/>
                <w:szCs w:val="18"/>
                <w:lang w:eastAsia="en-GB"/>
              </w:rPr>
              <w:t xml:space="preserve"> And others v. Malta</w:t>
            </w:r>
          </w:p>
        </w:tc>
        <w:tc>
          <w:tcPr>
            <w:tcW w:w="1347" w:type="pct"/>
            <w:tcBorders>
              <w:top w:val="nil"/>
              <w:left w:val="nil"/>
              <w:bottom w:val="single" w:sz="4" w:space="0" w:color="BFBFBF"/>
              <w:right w:val="nil"/>
            </w:tcBorders>
            <w:shd w:val="clear" w:color="auto" w:fill="DEEAF6" w:themeFill="accent5" w:themeFillTint="33"/>
            <w:noWrap/>
            <w:hideMark/>
          </w:tcPr>
          <w:p w14:paraId="15911A79" w14:textId="4A44039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Sargsyan v. Azerbaijan</w:t>
            </w:r>
          </w:p>
        </w:tc>
      </w:tr>
      <w:tr w:rsidR="004A7601" w:rsidRPr="009B7CD3" w14:paraId="5BE98BE8"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7F029400" w14:textId="1BEB5FC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Lekic</w:t>
            </w:r>
            <w:proofErr w:type="spellEnd"/>
            <w:r w:rsidRPr="009B7CD3">
              <w:rPr>
                <w:rFonts w:ascii="Times New Roman" w:eastAsia="Times New Roman" w:hAnsi="Times New Roman" w:cs="Times New Roman"/>
                <w:color w:val="000000"/>
                <w:sz w:val="18"/>
                <w:szCs w:val="18"/>
                <w:lang w:eastAsia="en-GB"/>
              </w:rPr>
              <w:t xml:space="preserve"> v. Slovenia</w:t>
            </w:r>
          </w:p>
        </w:tc>
        <w:tc>
          <w:tcPr>
            <w:tcW w:w="1109" w:type="pct"/>
            <w:tcBorders>
              <w:top w:val="nil"/>
              <w:left w:val="nil"/>
              <w:bottom w:val="nil"/>
              <w:right w:val="nil"/>
            </w:tcBorders>
            <w:shd w:val="clear" w:color="auto" w:fill="DEEAF6" w:themeFill="accent5" w:themeFillTint="33"/>
            <w:noWrap/>
            <w:vAlign w:val="bottom"/>
            <w:hideMark/>
          </w:tcPr>
          <w:p w14:paraId="20F4BECF" w14:textId="63753A5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Dubská</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krejzová</w:t>
            </w:r>
            <w:proofErr w:type="spellEnd"/>
            <w:r w:rsidRPr="009B7CD3">
              <w:rPr>
                <w:rFonts w:ascii="Times New Roman" w:eastAsia="Times New Roman" w:hAnsi="Times New Roman" w:cs="Times New Roman"/>
                <w:color w:val="000000"/>
                <w:sz w:val="18"/>
                <w:szCs w:val="18"/>
                <w:lang w:eastAsia="en-GB"/>
              </w:rPr>
              <w:t xml:space="preserve"> v. The </w:t>
            </w:r>
            <w:proofErr w:type="spellStart"/>
            <w:r w:rsidRPr="009B7CD3">
              <w:rPr>
                <w:rFonts w:ascii="Times New Roman" w:eastAsia="Times New Roman" w:hAnsi="Times New Roman" w:cs="Times New Roman"/>
                <w:color w:val="000000"/>
                <w:sz w:val="18"/>
                <w:szCs w:val="18"/>
                <w:lang w:eastAsia="en-GB"/>
              </w:rPr>
              <w:t>czech</w:t>
            </w:r>
            <w:proofErr w:type="spellEnd"/>
            <w:r w:rsidRPr="009B7CD3">
              <w:rPr>
                <w:rFonts w:ascii="Times New Roman" w:eastAsia="Times New Roman" w:hAnsi="Times New Roman" w:cs="Times New Roman"/>
                <w:color w:val="000000"/>
                <w:sz w:val="18"/>
                <w:szCs w:val="18"/>
                <w:lang w:eastAsia="en-GB"/>
              </w:rPr>
              <w:t xml:space="preserve"> republic</w:t>
            </w:r>
          </w:p>
        </w:tc>
        <w:tc>
          <w:tcPr>
            <w:tcW w:w="1275" w:type="pct"/>
            <w:tcBorders>
              <w:top w:val="nil"/>
              <w:left w:val="nil"/>
              <w:bottom w:val="single" w:sz="4" w:space="0" w:color="BFBFBF"/>
              <w:right w:val="nil"/>
            </w:tcBorders>
            <w:shd w:val="clear" w:color="auto" w:fill="DEEAF6" w:themeFill="accent5" w:themeFillTint="33"/>
            <w:noWrap/>
            <w:hideMark/>
          </w:tcPr>
          <w:p w14:paraId="6848D9F2" w14:textId="3DB918F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M.l</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w.w.</w:t>
            </w:r>
            <w:proofErr w:type="spellEnd"/>
            <w:r w:rsidRPr="009B7CD3">
              <w:rPr>
                <w:rFonts w:ascii="Times New Roman" w:eastAsia="Times New Roman" w:hAnsi="Times New Roman" w:cs="Times New Roman"/>
                <w:color w:val="000000"/>
                <w:sz w:val="18"/>
                <w:szCs w:val="18"/>
                <w:lang w:eastAsia="en-GB"/>
              </w:rPr>
              <w:t xml:space="preserve"> V. Germany</w:t>
            </w:r>
          </w:p>
        </w:tc>
        <w:tc>
          <w:tcPr>
            <w:tcW w:w="1347" w:type="pct"/>
            <w:tcBorders>
              <w:top w:val="nil"/>
              <w:left w:val="nil"/>
              <w:bottom w:val="single" w:sz="4" w:space="0" w:color="BFBFBF"/>
              <w:right w:val="nil"/>
            </w:tcBorders>
            <w:shd w:val="clear" w:color="auto" w:fill="DEEAF6" w:themeFill="accent5" w:themeFillTint="33"/>
            <w:noWrap/>
            <w:hideMark/>
          </w:tcPr>
          <w:p w14:paraId="4DDE1572" w14:textId="37680EC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Satakunnan</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markkinapörssi</w:t>
            </w:r>
            <w:proofErr w:type="spellEnd"/>
            <w:r w:rsidRPr="009B7CD3">
              <w:rPr>
                <w:rFonts w:ascii="Times New Roman" w:eastAsia="Times New Roman" w:hAnsi="Times New Roman" w:cs="Times New Roman"/>
                <w:color w:val="000000"/>
                <w:sz w:val="18"/>
                <w:szCs w:val="18"/>
                <w:lang w:eastAsia="en-GB"/>
              </w:rPr>
              <w:t xml:space="preserve"> oy and </w:t>
            </w:r>
            <w:proofErr w:type="spellStart"/>
            <w:r w:rsidRPr="009B7CD3">
              <w:rPr>
                <w:rFonts w:ascii="Times New Roman" w:eastAsia="Times New Roman" w:hAnsi="Times New Roman" w:cs="Times New Roman"/>
                <w:color w:val="000000"/>
                <w:sz w:val="18"/>
                <w:szCs w:val="18"/>
                <w:lang w:eastAsia="en-GB"/>
              </w:rPr>
              <w:t>satamedia</w:t>
            </w:r>
            <w:proofErr w:type="spellEnd"/>
            <w:r w:rsidRPr="009B7CD3">
              <w:rPr>
                <w:rFonts w:ascii="Times New Roman" w:eastAsia="Times New Roman" w:hAnsi="Times New Roman" w:cs="Times New Roman"/>
                <w:color w:val="000000"/>
                <w:sz w:val="18"/>
                <w:szCs w:val="18"/>
                <w:lang w:eastAsia="en-GB"/>
              </w:rPr>
              <w:t xml:space="preserve"> oy v. Finland [</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r>
      <w:tr w:rsidR="004A7601" w:rsidRPr="009B7CD3" w14:paraId="2089149C"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9A926CA" w14:textId="29E396E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Medžlis</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islamske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zajednice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brčko</w:t>
            </w:r>
            <w:proofErr w:type="spellEnd"/>
            <w:r w:rsidRPr="009B7CD3">
              <w:rPr>
                <w:rFonts w:ascii="Times New Roman" w:eastAsia="Times New Roman" w:hAnsi="Times New Roman" w:cs="Times New Roman"/>
                <w:color w:val="000000"/>
                <w:sz w:val="18"/>
                <w:szCs w:val="18"/>
                <w:lang w:eastAsia="en-GB"/>
              </w:rPr>
              <w:t xml:space="preserve"> and others v. Bosnia and </w:t>
            </w:r>
            <w:proofErr w:type="spellStart"/>
            <w:r w:rsidRPr="009B7CD3">
              <w:rPr>
                <w:rFonts w:ascii="Times New Roman" w:eastAsia="Times New Roman" w:hAnsi="Times New Roman" w:cs="Times New Roman"/>
                <w:color w:val="000000"/>
                <w:sz w:val="18"/>
                <w:szCs w:val="18"/>
                <w:lang w:eastAsia="en-GB"/>
              </w:rPr>
              <w:t>herzegovina</w:t>
            </w:r>
            <w:proofErr w:type="spellEnd"/>
            <w:r w:rsidRPr="009B7CD3">
              <w:rPr>
                <w:rFonts w:ascii="Times New Roman" w:eastAsia="Times New Roman" w:hAnsi="Times New Roman" w:cs="Times New Roman"/>
                <w:color w:val="000000"/>
                <w:sz w:val="18"/>
                <w:szCs w:val="18"/>
                <w:lang w:eastAsia="en-GB"/>
              </w:rPr>
              <w:t>,</w:t>
            </w:r>
          </w:p>
        </w:tc>
        <w:tc>
          <w:tcPr>
            <w:tcW w:w="1109" w:type="pct"/>
            <w:tcBorders>
              <w:top w:val="nil"/>
              <w:left w:val="nil"/>
              <w:bottom w:val="nil"/>
              <w:right w:val="nil"/>
            </w:tcBorders>
            <w:shd w:val="clear" w:color="auto" w:fill="DEEAF6" w:themeFill="accent5" w:themeFillTint="33"/>
            <w:noWrap/>
            <w:vAlign w:val="bottom"/>
            <w:hideMark/>
          </w:tcPr>
          <w:p w14:paraId="5941CF40" w14:textId="1471350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Dubská</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krejzová</w:t>
            </w:r>
            <w:proofErr w:type="spellEnd"/>
            <w:r w:rsidRPr="009B7CD3">
              <w:rPr>
                <w:rFonts w:ascii="Times New Roman" w:eastAsia="Times New Roman" w:hAnsi="Times New Roman" w:cs="Times New Roman"/>
                <w:color w:val="000000"/>
                <w:sz w:val="18"/>
                <w:szCs w:val="18"/>
                <w:lang w:eastAsia="en-GB"/>
              </w:rPr>
              <w:t xml:space="preserve"> v. The </w:t>
            </w:r>
            <w:proofErr w:type="spellStart"/>
            <w:r w:rsidRPr="009B7CD3">
              <w:rPr>
                <w:rFonts w:ascii="Times New Roman" w:eastAsia="Times New Roman" w:hAnsi="Times New Roman" w:cs="Times New Roman"/>
                <w:color w:val="000000"/>
                <w:sz w:val="18"/>
                <w:szCs w:val="18"/>
                <w:lang w:eastAsia="en-GB"/>
              </w:rPr>
              <w:t>czech</w:t>
            </w:r>
            <w:proofErr w:type="spellEnd"/>
            <w:r w:rsidRPr="009B7CD3">
              <w:rPr>
                <w:rFonts w:ascii="Times New Roman" w:eastAsia="Times New Roman" w:hAnsi="Times New Roman" w:cs="Times New Roman"/>
                <w:color w:val="000000"/>
                <w:sz w:val="18"/>
                <w:szCs w:val="18"/>
                <w:lang w:eastAsia="en-GB"/>
              </w:rPr>
              <w:t xml:space="preserve"> republic</w:t>
            </w:r>
          </w:p>
        </w:tc>
        <w:tc>
          <w:tcPr>
            <w:tcW w:w="1275" w:type="pct"/>
            <w:tcBorders>
              <w:top w:val="nil"/>
              <w:left w:val="nil"/>
              <w:bottom w:val="single" w:sz="4" w:space="0" w:color="BFBFBF"/>
              <w:right w:val="nil"/>
            </w:tcBorders>
            <w:shd w:val="clear" w:color="auto" w:fill="DEEAF6" w:themeFill="accent5" w:themeFillTint="33"/>
            <w:noWrap/>
            <w:hideMark/>
          </w:tcPr>
          <w:p w14:paraId="4CB8A91C" w14:textId="078C73A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M.n.</w:t>
            </w:r>
            <w:proofErr w:type="spellEnd"/>
            <w:r w:rsidRPr="009B7CD3">
              <w:rPr>
                <w:rFonts w:ascii="Times New Roman" w:eastAsia="Times New Roman" w:hAnsi="Times New Roman" w:cs="Times New Roman"/>
                <w:color w:val="000000"/>
                <w:sz w:val="18"/>
                <w:szCs w:val="18"/>
                <w:lang w:eastAsia="en-GB"/>
              </w:rPr>
              <w:t xml:space="preserve"> And others v. San </w:t>
            </w:r>
            <w:proofErr w:type="spellStart"/>
            <w:r w:rsidRPr="009B7CD3">
              <w:rPr>
                <w:rFonts w:ascii="Times New Roman" w:eastAsia="Times New Roman" w:hAnsi="Times New Roman" w:cs="Times New Roman"/>
                <w:color w:val="000000"/>
                <w:sz w:val="18"/>
                <w:szCs w:val="18"/>
                <w:lang w:eastAsia="en-GB"/>
              </w:rPr>
              <w:t>marino</w:t>
            </w:r>
            <w:proofErr w:type="spellEnd"/>
          </w:p>
        </w:tc>
        <w:tc>
          <w:tcPr>
            <w:tcW w:w="1347" w:type="pct"/>
            <w:tcBorders>
              <w:top w:val="nil"/>
              <w:left w:val="nil"/>
              <w:bottom w:val="single" w:sz="4" w:space="0" w:color="BFBFBF"/>
              <w:right w:val="nil"/>
            </w:tcBorders>
            <w:shd w:val="clear" w:color="auto" w:fill="DEEAF6" w:themeFill="accent5" w:themeFillTint="33"/>
            <w:noWrap/>
            <w:hideMark/>
          </w:tcPr>
          <w:p w14:paraId="633C6F5C" w14:textId="27BCA8D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Schatschaschwili</w:t>
            </w:r>
            <w:proofErr w:type="spellEnd"/>
            <w:r w:rsidRPr="009B7CD3">
              <w:rPr>
                <w:rFonts w:ascii="Times New Roman" w:eastAsia="Times New Roman" w:hAnsi="Times New Roman" w:cs="Times New Roman"/>
                <w:color w:val="000000"/>
                <w:sz w:val="18"/>
                <w:szCs w:val="18"/>
                <w:lang w:eastAsia="en-GB"/>
              </w:rPr>
              <w:t xml:space="preserve"> v. Germany</w:t>
            </w:r>
          </w:p>
        </w:tc>
      </w:tr>
      <w:tr w:rsidR="006511A9" w:rsidRPr="009B7CD3" w14:paraId="7F55DE02"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45E865A2" w14:textId="7F92AA9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Paunović</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milivojević</w:t>
            </w:r>
            <w:proofErr w:type="spellEnd"/>
            <w:r w:rsidRPr="009B7CD3">
              <w:rPr>
                <w:rFonts w:ascii="Times New Roman" w:eastAsia="Times New Roman" w:hAnsi="Times New Roman" w:cs="Times New Roman"/>
                <w:color w:val="000000"/>
                <w:sz w:val="18"/>
                <w:szCs w:val="18"/>
                <w:lang w:eastAsia="en-GB"/>
              </w:rPr>
              <w:t xml:space="preserve"> v. Serbia</w:t>
            </w:r>
          </w:p>
        </w:tc>
        <w:tc>
          <w:tcPr>
            <w:tcW w:w="1109" w:type="pct"/>
            <w:tcBorders>
              <w:top w:val="nil"/>
              <w:left w:val="nil"/>
              <w:bottom w:val="single" w:sz="4" w:space="0" w:color="BFBFBF"/>
              <w:right w:val="nil"/>
            </w:tcBorders>
            <w:shd w:val="clear" w:color="auto" w:fill="DEEAF6" w:themeFill="accent5" w:themeFillTint="33"/>
            <w:noWrap/>
            <w:hideMark/>
          </w:tcPr>
          <w:p w14:paraId="7F8FE432" w14:textId="14F544F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E.s. V. Austria</w:t>
            </w:r>
          </w:p>
        </w:tc>
        <w:tc>
          <w:tcPr>
            <w:tcW w:w="1275" w:type="pct"/>
            <w:tcBorders>
              <w:top w:val="nil"/>
              <w:left w:val="nil"/>
              <w:bottom w:val="single" w:sz="4" w:space="0" w:color="BFBFBF"/>
              <w:right w:val="nil"/>
            </w:tcBorders>
            <w:shd w:val="clear" w:color="auto" w:fill="DEEAF6" w:themeFill="accent5" w:themeFillTint="33"/>
            <w:noWrap/>
            <w:hideMark/>
          </w:tcPr>
          <w:p w14:paraId="4E324507" w14:textId="1F349787"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Magyar </w:t>
            </w:r>
            <w:proofErr w:type="spellStart"/>
            <w:r w:rsidRPr="009B7CD3">
              <w:rPr>
                <w:rFonts w:ascii="Times New Roman" w:eastAsia="Times New Roman" w:hAnsi="Times New Roman" w:cs="Times New Roman"/>
                <w:color w:val="000000"/>
                <w:sz w:val="18"/>
                <w:szCs w:val="18"/>
                <w:lang w:eastAsia="en-GB"/>
              </w:rPr>
              <w:t>helsinki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bizottsãg</w:t>
            </w:r>
            <w:proofErr w:type="spellEnd"/>
            <w:r w:rsidRPr="009B7CD3">
              <w:rPr>
                <w:rFonts w:ascii="Times New Roman" w:eastAsia="Times New Roman" w:hAnsi="Times New Roman" w:cs="Times New Roman"/>
                <w:color w:val="000000"/>
                <w:sz w:val="18"/>
                <w:szCs w:val="18"/>
                <w:lang w:eastAsia="en-GB"/>
              </w:rPr>
              <w:t xml:space="preserve"> v. Hungary</w:t>
            </w:r>
          </w:p>
        </w:tc>
        <w:tc>
          <w:tcPr>
            <w:tcW w:w="1347" w:type="pct"/>
            <w:tcBorders>
              <w:top w:val="nil"/>
              <w:left w:val="nil"/>
              <w:bottom w:val="single" w:sz="4" w:space="0" w:color="BFBFBF"/>
              <w:right w:val="nil"/>
            </w:tcBorders>
            <w:shd w:val="clear" w:color="auto" w:fill="DEEAF6" w:themeFill="accent5" w:themeFillTint="33"/>
            <w:noWrap/>
            <w:hideMark/>
          </w:tcPr>
          <w:p w14:paraId="798F08E9" w14:textId="55C669C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Scoppola</w:t>
            </w:r>
            <w:proofErr w:type="spellEnd"/>
            <w:r w:rsidRPr="009B7CD3">
              <w:rPr>
                <w:rFonts w:ascii="Times New Roman" w:eastAsia="Times New Roman" w:hAnsi="Times New Roman" w:cs="Times New Roman"/>
                <w:color w:val="000000"/>
                <w:sz w:val="18"/>
                <w:szCs w:val="18"/>
                <w:lang w:eastAsia="en-GB"/>
              </w:rPr>
              <w:t xml:space="preserve"> v. Italy (no. 3)</w:t>
            </w:r>
          </w:p>
        </w:tc>
      </w:tr>
      <w:tr w:rsidR="006511A9" w:rsidRPr="009B7CD3" w14:paraId="55F6C529"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C32ED3D" w14:textId="74717BB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Sašo</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gorgiev</w:t>
            </w:r>
            <w:proofErr w:type="spellEnd"/>
            <w:r w:rsidRPr="009B7CD3">
              <w:rPr>
                <w:rFonts w:ascii="Times New Roman" w:eastAsia="Times New Roman" w:hAnsi="Times New Roman" w:cs="Times New Roman"/>
                <w:color w:val="000000"/>
                <w:sz w:val="18"/>
                <w:szCs w:val="18"/>
                <w:lang w:eastAsia="en-GB"/>
              </w:rPr>
              <w:t xml:space="preserve"> v. "the former </w:t>
            </w:r>
            <w:proofErr w:type="spellStart"/>
            <w:r w:rsidRPr="009B7CD3">
              <w:rPr>
                <w:rFonts w:ascii="Times New Roman" w:eastAsia="Times New Roman" w:hAnsi="Times New Roman" w:cs="Times New Roman"/>
                <w:color w:val="000000"/>
                <w:sz w:val="18"/>
                <w:szCs w:val="18"/>
                <w:lang w:eastAsia="en-GB"/>
              </w:rPr>
              <w:t>yugoslav</w:t>
            </w:r>
            <w:proofErr w:type="spellEnd"/>
            <w:r w:rsidRPr="009B7CD3">
              <w:rPr>
                <w:rFonts w:ascii="Times New Roman" w:eastAsia="Times New Roman" w:hAnsi="Times New Roman" w:cs="Times New Roman"/>
                <w:color w:val="000000"/>
                <w:sz w:val="18"/>
                <w:szCs w:val="18"/>
                <w:lang w:eastAsia="en-GB"/>
              </w:rPr>
              <w:t xml:space="preserve"> republic of </w:t>
            </w:r>
            <w:proofErr w:type="spellStart"/>
            <w:r w:rsidRPr="009B7CD3">
              <w:rPr>
                <w:rFonts w:ascii="Times New Roman" w:eastAsia="Times New Roman" w:hAnsi="Times New Roman" w:cs="Times New Roman"/>
                <w:color w:val="000000"/>
                <w:sz w:val="18"/>
                <w:szCs w:val="18"/>
                <w:lang w:eastAsia="en-GB"/>
              </w:rPr>
              <w:t>macedo</w:t>
            </w:r>
            <w:proofErr w:type="spellEnd"/>
          </w:p>
        </w:tc>
        <w:tc>
          <w:tcPr>
            <w:tcW w:w="1109" w:type="pct"/>
            <w:tcBorders>
              <w:top w:val="nil"/>
              <w:left w:val="nil"/>
              <w:bottom w:val="single" w:sz="4" w:space="0" w:color="BFBFBF"/>
              <w:right w:val="nil"/>
            </w:tcBorders>
            <w:shd w:val="clear" w:color="auto" w:fill="DEEAF6" w:themeFill="accent5" w:themeFillTint="33"/>
            <w:noWrap/>
            <w:hideMark/>
          </w:tcPr>
          <w:p w14:paraId="68C3F009" w14:textId="507385B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Ebrahimian</w:t>
            </w:r>
            <w:proofErr w:type="spellEnd"/>
            <w:r w:rsidRPr="009B7CD3">
              <w:rPr>
                <w:rFonts w:ascii="Times New Roman" w:eastAsia="Times New Roman" w:hAnsi="Times New Roman" w:cs="Times New Roman"/>
                <w:color w:val="000000"/>
                <w:sz w:val="18"/>
                <w:szCs w:val="18"/>
                <w:lang w:eastAsia="en-GB"/>
              </w:rPr>
              <w:t xml:space="preserve"> v. France</w:t>
            </w:r>
          </w:p>
        </w:tc>
        <w:tc>
          <w:tcPr>
            <w:tcW w:w="1275" w:type="pct"/>
            <w:tcBorders>
              <w:top w:val="nil"/>
              <w:left w:val="nil"/>
              <w:bottom w:val="single" w:sz="4" w:space="0" w:color="BFBFBF"/>
              <w:right w:val="nil"/>
            </w:tcBorders>
            <w:shd w:val="clear" w:color="auto" w:fill="DEEAF6" w:themeFill="accent5" w:themeFillTint="33"/>
            <w:noWrap/>
            <w:hideMark/>
          </w:tcPr>
          <w:p w14:paraId="3FDC6FEC" w14:textId="4E8295F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Magyar </w:t>
            </w:r>
            <w:proofErr w:type="spellStart"/>
            <w:r w:rsidRPr="009B7CD3">
              <w:rPr>
                <w:rFonts w:ascii="Times New Roman" w:eastAsia="Times New Roman" w:hAnsi="Times New Roman" w:cs="Times New Roman"/>
                <w:color w:val="000000"/>
                <w:sz w:val="18"/>
                <w:szCs w:val="18"/>
                <w:lang w:eastAsia="en-GB"/>
              </w:rPr>
              <w:t>jeti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zrt</w:t>
            </w:r>
            <w:proofErr w:type="spellEnd"/>
            <w:r w:rsidRPr="009B7CD3">
              <w:rPr>
                <w:rFonts w:ascii="Times New Roman" w:eastAsia="Times New Roman" w:hAnsi="Times New Roman" w:cs="Times New Roman"/>
                <w:color w:val="000000"/>
                <w:sz w:val="18"/>
                <w:szCs w:val="18"/>
                <w:lang w:eastAsia="en-GB"/>
              </w:rPr>
              <w:t xml:space="preserve"> v. Hungary</w:t>
            </w:r>
          </w:p>
        </w:tc>
        <w:tc>
          <w:tcPr>
            <w:tcW w:w="1347" w:type="pct"/>
            <w:tcBorders>
              <w:top w:val="nil"/>
              <w:left w:val="nil"/>
              <w:bottom w:val="single" w:sz="4" w:space="0" w:color="BFBFBF"/>
              <w:right w:val="nil"/>
            </w:tcBorders>
            <w:shd w:val="clear" w:color="auto" w:fill="DEEAF6" w:themeFill="accent5" w:themeFillTint="33"/>
            <w:noWrap/>
            <w:hideMark/>
          </w:tcPr>
          <w:p w14:paraId="06BE84BC" w14:textId="79AFB3A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Sigurður</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einarsson</w:t>
            </w:r>
            <w:proofErr w:type="spellEnd"/>
            <w:r w:rsidRPr="009B7CD3">
              <w:rPr>
                <w:rFonts w:ascii="Times New Roman" w:eastAsia="Times New Roman" w:hAnsi="Times New Roman" w:cs="Times New Roman"/>
                <w:color w:val="000000"/>
                <w:sz w:val="18"/>
                <w:szCs w:val="18"/>
                <w:lang w:eastAsia="en-GB"/>
              </w:rPr>
              <w:t xml:space="preserve"> and others v. Iceland</w:t>
            </w:r>
          </w:p>
        </w:tc>
      </w:tr>
      <w:tr w:rsidR="006511A9" w:rsidRPr="009B7CD3" w14:paraId="23A22835"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76F69DD1" w14:textId="4DB7695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lastRenderedPageBreak/>
              <w:t xml:space="preserve"> </w:t>
            </w:r>
            <w:proofErr w:type="spellStart"/>
            <w:r w:rsidRPr="009B7CD3">
              <w:rPr>
                <w:rFonts w:ascii="Times New Roman" w:eastAsia="Times New Roman" w:hAnsi="Times New Roman" w:cs="Times New Roman"/>
                <w:color w:val="000000"/>
                <w:sz w:val="18"/>
                <w:szCs w:val="18"/>
                <w:lang w:eastAsia="en-GB"/>
              </w:rPr>
              <w:t>Topčić-rosenberg</w:t>
            </w:r>
            <w:proofErr w:type="spellEnd"/>
            <w:r w:rsidRPr="009B7CD3">
              <w:rPr>
                <w:rFonts w:ascii="Times New Roman" w:eastAsia="Times New Roman" w:hAnsi="Times New Roman" w:cs="Times New Roman"/>
                <w:color w:val="000000"/>
                <w:sz w:val="18"/>
                <w:szCs w:val="18"/>
                <w:lang w:eastAsia="en-GB"/>
              </w:rPr>
              <w:t xml:space="preserve"> v. Croatia</w:t>
            </w:r>
          </w:p>
        </w:tc>
        <w:tc>
          <w:tcPr>
            <w:tcW w:w="1109" w:type="pct"/>
            <w:tcBorders>
              <w:top w:val="nil"/>
              <w:left w:val="nil"/>
              <w:bottom w:val="single" w:sz="4" w:space="0" w:color="BFBFBF"/>
              <w:right w:val="nil"/>
            </w:tcBorders>
            <w:shd w:val="clear" w:color="auto" w:fill="DEEAF6" w:themeFill="accent5" w:themeFillTint="33"/>
            <w:noWrap/>
            <w:hideMark/>
          </w:tcPr>
          <w:p w14:paraId="6E1158A7" w14:textId="1D5112BC"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Eğitim</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bilim</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emekçileri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sendikasi</w:t>
            </w:r>
            <w:proofErr w:type="spellEnd"/>
            <w:r w:rsidRPr="009B7CD3">
              <w:rPr>
                <w:rFonts w:ascii="Times New Roman" w:eastAsia="Times New Roman" w:hAnsi="Times New Roman" w:cs="Times New Roman"/>
                <w:color w:val="000000"/>
                <w:sz w:val="18"/>
                <w:szCs w:val="18"/>
                <w:lang w:eastAsia="en-GB"/>
              </w:rPr>
              <w:t xml:space="preserve"> v. Turkey</w:t>
            </w:r>
          </w:p>
        </w:tc>
        <w:tc>
          <w:tcPr>
            <w:tcW w:w="1275" w:type="pct"/>
            <w:tcBorders>
              <w:top w:val="nil"/>
              <w:left w:val="nil"/>
              <w:bottom w:val="single" w:sz="4" w:space="0" w:color="BFBFBF"/>
              <w:right w:val="nil"/>
            </w:tcBorders>
            <w:shd w:val="clear" w:color="auto" w:fill="DEEAF6" w:themeFill="accent5" w:themeFillTint="33"/>
            <w:noWrap/>
            <w:hideMark/>
          </w:tcPr>
          <w:p w14:paraId="2A82F714" w14:textId="57B83AF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Magyar </w:t>
            </w:r>
            <w:proofErr w:type="spellStart"/>
            <w:r w:rsidRPr="009B7CD3">
              <w:rPr>
                <w:rFonts w:ascii="Times New Roman" w:eastAsia="Times New Roman" w:hAnsi="Times New Roman" w:cs="Times New Roman"/>
                <w:color w:val="000000"/>
                <w:sz w:val="18"/>
                <w:szCs w:val="18"/>
                <w:lang w:eastAsia="en-GB"/>
              </w:rPr>
              <w:t>keresztény</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mennonita</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egyház</w:t>
            </w:r>
            <w:proofErr w:type="spellEnd"/>
            <w:r w:rsidRPr="009B7CD3">
              <w:rPr>
                <w:rFonts w:ascii="Times New Roman" w:eastAsia="Times New Roman" w:hAnsi="Times New Roman" w:cs="Times New Roman"/>
                <w:color w:val="000000"/>
                <w:sz w:val="18"/>
                <w:szCs w:val="18"/>
                <w:lang w:eastAsia="en-GB"/>
              </w:rPr>
              <w:t xml:space="preserve"> and others v. </w:t>
            </w:r>
            <w:proofErr w:type="spellStart"/>
            <w:r w:rsidRPr="009B7CD3">
              <w:rPr>
                <w:rFonts w:ascii="Times New Roman" w:eastAsia="Times New Roman" w:hAnsi="Times New Roman" w:cs="Times New Roman"/>
                <w:color w:val="000000"/>
                <w:sz w:val="18"/>
                <w:szCs w:val="18"/>
                <w:lang w:eastAsia="en-GB"/>
              </w:rPr>
              <w:t>Hungar</w:t>
            </w:r>
            <w:proofErr w:type="spellEnd"/>
          </w:p>
        </w:tc>
        <w:tc>
          <w:tcPr>
            <w:tcW w:w="1347" w:type="pct"/>
            <w:tcBorders>
              <w:top w:val="nil"/>
              <w:left w:val="nil"/>
              <w:bottom w:val="single" w:sz="4" w:space="0" w:color="BFBFBF"/>
              <w:right w:val="nil"/>
            </w:tcBorders>
            <w:shd w:val="clear" w:color="auto" w:fill="DEEAF6" w:themeFill="accent5" w:themeFillTint="33"/>
            <w:noWrap/>
            <w:hideMark/>
          </w:tcPr>
          <w:p w14:paraId="7D4D9034" w14:textId="1502786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Sindicatul</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păstorul</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cel</w:t>
            </w:r>
            <w:proofErr w:type="spellEnd"/>
            <w:r w:rsidRPr="009B7CD3">
              <w:rPr>
                <w:rFonts w:ascii="Times New Roman" w:eastAsia="Times New Roman" w:hAnsi="Times New Roman" w:cs="Times New Roman"/>
                <w:color w:val="000000"/>
                <w:sz w:val="18"/>
                <w:szCs w:val="18"/>
                <w:lang w:eastAsia="en-GB"/>
              </w:rPr>
              <w:t xml:space="preserve"> bun" v. Romania</w:t>
            </w:r>
          </w:p>
        </w:tc>
      </w:tr>
      <w:tr w:rsidR="006511A9" w:rsidRPr="009B7CD3" w14:paraId="73CE1596"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EED42E9" w14:textId="2A38B4C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Zubac v. Croatia</w:t>
            </w:r>
          </w:p>
        </w:tc>
        <w:tc>
          <w:tcPr>
            <w:tcW w:w="1109" w:type="pct"/>
            <w:tcBorders>
              <w:top w:val="nil"/>
              <w:left w:val="nil"/>
              <w:bottom w:val="single" w:sz="4" w:space="0" w:color="BFBFBF"/>
              <w:right w:val="nil"/>
            </w:tcBorders>
            <w:shd w:val="clear" w:color="auto" w:fill="DEEAF6" w:themeFill="accent5" w:themeFillTint="33"/>
            <w:noWrap/>
            <w:hideMark/>
          </w:tcPr>
          <w:p w14:paraId="0F2CAD54" w14:textId="3021CF1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Elberte</w:t>
            </w:r>
            <w:proofErr w:type="spellEnd"/>
            <w:r w:rsidRPr="009B7CD3">
              <w:rPr>
                <w:rFonts w:ascii="Times New Roman" w:eastAsia="Times New Roman" w:hAnsi="Times New Roman" w:cs="Times New Roman"/>
                <w:color w:val="000000"/>
                <w:sz w:val="18"/>
                <w:szCs w:val="18"/>
                <w:lang w:eastAsia="en-GB"/>
              </w:rPr>
              <w:t xml:space="preserve"> v. Latvia</w:t>
            </w:r>
          </w:p>
        </w:tc>
        <w:tc>
          <w:tcPr>
            <w:tcW w:w="1275" w:type="pct"/>
            <w:tcBorders>
              <w:top w:val="nil"/>
              <w:left w:val="nil"/>
              <w:bottom w:val="single" w:sz="4" w:space="0" w:color="BFBFBF"/>
              <w:right w:val="nil"/>
            </w:tcBorders>
            <w:shd w:val="clear" w:color="auto" w:fill="DEEAF6" w:themeFill="accent5" w:themeFillTint="33"/>
            <w:noWrap/>
            <w:hideMark/>
          </w:tcPr>
          <w:p w14:paraId="40022A56" w14:textId="2BF1AA6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Manole</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romanian</w:t>
            </w:r>
            <w:proofErr w:type="spellEnd"/>
            <w:r w:rsidRPr="009B7CD3">
              <w:rPr>
                <w:rFonts w:ascii="Times New Roman" w:eastAsia="Times New Roman" w:hAnsi="Times New Roman" w:cs="Times New Roman"/>
                <w:color w:val="000000"/>
                <w:sz w:val="18"/>
                <w:szCs w:val="18"/>
                <w:lang w:eastAsia="en-GB"/>
              </w:rPr>
              <w:t xml:space="preserve"> farmers direct" v. Romania</w:t>
            </w:r>
          </w:p>
        </w:tc>
        <w:tc>
          <w:tcPr>
            <w:tcW w:w="1347" w:type="pct"/>
            <w:tcBorders>
              <w:top w:val="nil"/>
              <w:left w:val="nil"/>
              <w:bottom w:val="single" w:sz="4" w:space="0" w:color="BFBFBF"/>
              <w:right w:val="nil"/>
            </w:tcBorders>
            <w:shd w:val="clear" w:color="auto" w:fill="DEEAF6" w:themeFill="accent5" w:themeFillTint="33"/>
            <w:noWrap/>
            <w:hideMark/>
          </w:tcPr>
          <w:p w14:paraId="2E1EEF46" w14:textId="6BEBECA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Sitaropoulos</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giakoumopoulos</w:t>
            </w:r>
            <w:proofErr w:type="spellEnd"/>
            <w:r w:rsidRPr="009B7CD3">
              <w:rPr>
                <w:rFonts w:ascii="Times New Roman" w:eastAsia="Times New Roman" w:hAnsi="Times New Roman" w:cs="Times New Roman"/>
                <w:color w:val="000000"/>
                <w:sz w:val="18"/>
                <w:szCs w:val="18"/>
                <w:lang w:eastAsia="en-GB"/>
              </w:rPr>
              <w:t xml:space="preserve"> v. Greece</w:t>
            </w:r>
          </w:p>
        </w:tc>
      </w:tr>
      <w:tr w:rsidR="006511A9" w:rsidRPr="009B7CD3" w14:paraId="328800DB"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441F0E6F" w14:textId="472DB27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Öcalan</w:t>
            </w:r>
            <w:proofErr w:type="spellEnd"/>
            <w:r w:rsidRPr="009B7CD3">
              <w:rPr>
                <w:rFonts w:ascii="Times New Roman" w:eastAsia="Times New Roman" w:hAnsi="Times New Roman" w:cs="Times New Roman"/>
                <w:color w:val="000000"/>
                <w:sz w:val="18"/>
                <w:szCs w:val="18"/>
                <w:lang w:eastAsia="en-GB"/>
              </w:rPr>
              <w:t xml:space="preserve"> v. Turkey (no. 2)</w:t>
            </w:r>
          </w:p>
        </w:tc>
        <w:tc>
          <w:tcPr>
            <w:tcW w:w="1109" w:type="pct"/>
            <w:tcBorders>
              <w:top w:val="nil"/>
              <w:left w:val="nil"/>
              <w:bottom w:val="single" w:sz="4" w:space="0" w:color="BFBFBF"/>
              <w:right w:val="nil"/>
            </w:tcBorders>
            <w:shd w:val="clear" w:color="auto" w:fill="DEEAF6" w:themeFill="accent5" w:themeFillTint="33"/>
            <w:noWrap/>
            <w:hideMark/>
          </w:tcPr>
          <w:p w14:paraId="76798460" w14:textId="14EF554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Erla</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hlynsdóttir</w:t>
            </w:r>
            <w:proofErr w:type="spellEnd"/>
            <w:r w:rsidRPr="009B7CD3">
              <w:rPr>
                <w:rFonts w:ascii="Times New Roman" w:eastAsia="Times New Roman" w:hAnsi="Times New Roman" w:cs="Times New Roman"/>
                <w:color w:val="000000"/>
                <w:sz w:val="18"/>
                <w:szCs w:val="18"/>
                <w:lang w:eastAsia="en-GB"/>
              </w:rPr>
              <w:t xml:space="preserve"> v. Iceland</w:t>
            </w:r>
          </w:p>
        </w:tc>
        <w:tc>
          <w:tcPr>
            <w:tcW w:w="1275" w:type="pct"/>
            <w:tcBorders>
              <w:top w:val="nil"/>
              <w:left w:val="nil"/>
              <w:bottom w:val="single" w:sz="4" w:space="0" w:color="BFBFBF"/>
              <w:right w:val="nil"/>
            </w:tcBorders>
            <w:shd w:val="clear" w:color="auto" w:fill="DEEAF6" w:themeFill="accent5" w:themeFillTint="33"/>
            <w:noWrap/>
            <w:hideMark/>
          </w:tcPr>
          <w:p w14:paraId="2ED83EBA" w14:textId="0E3C4B5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Maskhadova</w:t>
            </w:r>
            <w:proofErr w:type="spellEnd"/>
            <w:r w:rsidRPr="009B7CD3">
              <w:rPr>
                <w:rFonts w:ascii="Times New Roman" w:eastAsia="Times New Roman" w:hAnsi="Times New Roman" w:cs="Times New Roman"/>
                <w:color w:val="000000"/>
                <w:sz w:val="18"/>
                <w:szCs w:val="18"/>
                <w:lang w:eastAsia="en-GB"/>
              </w:rPr>
              <w:t xml:space="preserve"> and others v. Russia</w:t>
            </w:r>
          </w:p>
        </w:tc>
        <w:tc>
          <w:tcPr>
            <w:tcW w:w="1347" w:type="pct"/>
            <w:tcBorders>
              <w:top w:val="nil"/>
              <w:left w:val="nil"/>
              <w:bottom w:val="single" w:sz="4" w:space="0" w:color="BFBFBF"/>
              <w:right w:val="nil"/>
            </w:tcBorders>
            <w:shd w:val="clear" w:color="auto" w:fill="DEEAF6" w:themeFill="accent5" w:themeFillTint="33"/>
            <w:noWrap/>
            <w:hideMark/>
          </w:tcPr>
          <w:p w14:paraId="38EB361E" w14:textId="68B23FE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Strand </w:t>
            </w:r>
            <w:proofErr w:type="spellStart"/>
            <w:r w:rsidRPr="009B7CD3">
              <w:rPr>
                <w:rFonts w:ascii="Times New Roman" w:eastAsia="Times New Roman" w:hAnsi="Times New Roman" w:cs="Times New Roman"/>
                <w:color w:val="000000"/>
                <w:sz w:val="18"/>
                <w:szCs w:val="18"/>
                <w:lang w:eastAsia="en-GB"/>
              </w:rPr>
              <w:t>lobben</w:t>
            </w:r>
            <w:proofErr w:type="spellEnd"/>
            <w:r w:rsidRPr="009B7CD3">
              <w:rPr>
                <w:rFonts w:ascii="Times New Roman" w:eastAsia="Times New Roman" w:hAnsi="Times New Roman" w:cs="Times New Roman"/>
                <w:color w:val="000000"/>
                <w:sz w:val="18"/>
                <w:szCs w:val="18"/>
                <w:lang w:eastAsia="en-GB"/>
              </w:rPr>
              <w:t xml:space="preserve"> and others v. Norway</w:t>
            </w:r>
          </w:p>
        </w:tc>
      </w:tr>
      <w:tr w:rsidR="006511A9" w:rsidRPr="009B7CD3" w14:paraId="5DD17659"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69590E0" w14:textId="363A533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Österreichische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vereinigung</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zur</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erhaltung</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stärkung</w:t>
            </w:r>
            <w:proofErr w:type="spellEnd"/>
            <w:r w:rsidRPr="009B7CD3">
              <w:rPr>
                <w:rFonts w:ascii="Times New Roman" w:eastAsia="Times New Roman" w:hAnsi="Times New Roman" w:cs="Times New Roman"/>
                <w:color w:val="000000"/>
                <w:sz w:val="18"/>
                <w:szCs w:val="18"/>
                <w:lang w:eastAsia="en-GB"/>
              </w:rPr>
              <w:t xml:space="preserve"> und</w:t>
            </w:r>
          </w:p>
        </w:tc>
        <w:tc>
          <w:tcPr>
            <w:tcW w:w="1109" w:type="pct"/>
            <w:tcBorders>
              <w:top w:val="nil"/>
              <w:left w:val="nil"/>
              <w:bottom w:val="single" w:sz="4" w:space="0" w:color="BFBFBF"/>
              <w:right w:val="nil"/>
            </w:tcBorders>
            <w:shd w:val="clear" w:color="auto" w:fill="DEEAF6" w:themeFill="accent5" w:themeFillTint="33"/>
            <w:noWrap/>
            <w:hideMark/>
          </w:tcPr>
          <w:p w14:paraId="52E3A782" w14:textId="0BDCFE2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Eweida</w:t>
            </w:r>
            <w:proofErr w:type="spellEnd"/>
            <w:r w:rsidRPr="009B7CD3">
              <w:rPr>
                <w:rFonts w:ascii="Times New Roman" w:eastAsia="Times New Roman" w:hAnsi="Times New Roman" w:cs="Times New Roman"/>
                <w:color w:val="000000"/>
                <w:sz w:val="18"/>
                <w:szCs w:val="18"/>
                <w:lang w:eastAsia="en-GB"/>
              </w:rPr>
              <w:t xml:space="preserve"> and others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c>
          <w:tcPr>
            <w:tcW w:w="1275" w:type="pct"/>
            <w:tcBorders>
              <w:top w:val="nil"/>
              <w:left w:val="nil"/>
              <w:bottom w:val="single" w:sz="4" w:space="0" w:color="BFBFBF"/>
              <w:right w:val="nil"/>
            </w:tcBorders>
            <w:shd w:val="clear" w:color="auto" w:fill="DEEAF6" w:themeFill="accent5" w:themeFillTint="33"/>
            <w:noWrap/>
            <w:hideMark/>
          </w:tcPr>
          <w:p w14:paraId="029E00AB" w14:textId="0593EDF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Mehmet </w:t>
            </w:r>
            <w:proofErr w:type="spellStart"/>
            <w:r w:rsidRPr="009B7CD3">
              <w:rPr>
                <w:rFonts w:ascii="Times New Roman" w:eastAsia="Times New Roman" w:hAnsi="Times New Roman" w:cs="Times New Roman"/>
                <w:color w:val="000000"/>
                <w:sz w:val="18"/>
                <w:szCs w:val="18"/>
                <w:lang w:eastAsia="en-GB"/>
              </w:rPr>
              <w:t>şentürk</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bekir</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şentürk</w:t>
            </w:r>
            <w:proofErr w:type="spellEnd"/>
            <w:r w:rsidRPr="009B7CD3">
              <w:rPr>
                <w:rFonts w:ascii="Times New Roman" w:eastAsia="Times New Roman" w:hAnsi="Times New Roman" w:cs="Times New Roman"/>
                <w:color w:val="000000"/>
                <w:sz w:val="18"/>
                <w:szCs w:val="18"/>
                <w:lang w:eastAsia="en-GB"/>
              </w:rPr>
              <w:t xml:space="preserve"> v. Turkey</w:t>
            </w:r>
          </w:p>
        </w:tc>
        <w:tc>
          <w:tcPr>
            <w:tcW w:w="1347" w:type="pct"/>
            <w:tcBorders>
              <w:top w:val="nil"/>
              <w:left w:val="nil"/>
              <w:bottom w:val="single" w:sz="4" w:space="0" w:color="BFBFBF"/>
              <w:right w:val="nil"/>
            </w:tcBorders>
            <w:shd w:val="clear" w:color="auto" w:fill="DEEAF6" w:themeFill="accent5" w:themeFillTint="33"/>
            <w:noWrap/>
            <w:hideMark/>
          </w:tcPr>
          <w:p w14:paraId="028C5CD1" w14:textId="7713AE1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Svinarenko</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slyadnev</w:t>
            </w:r>
            <w:proofErr w:type="spellEnd"/>
            <w:r w:rsidRPr="009B7CD3">
              <w:rPr>
                <w:rFonts w:ascii="Times New Roman" w:eastAsia="Times New Roman" w:hAnsi="Times New Roman" w:cs="Times New Roman"/>
                <w:color w:val="000000"/>
                <w:sz w:val="18"/>
                <w:szCs w:val="18"/>
                <w:lang w:eastAsia="en-GB"/>
              </w:rPr>
              <w:t xml:space="preserve"> v. Russia</w:t>
            </w:r>
          </w:p>
        </w:tc>
      </w:tr>
      <w:tr w:rsidR="006511A9" w:rsidRPr="009B7CD3" w14:paraId="76C2BEF7"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47B61C8D" w14:textId="1137514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Özgürlük</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dayanişma</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partisi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ödp</w:t>
            </w:r>
            <w:proofErr w:type="spellEnd"/>
            <w:r w:rsidRPr="009B7CD3">
              <w:rPr>
                <w:rFonts w:ascii="Times New Roman" w:eastAsia="Times New Roman" w:hAnsi="Times New Roman" w:cs="Times New Roman"/>
                <w:color w:val="000000"/>
                <w:sz w:val="18"/>
                <w:szCs w:val="18"/>
                <w:lang w:eastAsia="en-GB"/>
              </w:rPr>
              <w:t>) v. Turkey</w:t>
            </w:r>
          </w:p>
        </w:tc>
        <w:tc>
          <w:tcPr>
            <w:tcW w:w="1109" w:type="pct"/>
            <w:tcBorders>
              <w:top w:val="nil"/>
              <w:left w:val="nil"/>
              <w:bottom w:val="single" w:sz="4" w:space="0" w:color="BFBFBF"/>
              <w:right w:val="nil"/>
            </w:tcBorders>
            <w:shd w:val="clear" w:color="auto" w:fill="DEEAF6" w:themeFill="accent5" w:themeFillTint="33"/>
            <w:noWrap/>
            <w:hideMark/>
          </w:tcPr>
          <w:p w14:paraId="307238D2" w14:textId="266828D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Fábián</w:t>
            </w:r>
            <w:proofErr w:type="spellEnd"/>
            <w:r w:rsidRPr="009B7CD3">
              <w:rPr>
                <w:rFonts w:ascii="Times New Roman" w:eastAsia="Times New Roman" w:hAnsi="Times New Roman" w:cs="Times New Roman"/>
                <w:color w:val="000000"/>
                <w:sz w:val="18"/>
                <w:szCs w:val="18"/>
                <w:lang w:eastAsia="en-GB"/>
              </w:rPr>
              <w:t xml:space="preserve"> v. Hungary [</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c>
          <w:tcPr>
            <w:tcW w:w="1275" w:type="pct"/>
            <w:tcBorders>
              <w:top w:val="nil"/>
              <w:left w:val="nil"/>
              <w:bottom w:val="single" w:sz="4" w:space="0" w:color="BFBFBF"/>
              <w:right w:val="nil"/>
            </w:tcBorders>
            <w:shd w:val="clear" w:color="auto" w:fill="DEEAF6" w:themeFill="accent5" w:themeFillTint="33"/>
            <w:noWrap/>
            <w:hideMark/>
          </w:tcPr>
          <w:p w14:paraId="28FAA3D6" w14:textId="12893AE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Meier v. Switzerland</w:t>
            </w:r>
          </w:p>
        </w:tc>
        <w:tc>
          <w:tcPr>
            <w:tcW w:w="1347" w:type="pct"/>
            <w:tcBorders>
              <w:top w:val="nil"/>
              <w:left w:val="nil"/>
              <w:bottom w:val="single" w:sz="4" w:space="0" w:color="BFBFBF"/>
              <w:right w:val="nil"/>
            </w:tcBorders>
            <w:shd w:val="clear" w:color="auto" w:fill="DEEAF6" w:themeFill="accent5" w:themeFillTint="33"/>
            <w:noWrap/>
            <w:hideMark/>
          </w:tcPr>
          <w:p w14:paraId="326C1086" w14:textId="218D31C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Taddeucci</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mccall</w:t>
            </w:r>
            <w:proofErr w:type="spellEnd"/>
            <w:r w:rsidRPr="009B7CD3">
              <w:rPr>
                <w:rFonts w:ascii="Times New Roman" w:eastAsia="Times New Roman" w:hAnsi="Times New Roman" w:cs="Times New Roman"/>
                <w:color w:val="000000"/>
                <w:sz w:val="18"/>
                <w:szCs w:val="18"/>
                <w:lang w:eastAsia="en-GB"/>
              </w:rPr>
              <w:t xml:space="preserve"> v. Italy</w:t>
            </w:r>
          </w:p>
        </w:tc>
      </w:tr>
      <w:tr w:rsidR="006511A9" w:rsidRPr="009B7CD3" w14:paraId="495B9392"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8250537" w14:textId="6CC5085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 and b v. Norway</w:t>
            </w:r>
          </w:p>
        </w:tc>
        <w:tc>
          <w:tcPr>
            <w:tcW w:w="1109" w:type="pct"/>
            <w:tcBorders>
              <w:top w:val="nil"/>
              <w:left w:val="nil"/>
              <w:bottom w:val="single" w:sz="4" w:space="0" w:color="BFBFBF"/>
              <w:right w:val="nil"/>
            </w:tcBorders>
            <w:shd w:val="clear" w:color="auto" w:fill="DEEAF6" w:themeFill="accent5" w:themeFillTint="33"/>
            <w:noWrap/>
            <w:hideMark/>
          </w:tcPr>
          <w:p w14:paraId="2F45CFA5" w14:textId="3179867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Fabris</w:t>
            </w:r>
            <w:proofErr w:type="spellEnd"/>
            <w:r w:rsidRPr="009B7CD3">
              <w:rPr>
                <w:rFonts w:ascii="Times New Roman" w:eastAsia="Times New Roman" w:hAnsi="Times New Roman" w:cs="Times New Roman"/>
                <w:color w:val="000000"/>
                <w:sz w:val="18"/>
                <w:szCs w:val="18"/>
                <w:lang w:eastAsia="en-GB"/>
              </w:rPr>
              <w:t xml:space="preserve"> v. France</w:t>
            </w:r>
          </w:p>
        </w:tc>
        <w:tc>
          <w:tcPr>
            <w:tcW w:w="1275" w:type="pct"/>
            <w:tcBorders>
              <w:top w:val="nil"/>
              <w:left w:val="nil"/>
              <w:bottom w:val="single" w:sz="4" w:space="0" w:color="BFBFBF"/>
              <w:right w:val="nil"/>
            </w:tcBorders>
            <w:shd w:val="clear" w:color="auto" w:fill="DEEAF6" w:themeFill="accent5" w:themeFillTint="33"/>
            <w:noWrap/>
            <w:hideMark/>
          </w:tcPr>
          <w:p w14:paraId="243BBD6B" w14:textId="710AB54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Mennesson</w:t>
            </w:r>
            <w:proofErr w:type="spellEnd"/>
            <w:r w:rsidRPr="009B7CD3">
              <w:rPr>
                <w:rFonts w:ascii="Times New Roman" w:eastAsia="Times New Roman" w:hAnsi="Times New Roman" w:cs="Times New Roman"/>
                <w:color w:val="000000"/>
                <w:sz w:val="18"/>
                <w:szCs w:val="18"/>
                <w:lang w:eastAsia="en-GB"/>
              </w:rPr>
              <w:t xml:space="preserve"> v. France</w:t>
            </w:r>
          </w:p>
        </w:tc>
        <w:tc>
          <w:tcPr>
            <w:tcW w:w="1347" w:type="pct"/>
            <w:tcBorders>
              <w:top w:val="nil"/>
              <w:left w:val="nil"/>
              <w:bottom w:val="single" w:sz="4" w:space="0" w:color="BFBFBF"/>
              <w:right w:val="nil"/>
            </w:tcBorders>
            <w:shd w:val="clear" w:color="auto" w:fill="DEEAF6" w:themeFill="accent5" w:themeFillTint="33"/>
            <w:noWrap/>
            <w:hideMark/>
          </w:tcPr>
          <w:p w14:paraId="22DE687F" w14:textId="543C4A8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Tahirov</w:t>
            </w:r>
            <w:proofErr w:type="spellEnd"/>
            <w:r w:rsidRPr="009B7CD3">
              <w:rPr>
                <w:rFonts w:ascii="Times New Roman" w:eastAsia="Times New Roman" w:hAnsi="Times New Roman" w:cs="Times New Roman"/>
                <w:color w:val="000000"/>
                <w:sz w:val="18"/>
                <w:szCs w:val="18"/>
                <w:lang w:eastAsia="en-GB"/>
              </w:rPr>
              <w:t xml:space="preserve"> v. Azerbaijan</w:t>
            </w:r>
          </w:p>
        </w:tc>
      </w:tr>
      <w:tr w:rsidR="006511A9" w:rsidRPr="009B7CD3" w14:paraId="0A87DB6E"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59393429" w14:textId="43E24907"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A.n</w:t>
            </w:r>
            <w:proofErr w:type="spellEnd"/>
            <w:r w:rsidRPr="009B7CD3">
              <w:rPr>
                <w:rFonts w:ascii="Times New Roman" w:eastAsia="Times New Roman" w:hAnsi="Times New Roman" w:cs="Times New Roman"/>
                <w:color w:val="000000"/>
                <w:sz w:val="18"/>
                <w:szCs w:val="18"/>
                <w:lang w:eastAsia="en-GB"/>
              </w:rPr>
              <w:t>. V. Lithuania</w:t>
            </w:r>
          </w:p>
        </w:tc>
        <w:tc>
          <w:tcPr>
            <w:tcW w:w="1109" w:type="pct"/>
            <w:tcBorders>
              <w:top w:val="nil"/>
              <w:left w:val="nil"/>
              <w:bottom w:val="single" w:sz="4" w:space="0" w:color="BFBFBF"/>
              <w:right w:val="nil"/>
            </w:tcBorders>
            <w:shd w:val="clear" w:color="auto" w:fill="DEEAF6" w:themeFill="accent5" w:themeFillTint="33"/>
            <w:noWrap/>
            <w:hideMark/>
          </w:tcPr>
          <w:p w14:paraId="0292E6DC" w14:textId="549FABF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Fernández </w:t>
            </w:r>
            <w:proofErr w:type="spellStart"/>
            <w:r w:rsidRPr="009B7CD3">
              <w:rPr>
                <w:rFonts w:ascii="Times New Roman" w:eastAsia="Times New Roman" w:hAnsi="Times New Roman" w:cs="Times New Roman"/>
                <w:color w:val="000000"/>
                <w:sz w:val="18"/>
                <w:szCs w:val="18"/>
                <w:lang w:eastAsia="en-GB"/>
              </w:rPr>
              <w:t>martínez</w:t>
            </w:r>
            <w:proofErr w:type="spellEnd"/>
            <w:r w:rsidRPr="009B7CD3">
              <w:rPr>
                <w:rFonts w:ascii="Times New Roman" w:eastAsia="Times New Roman" w:hAnsi="Times New Roman" w:cs="Times New Roman"/>
                <w:color w:val="000000"/>
                <w:sz w:val="18"/>
                <w:szCs w:val="18"/>
                <w:lang w:eastAsia="en-GB"/>
              </w:rPr>
              <w:t xml:space="preserve"> v. Spain</w:t>
            </w:r>
          </w:p>
        </w:tc>
        <w:tc>
          <w:tcPr>
            <w:tcW w:w="1275" w:type="pct"/>
            <w:tcBorders>
              <w:top w:val="nil"/>
              <w:left w:val="nil"/>
              <w:bottom w:val="single" w:sz="4" w:space="0" w:color="BFBFBF"/>
              <w:right w:val="nil"/>
            </w:tcBorders>
            <w:shd w:val="clear" w:color="auto" w:fill="DEEAF6" w:themeFill="accent5" w:themeFillTint="33"/>
            <w:noWrap/>
            <w:hideMark/>
          </w:tcPr>
          <w:p w14:paraId="58AF30DB" w14:textId="511F145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Merabishvili v. Georgia</w:t>
            </w:r>
          </w:p>
        </w:tc>
        <w:tc>
          <w:tcPr>
            <w:tcW w:w="1347" w:type="pct"/>
            <w:tcBorders>
              <w:top w:val="nil"/>
              <w:left w:val="nil"/>
              <w:bottom w:val="single" w:sz="4" w:space="0" w:color="BFBFBF"/>
              <w:right w:val="nil"/>
            </w:tcBorders>
            <w:shd w:val="clear" w:color="auto" w:fill="DEEAF6" w:themeFill="accent5" w:themeFillTint="33"/>
            <w:noWrap/>
            <w:hideMark/>
          </w:tcPr>
          <w:p w14:paraId="53F21E79" w14:textId="67265F0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The national union of rail, maritime and transport work</w:t>
            </w:r>
          </w:p>
        </w:tc>
      </w:tr>
      <w:tr w:rsidR="006511A9" w:rsidRPr="009B7CD3" w14:paraId="21AD97D2"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8F9CBC7" w14:textId="47B1475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Adyan</w:t>
            </w:r>
            <w:proofErr w:type="spellEnd"/>
            <w:r w:rsidRPr="009B7CD3">
              <w:rPr>
                <w:rFonts w:ascii="Times New Roman" w:eastAsia="Times New Roman" w:hAnsi="Times New Roman" w:cs="Times New Roman"/>
                <w:color w:val="000000"/>
                <w:sz w:val="18"/>
                <w:szCs w:val="18"/>
                <w:lang w:eastAsia="en-GB"/>
              </w:rPr>
              <w:t xml:space="preserve"> and others v. Armenia</w:t>
            </w:r>
          </w:p>
        </w:tc>
        <w:tc>
          <w:tcPr>
            <w:tcW w:w="1109" w:type="pct"/>
            <w:tcBorders>
              <w:top w:val="nil"/>
              <w:left w:val="nil"/>
              <w:bottom w:val="single" w:sz="4" w:space="0" w:color="BFBFBF"/>
              <w:right w:val="nil"/>
            </w:tcBorders>
            <w:shd w:val="clear" w:color="auto" w:fill="DEEAF6" w:themeFill="accent5" w:themeFillTint="33"/>
            <w:noWrap/>
            <w:hideMark/>
          </w:tcPr>
          <w:p w14:paraId="420B4957" w14:textId="1F4F5A2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Fernandes de </w:t>
            </w:r>
            <w:proofErr w:type="spellStart"/>
            <w:r w:rsidRPr="009B7CD3">
              <w:rPr>
                <w:rFonts w:ascii="Times New Roman" w:eastAsia="Times New Roman" w:hAnsi="Times New Roman" w:cs="Times New Roman"/>
                <w:color w:val="000000"/>
                <w:sz w:val="18"/>
                <w:szCs w:val="18"/>
                <w:lang w:eastAsia="en-GB"/>
              </w:rPr>
              <w:t>oliveira</w:t>
            </w:r>
            <w:proofErr w:type="spellEnd"/>
            <w:r w:rsidRPr="009B7CD3">
              <w:rPr>
                <w:rFonts w:ascii="Times New Roman" w:eastAsia="Times New Roman" w:hAnsi="Times New Roman" w:cs="Times New Roman"/>
                <w:color w:val="000000"/>
                <w:sz w:val="18"/>
                <w:szCs w:val="18"/>
                <w:lang w:eastAsia="en-GB"/>
              </w:rPr>
              <w:t xml:space="preserve"> v. Portugal</w:t>
            </w:r>
          </w:p>
        </w:tc>
        <w:tc>
          <w:tcPr>
            <w:tcW w:w="1275" w:type="pct"/>
            <w:tcBorders>
              <w:top w:val="nil"/>
              <w:left w:val="nil"/>
              <w:bottom w:val="single" w:sz="4" w:space="0" w:color="BFBFBF"/>
              <w:right w:val="nil"/>
            </w:tcBorders>
            <w:shd w:val="clear" w:color="auto" w:fill="DEEAF6" w:themeFill="accent5" w:themeFillTint="33"/>
            <w:noWrap/>
            <w:hideMark/>
          </w:tcPr>
          <w:p w14:paraId="46096359" w14:textId="1D4D7D3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Michaud v. France</w:t>
            </w:r>
          </w:p>
        </w:tc>
        <w:tc>
          <w:tcPr>
            <w:tcW w:w="1347" w:type="pct"/>
            <w:tcBorders>
              <w:top w:val="nil"/>
              <w:left w:val="nil"/>
              <w:bottom w:val="single" w:sz="4" w:space="0" w:color="BFBFBF"/>
              <w:right w:val="nil"/>
            </w:tcBorders>
            <w:shd w:val="clear" w:color="auto" w:fill="DEEAF6" w:themeFill="accent5" w:themeFillTint="33"/>
            <w:noWrap/>
            <w:hideMark/>
          </w:tcPr>
          <w:p w14:paraId="713537E1" w14:textId="7272C01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Vallianatos</w:t>
            </w:r>
            <w:proofErr w:type="spellEnd"/>
            <w:r w:rsidRPr="009B7CD3">
              <w:rPr>
                <w:rFonts w:ascii="Times New Roman" w:eastAsia="Times New Roman" w:hAnsi="Times New Roman" w:cs="Times New Roman"/>
                <w:color w:val="000000"/>
                <w:sz w:val="18"/>
                <w:szCs w:val="18"/>
                <w:lang w:eastAsia="en-GB"/>
              </w:rPr>
              <w:t xml:space="preserve"> and others v. Greece</w:t>
            </w:r>
          </w:p>
        </w:tc>
      </w:tr>
      <w:tr w:rsidR="006511A9" w:rsidRPr="009B7CD3" w14:paraId="1167D55C"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BA6081E" w14:textId="26FF898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Ahmet </w:t>
            </w:r>
            <w:proofErr w:type="spellStart"/>
            <w:r w:rsidRPr="009B7CD3">
              <w:rPr>
                <w:rFonts w:ascii="Times New Roman" w:eastAsia="Times New Roman" w:hAnsi="Times New Roman" w:cs="Times New Roman"/>
                <w:color w:val="000000"/>
                <w:sz w:val="18"/>
                <w:szCs w:val="18"/>
                <w:lang w:eastAsia="en-GB"/>
              </w:rPr>
              <w:t>yildirim</w:t>
            </w:r>
            <w:proofErr w:type="spellEnd"/>
            <w:r w:rsidRPr="009B7CD3">
              <w:rPr>
                <w:rFonts w:ascii="Times New Roman" w:eastAsia="Times New Roman" w:hAnsi="Times New Roman" w:cs="Times New Roman"/>
                <w:color w:val="000000"/>
                <w:sz w:val="18"/>
                <w:szCs w:val="18"/>
                <w:lang w:eastAsia="en-GB"/>
              </w:rPr>
              <w:t xml:space="preserve"> v. Turkey</w:t>
            </w:r>
          </w:p>
        </w:tc>
        <w:tc>
          <w:tcPr>
            <w:tcW w:w="1109" w:type="pct"/>
            <w:tcBorders>
              <w:top w:val="nil"/>
              <w:left w:val="nil"/>
              <w:bottom w:val="single" w:sz="4" w:space="0" w:color="BFBFBF"/>
              <w:right w:val="nil"/>
            </w:tcBorders>
            <w:shd w:val="clear" w:color="auto" w:fill="DEEAF6" w:themeFill="accent5" w:themeFillTint="33"/>
            <w:noWrap/>
            <w:hideMark/>
          </w:tcPr>
          <w:p w14:paraId="4B921C8C" w14:textId="739E1FA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Frăsilă</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ciocîrlan</w:t>
            </w:r>
            <w:proofErr w:type="spellEnd"/>
            <w:r w:rsidRPr="009B7CD3">
              <w:rPr>
                <w:rFonts w:ascii="Times New Roman" w:eastAsia="Times New Roman" w:hAnsi="Times New Roman" w:cs="Times New Roman"/>
                <w:color w:val="000000"/>
                <w:sz w:val="18"/>
                <w:szCs w:val="18"/>
                <w:lang w:eastAsia="en-GB"/>
              </w:rPr>
              <w:t xml:space="preserve"> v. Romania</w:t>
            </w:r>
          </w:p>
        </w:tc>
        <w:tc>
          <w:tcPr>
            <w:tcW w:w="1275" w:type="pct"/>
            <w:tcBorders>
              <w:top w:val="nil"/>
              <w:left w:val="nil"/>
              <w:bottom w:val="single" w:sz="4" w:space="0" w:color="BFBFBF"/>
              <w:right w:val="nil"/>
            </w:tcBorders>
            <w:shd w:val="clear" w:color="auto" w:fill="DEEAF6" w:themeFill="accent5" w:themeFillTint="33"/>
            <w:noWrap/>
            <w:hideMark/>
          </w:tcPr>
          <w:p w14:paraId="3F5E02CC" w14:textId="4E03966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Mihalache</w:t>
            </w:r>
            <w:proofErr w:type="spellEnd"/>
            <w:r w:rsidRPr="009B7CD3">
              <w:rPr>
                <w:rFonts w:ascii="Times New Roman" w:eastAsia="Times New Roman" w:hAnsi="Times New Roman" w:cs="Times New Roman"/>
                <w:color w:val="000000"/>
                <w:sz w:val="18"/>
                <w:szCs w:val="18"/>
                <w:lang w:eastAsia="en-GB"/>
              </w:rPr>
              <w:t xml:space="preserve"> v. Romania</w:t>
            </w:r>
          </w:p>
        </w:tc>
        <w:tc>
          <w:tcPr>
            <w:tcW w:w="1347" w:type="pct"/>
            <w:tcBorders>
              <w:top w:val="nil"/>
              <w:left w:val="nil"/>
              <w:bottom w:val="single" w:sz="4" w:space="0" w:color="BFBFBF"/>
              <w:right w:val="nil"/>
            </w:tcBorders>
            <w:shd w:val="clear" w:color="auto" w:fill="DEEAF6" w:themeFill="accent5" w:themeFillTint="33"/>
            <w:noWrap/>
            <w:hideMark/>
          </w:tcPr>
          <w:p w14:paraId="149E2115" w14:textId="73B44F5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Vasiliauskas</w:t>
            </w:r>
            <w:proofErr w:type="spellEnd"/>
            <w:r w:rsidRPr="009B7CD3">
              <w:rPr>
                <w:rFonts w:ascii="Times New Roman" w:eastAsia="Times New Roman" w:hAnsi="Times New Roman" w:cs="Times New Roman"/>
                <w:color w:val="000000"/>
                <w:sz w:val="18"/>
                <w:szCs w:val="18"/>
                <w:lang w:eastAsia="en-GB"/>
              </w:rPr>
              <w:t xml:space="preserve"> v. Lithuania</w:t>
            </w:r>
          </w:p>
        </w:tc>
      </w:tr>
      <w:tr w:rsidR="006511A9" w:rsidRPr="009B7CD3" w14:paraId="491462F0"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5770DCC6" w14:textId="2C0976A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Ahrens v. Germany</w:t>
            </w:r>
          </w:p>
        </w:tc>
        <w:tc>
          <w:tcPr>
            <w:tcW w:w="1109" w:type="pct"/>
            <w:tcBorders>
              <w:top w:val="nil"/>
              <w:left w:val="nil"/>
              <w:bottom w:val="single" w:sz="4" w:space="0" w:color="BFBFBF"/>
              <w:right w:val="nil"/>
            </w:tcBorders>
            <w:shd w:val="clear" w:color="auto" w:fill="DEEAF6" w:themeFill="accent5" w:themeFillTint="33"/>
            <w:noWrap/>
            <w:hideMark/>
          </w:tcPr>
          <w:p w14:paraId="1FD2742B" w14:textId="18CC45F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Frumkin</w:t>
            </w:r>
            <w:proofErr w:type="spellEnd"/>
            <w:r w:rsidRPr="009B7CD3">
              <w:rPr>
                <w:rFonts w:ascii="Times New Roman" w:eastAsia="Times New Roman" w:hAnsi="Times New Roman" w:cs="Times New Roman"/>
                <w:color w:val="000000"/>
                <w:sz w:val="18"/>
                <w:szCs w:val="18"/>
                <w:lang w:eastAsia="en-GB"/>
              </w:rPr>
              <w:t xml:space="preserve"> v. Russia</w:t>
            </w:r>
          </w:p>
        </w:tc>
        <w:tc>
          <w:tcPr>
            <w:tcW w:w="1275" w:type="pct"/>
            <w:tcBorders>
              <w:top w:val="nil"/>
              <w:left w:val="nil"/>
              <w:bottom w:val="single" w:sz="4" w:space="0" w:color="BFBFBF"/>
              <w:right w:val="nil"/>
            </w:tcBorders>
            <w:shd w:val="clear" w:color="auto" w:fill="DEEAF6" w:themeFill="accent5" w:themeFillTint="33"/>
            <w:noWrap/>
            <w:hideMark/>
          </w:tcPr>
          <w:p w14:paraId="67BF6019" w14:textId="339B3BDC"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Molla</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sali</w:t>
            </w:r>
            <w:proofErr w:type="spellEnd"/>
            <w:r w:rsidRPr="009B7CD3">
              <w:rPr>
                <w:rFonts w:ascii="Times New Roman" w:eastAsia="Times New Roman" w:hAnsi="Times New Roman" w:cs="Times New Roman"/>
                <w:color w:val="000000"/>
                <w:sz w:val="18"/>
                <w:szCs w:val="18"/>
                <w:lang w:eastAsia="en-GB"/>
              </w:rPr>
              <w:t xml:space="preserve"> v. Greece</w:t>
            </w:r>
          </w:p>
        </w:tc>
        <w:tc>
          <w:tcPr>
            <w:tcW w:w="1347" w:type="pct"/>
            <w:tcBorders>
              <w:top w:val="nil"/>
              <w:left w:val="nil"/>
              <w:bottom w:val="single" w:sz="4" w:space="0" w:color="BFBFBF"/>
              <w:right w:val="nil"/>
            </w:tcBorders>
            <w:shd w:val="clear" w:color="auto" w:fill="DEEAF6" w:themeFill="accent5" w:themeFillTint="33"/>
            <w:noWrap/>
            <w:hideMark/>
          </w:tcPr>
          <w:p w14:paraId="33D68E0D" w14:textId="6A3FE1C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Velyo</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velev</w:t>
            </w:r>
            <w:proofErr w:type="spellEnd"/>
            <w:r w:rsidRPr="009B7CD3">
              <w:rPr>
                <w:rFonts w:ascii="Times New Roman" w:eastAsia="Times New Roman" w:hAnsi="Times New Roman" w:cs="Times New Roman"/>
                <w:color w:val="000000"/>
                <w:sz w:val="18"/>
                <w:szCs w:val="18"/>
                <w:lang w:eastAsia="en-GB"/>
              </w:rPr>
              <w:t xml:space="preserve"> v. Bulgaria</w:t>
            </w:r>
          </w:p>
        </w:tc>
      </w:tr>
      <w:tr w:rsidR="006511A9" w:rsidRPr="009B7CD3" w14:paraId="757C42D9"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E245F57" w14:textId="567B72E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Aksu v. Turkey</w:t>
            </w:r>
          </w:p>
        </w:tc>
        <w:tc>
          <w:tcPr>
            <w:tcW w:w="1109" w:type="pct"/>
            <w:tcBorders>
              <w:top w:val="nil"/>
              <w:left w:val="nil"/>
              <w:bottom w:val="single" w:sz="4" w:space="0" w:color="BFBFBF"/>
              <w:right w:val="nil"/>
            </w:tcBorders>
            <w:shd w:val="clear" w:color="auto" w:fill="DEEAF6" w:themeFill="accent5" w:themeFillTint="33"/>
            <w:noWrap/>
            <w:hideMark/>
          </w:tcPr>
          <w:p w14:paraId="446A5164" w14:textId="2B8E126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G.i.e.m</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S.r.l</w:t>
            </w:r>
            <w:proofErr w:type="spellEnd"/>
            <w:r w:rsidRPr="009B7CD3">
              <w:rPr>
                <w:rFonts w:ascii="Times New Roman" w:eastAsia="Times New Roman" w:hAnsi="Times New Roman" w:cs="Times New Roman"/>
                <w:color w:val="000000"/>
                <w:sz w:val="18"/>
                <w:szCs w:val="18"/>
                <w:lang w:eastAsia="en-GB"/>
              </w:rPr>
              <w:t>. And others v. Italy</w:t>
            </w:r>
          </w:p>
        </w:tc>
        <w:tc>
          <w:tcPr>
            <w:tcW w:w="1275" w:type="pct"/>
            <w:tcBorders>
              <w:top w:val="nil"/>
              <w:left w:val="nil"/>
              <w:bottom w:val="single" w:sz="4" w:space="0" w:color="BFBFBF"/>
              <w:right w:val="nil"/>
            </w:tcBorders>
            <w:shd w:val="clear" w:color="auto" w:fill="DEEAF6" w:themeFill="accent5" w:themeFillTint="33"/>
            <w:noWrap/>
            <w:hideMark/>
          </w:tcPr>
          <w:p w14:paraId="3DC1396D" w14:textId="7F50143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Moreira </w:t>
            </w:r>
            <w:proofErr w:type="spellStart"/>
            <w:r w:rsidRPr="009B7CD3">
              <w:rPr>
                <w:rFonts w:ascii="Times New Roman" w:eastAsia="Times New Roman" w:hAnsi="Times New Roman" w:cs="Times New Roman"/>
                <w:color w:val="000000"/>
                <w:sz w:val="18"/>
                <w:szCs w:val="18"/>
                <w:lang w:eastAsia="en-GB"/>
              </w:rPr>
              <w:t>ferreira</w:t>
            </w:r>
            <w:proofErr w:type="spellEnd"/>
            <w:r w:rsidRPr="009B7CD3">
              <w:rPr>
                <w:rFonts w:ascii="Times New Roman" w:eastAsia="Times New Roman" w:hAnsi="Times New Roman" w:cs="Times New Roman"/>
                <w:color w:val="000000"/>
                <w:sz w:val="18"/>
                <w:szCs w:val="18"/>
                <w:lang w:eastAsia="en-GB"/>
              </w:rPr>
              <w:t xml:space="preserve"> v. Portugal (no. 2)</w:t>
            </w:r>
          </w:p>
        </w:tc>
        <w:tc>
          <w:tcPr>
            <w:tcW w:w="1347" w:type="pct"/>
            <w:tcBorders>
              <w:top w:val="nil"/>
              <w:left w:val="nil"/>
              <w:bottom w:val="single" w:sz="4" w:space="0" w:color="BFBFBF"/>
              <w:right w:val="nil"/>
            </w:tcBorders>
            <w:shd w:val="clear" w:color="auto" w:fill="DEEAF6" w:themeFill="accent5" w:themeFillTint="33"/>
            <w:noWrap/>
            <w:hideMark/>
          </w:tcPr>
          <w:p w14:paraId="38C4EB1B" w14:textId="3DCAF66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Vilnes</w:t>
            </w:r>
            <w:proofErr w:type="spellEnd"/>
            <w:r w:rsidRPr="009B7CD3">
              <w:rPr>
                <w:rFonts w:ascii="Times New Roman" w:eastAsia="Times New Roman" w:hAnsi="Times New Roman" w:cs="Times New Roman"/>
                <w:color w:val="000000"/>
                <w:sz w:val="18"/>
                <w:szCs w:val="18"/>
                <w:lang w:eastAsia="en-GB"/>
              </w:rPr>
              <w:t xml:space="preserve"> and others v. Norway</w:t>
            </w:r>
          </w:p>
        </w:tc>
      </w:tr>
      <w:tr w:rsidR="006511A9" w:rsidRPr="009B7CD3" w14:paraId="6FAD8513"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3B1D6915" w14:textId="7D7CB55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Al-</w:t>
            </w:r>
            <w:proofErr w:type="spellStart"/>
            <w:r w:rsidRPr="009B7CD3">
              <w:rPr>
                <w:rFonts w:ascii="Times New Roman" w:eastAsia="Times New Roman" w:hAnsi="Times New Roman" w:cs="Times New Roman"/>
                <w:color w:val="000000"/>
                <w:sz w:val="18"/>
                <w:szCs w:val="18"/>
                <w:lang w:eastAsia="en-GB"/>
              </w:rPr>
              <w:t>dulimi</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montana</w:t>
            </w:r>
            <w:proofErr w:type="spellEnd"/>
            <w:r w:rsidRPr="009B7CD3">
              <w:rPr>
                <w:rFonts w:ascii="Times New Roman" w:eastAsia="Times New Roman" w:hAnsi="Times New Roman" w:cs="Times New Roman"/>
                <w:color w:val="000000"/>
                <w:sz w:val="18"/>
                <w:szCs w:val="18"/>
                <w:lang w:eastAsia="en-GB"/>
              </w:rPr>
              <w:t xml:space="preserve"> management inc. V. Switzerland </w:t>
            </w:r>
            <w:proofErr w:type="spellStart"/>
            <w:r w:rsidRPr="009B7CD3">
              <w:rPr>
                <w:rFonts w:ascii="Times New Roman" w:eastAsia="Times New Roman" w:hAnsi="Times New Roman" w:cs="Times New Roman"/>
                <w:color w:val="000000"/>
                <w:sz w:val="18"/>
                <w:szCs w:val="18"/>
                <w:lang w:eastAsia="en-GB"/>
              </w:rPr>
              <w:t>gc</w:t>
            </w:r>
            <w:proofErr w:type="spellEnd"/>
          </w:p>
        </w:tc>
        <w:tc>
          <w:tcPr>
            <w:tcW w:w="1109" w:type="pct"/>
            <w:tcBorders>
              <w:top w:val="nil"/>
              <w:left w:val="nil"/>
              <w:bottom w:val="single" w:sz="4" w:space="0" w:color="BFBFBF"/>
              <w:right w:val="nil"/>
            </w:tcBorders>
            <w:shd w:val="clear" w:color="auto" w:fill="DEEAF6" w:themeFill="accent5" w:themeFillTint="33"/>
            <w:noWrap/>
            <w:hideMark/>
          </w:tcPr>
          <w:p w14:paraId="725513FB" w14:textId="4C9764A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Garib v. The </w:t>
            </w:r>
            <w:proofErr w:type="spellStart"/>
            <w:r w:rsidRPr="009B7CD3">
              <w:rPr>
                <w:rFonts w:ascii="Times New Roman" w:eastAsia="Times New Roman" w:hAnsi="Times New Roman" w:cs="Times New Roman"/>
                <w:color w:val="000000"/>
                <w:sz w:val="18"/>
                <w:szCs w:val="18"/>
                <w:lang w:eastAsia="en-GB"/>
              </w:rPr>
              <w:t>netherlands</w:t>
            </w:r>
            <w:proofErr w:type="spellEnd"/>
          </w:p>
        </w:tc>
        <w:tc>
          <w:tcPr>
            <w:tcW w:w="1275" w:type="pct"/>
            <w:tcBorders>
              <w:top w:val="nil"/>
              <w:left w:val="nil"/>
              <w:bottom w:val="single" w:sz="4" w:space="0" w:color="BFBFBF"/>
              <w:right w:val="nil"/>
            </w:tcBorders>
            <w:shd w:val="clear" w:color="auto" w:fill="DEEAF6" w:themeFill="accent5" w:themeFillTint="33"/>
            <w:noWrap/>
            <w:hideMark/>
          </w:tcPr>
          <w:p w14:paraId="44EC7DB8" w14:textId="71DB28C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Morice</w:t>
            </w:r>
            <w:proofErr w:type="spellEnd"/>
            <w:r w:rsidRPr="009B7CD3">
              <w:rPr>
                <w:rFonts w:ascii="Times New Roman" w:eastAsia="Times New Roman" w:hAnsi="Times New Roman" w:cs="Times New Roman"/>
                <w:color w:val="000000"/>
                <w:sz w:val="18"/>
                <w:szCs w:val="18"/>
                <w:lang w:eastAsia="en-GB"/>
              </w:rPr>
              <w:t xml:space="preserve"> v. France</w:t>
            </w:r>
          </w:p>
        </w:tc>
        <w:tc>
          <w:tcPr>
            <w:tcW w:w="1347" w:type="pct"/>
            <w:tcBorders>
              <w:top w:val="nil"/>
              <w:left w:val="nil"/>
              <w:bottom w:val="single" w:sz="4" w:space="0" w:color="BFBFBF"/>
              <w:right w:val="nil"/>
            </w:tcBorders>
            <w:shd w:val="clear" w:color="auto" w:fill="DEEAF6" w:themeFill="accent5" w:themeFillTint="33"/>
            <w:noWrap/>
            <w:hideMark/>
          </w:tcPr>
          <w:p w14:paraId="3F9FC74C" w14:textId="06879E4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Vinter</w:t>
            </w:r>
            <w:proofErr w:type="spellEnd"/>
            <w:r w:rsidRPr="009B7CD3">
              <w:rPr>
                <w:rFonts w:ascii="Times New Roman" w:eastAsia="Times New Roman" w:hAnsi="Times New Roman" w:cs="Times New Roman"/>
                <w:color w:val="000000"/>
                <w:sz w:val="18"/>
                <w:szCs w:val="18"/>
                <w:lang w:eastAsia="en-GB"/>
              </w:rPr>
              <w:t xml:space="preserve"> and others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r>
      <w:tr w:rsidR="006511A9" w:rsidRPr="009B7CD3" w14:paraId="59FAB2C6"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6ED71B44" w14:textId="61143B9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Al-</w:t>
            </w:r>
            <w:proofErr w:type="spellStart"/>
            <w:r w:rsidRPr="009B7CD3">
              <w:rPr>
                <w:rFonts w:ascii="Times New Roman" w:eastAsia="Times New Roman" w:hAnsi="Times New Roman" w:cs="Times New Roman"/>
                <w:color w:val="000000"/>
                <w:sz w:val="18"/>
                <w:szCs w:val="18"/>
                <w:lang w:eastAsia="en-GB"/>
              </w:rPr>
              <w:t>dulimi</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montana</w:t>
            </w:r>
            <w:proofErr w:type="spellEnd"/>
            <w:r w:rsidRPr="009B7CD3">
              <w:rPr>
                <w:rFonts w:ascii="Times New Roman" w:eastAsia="Times New Roman" w:hAnsi="Times New Roman" w:cs="Times New Roman"/>
                <w:color w:val="000000"/>
                <w:sz w:val="18"/>
                <w:szCs w:val="18"/>
                <w:lang w:eastAsia="en-GB"/>
              </w:rPr>
              <w:t xml:space="preserve"> management inc. V. Switzerland ss</w:t>
            </w:r>
          </w:p>
        </w:tc>
        <w:tc>
          <w:tcPr>
            <w:tcW w:w="1109" w:type="pct"/>
            <w:tcBorders>
              <w:top w:val="nil"/>
              <w:left w:val="nil"/>
              <w:bottom w:val="single" w:sz="4" w:space="0" w:color="BFBFBF"/>
              <w:right w:val="nil"/>
            </w:tcBorders>
            <w:shd w:val="clear" w:color="auto" w:fill="DEEAF6" w:themeFill="accent5" w:themeFillTint="33"/>
            <w:noWrap/>
            <w:hideMark/>
          </w:tcPr>
          <w:p w14:paraId="4D3DF929" w14:textId="1BC615D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Gas and </w:t>
            </w:r>
            <w:proofErr w:type="spellStart"/>
            <w:r w:rsidRPr="009B7CD3">
              <w:rPr>
                <w:rFonts w:ascii="Times New Roman" w:eastAsia="Times New Roman" w:hAnsi="Times New Roman" w:cs="Times New Roman"/>
                <w:color w:val="000000"/>
                <w:sz w:val="18"/>
                <w:szCs w:val="18"/>
                <w:lang w:eastAsia="en-GB"/>
              </w:rPr>
              <w:t>dubois</w:t>
            </w:r>
            <w:proofErr w:type="spellEnd"/>
            <w:r w:rsidRPr="009B7CD3">
              <w:rPr>
                <w:rFonts w:ascii="Times New Roman" w:eastAsia="Times New Roman" w:hAnsi="Times New Roman" w:cs="Times New Roman"/>
                <w:color w:val="000000"/>
                <w:sz w:val="18"/>
                <w:szCs w:val="18"/>
                <w:lang w:eastAsia="en-GB"/>
              </w:rPr>
              <w:t xml:space="preserve"> v. France</w:t>
            </w:r>
          </w:p>
        </w:tc>
        <w:tc>
          <w:tcPr>
            <w:tcW w:w="1275" w:type="pct"/>
            <w:tcBorders>
              <w:top w:val="nil"/>
              <w:left w:val="nil"/>
              <w:bottom w:val="single" w:sz="4" w:space="0" w:color="BFBFBF"/>
              <w:right w:val="nil"/>
            </w:tcBorders>
            <w:shd w:val="clear" w:color="auto" w:fill="DEEAF6" w:themeFill="accent5" w:themeFillTint="33"/>
            <w:noWrap/>
            <w:hideMark/>
          </w:tcPr>
          <w:p w14:paraId="5D8C84AA" w14:textId="0C6CD84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Mouvement</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raëlien</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suisse</w:t>
            </w:r>
            <w:proofErr w:type="spellEnd"/>
            <w:r w:rsidRPr="009B7CD3">
              <w:rPr>
                <w:rFonts w:ascii="Times New Roman" w:eastAsia="Times New Roman" w:hAnsi="Times New Roman" w:cs="Times New Roman"/>
                <w:color w:val="000000"/>
                <w:sz w:val="18"/>
                <w:szCs w:val="18"/>
                <w:lang w:eastAsia="en-GB"/>
              </w:rPr>
              <w:t xml:space="preserve"> v. Switzerland</w:t>
            </w:r>
          </w:p>
        </w:tc>
        <w:tc>
          <w:tcPr>
            <w:tcW w:w="1347" w:type="pct"/>
            <w:tcBorders>
              <w:top w:val="nil"/>
              <w:left w:val="nil"/>
              <w:bottom w:val="single" w:sz="4" w:space="0" w:color="BFBFBF"/>
              <w:right w:val="nil"/>
            </w:tcBorders>
            <w:shd w:val="clear" w:color="auto" w:fill="DEEAF6" w:themeFill="accent5" w:themeFillTint="33"/>
            <w:noWrap/>
            <w:hideMark/>
          </w:tcPr>
          <w:p w14:paraId="72CA67BD" w14:textId="40F0465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Vistiņš</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perepjolkins</w:t>
            </w:r>
            <w:proofErr w:type="spellEnd"/>
            <w:r w:rsidRPr="009B7CD3">
              <w:rPr>
                <w:rFonts w:ascii="Times New Roman" w:eastAsia="Times New Roman" w:hAnsi="Times New Roman" w:cs="Times New Roman"/>
                <w:color w:val="000000"/>
                <w:sz w:val="18"/>
                <w:szCs w:val="18"/>
                <w:lang w:eastAsia="en-GB"/>
              </w:rPr>
              <w:t xml:space="preserve"> v. Latvia[</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r>
      <w:tr w:rsidR="006511A9" w:rsidRPr="009B7CD3" w14:paraId="245BFC09"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01A92C2D" w14:textId="75501E8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Altay v. Turkey (no. 2)</w:t>
            </w:r>
          </w:p>
        </w:tc>
        <w:tc>
          <w:tcPr>
            <w:tcW w:w="1109" w:type="pct"/>
            <w:tcBorders>
              <w:top w:val="nil"/>
              <w:left w:val="nil"/>
              <w:bottom w:val="single" w:sz="4" w:space="0" w:color="BFBFBF"/>
              <w:right w:val="nil"/>
            </w:tcBorders>
            <w:shd w:val="clear" w:color="auto" w:fill="DEEAF6" w:themeFill="accent5" w:themeFillTint="33"/>
            <w:noWrap/>
            <w:hideMark/>
          </w:tcPr>
          <w:p w14:paraId="52107072" w14:textId="6D30BF9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Guðmundur</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andri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ástráðsson</w:t>
            </w:r>
            <w:proofErr w:type="spellEnd"/>
            <w:r w:rsidRPr="009B7CD3">
              <w:rPr>
                <w:rFonts w:ascii="Times New Roman" w:eastAsia="Times New Roman" w:hAnsi="Times New Roman" w:cs="Times New Roman"/>
                <w:color w:val="000000"/>
                <w:sz w:val="18"/>
                <w:szCs w:val="18"/>
                <w:lang w:eastAsia="en-GB"/>
              </w:rPr>
              <w:t xml:space="preserve"> v. Iceland</w:t>
            </w:r>
          </w:p>
        </w:tc>
        <w:tc>
          <w:tcPr>
            <w:tcW w:w="1275" w:type="pct"/>
            <w:tcBorders>
              <w:top w:val="nil"/>
              <w:left w:val="nil"/>
              <w:bottom w:val="single" w:sz="4" w:space="0" w:color="BFBFBF"/>
              <w:right w:val="nil"/>
            </w:tcBorders>
            <w:shd w:val="clear" w:color="auto" w:fill="DEEAF6" w:themeFill="accent5" w:themeFillTint="33"/>
            <w:noWrap/>
            <w:hideMark/>
          </w:tcPr>
          <w:p w14:paraId="5BB6A4CC" w14:textId="6E4B6E1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Murray v. The </w:t>
            </w:r>
            <w:proofErr w:type="spellStart"/>
            <w:r w:rsidRPr="009B7CD3">
              <w:rPr>
                <w:rFonts w:ascii="Times New Roman" w:eastAsia="Times New Roman" w:hAnsi="Times New Roman" w:cs="Times New Roman"/>
                <w:color w:val="000000"/>
                <w:sz w:val="18"/>
                <w:szCs w:val="18"/>
                <w:lang w:eastAsia="en-GB"/>
              </w:rPr>
              <w:t>netherlands</w:t>
            </w:r>
            <w:proofErr w:type="spellEnd"/>
          </w:p>
        </w:tc>
        <w:tc>
          <w:tcPr>
            <w:tcW w:w="1347" w:type="pct"/>
            <w:tcBorders>
              <w:top w:val="nil"/>
              <w:left w:val="nil"/>
              <w:bottom w:val="single" w:sz="4" w:space="0" w:color="BFBFBF"/>
              <w:right w:val="nil"/>
            </w:tcBorders>
            <w:shd w:val="clear" w:color="auto" w:fill="DEEAF6" w:themeFill="accent5" w:themeFillTint="33"/>
            <w:noWrap/>
            <w:hideMark/>
          </w:tcPr>
          <w:p w14:paraId="08DD142F" w14:textId="2405583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Vistiņš</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perepjolkins</w:t>
            </w:r>
            <w:proofErr w:type="spellEnd"/>
            <w:r w:rsidRPr="009B7CD3">
              <w:rPr>
                <w:rFonts w:ascii="Times New Roman" w:eastAsia="Times New Roman" w:hAnsi="Times New Roman" w:cs="Times New Roman"/>
                <w:color w:val="000000"/>
                <w:sz w:val="18"/>
                <w:szCs w:val="18"/>
                <w:lang w:eastAsia="en-GB"/>
              </w:rPr>
              <w:t xml:space="preserve"> v. Latvia</w:t>
            </w:r>
          </w:p>
        </w:tc>
      </w:tr>
      <w:tr w:rsidR="006511A9" w:rsidRPr="009B7CD3" w14:paraId="630ED454"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77E09825" w14:textId="1C745B4C"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Animal defenders international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c>
          <w:tcPr>
            <w:tcW w:w="1109" w:type="pct"/>
            <w:tcBorders>
              <w:top w:val="nil"/>
              <w:left w:val="nil"/>
              <w:bottom w:val="single" w:sz="4" w:space="0" w:color="BFBFBF"/>
              <w:right w:val="nil"/>
            </w:tcBorders>
            <w:shd w:val="clear" w:color="auto" w:fill="DEEAF6" w:themeFill="accent5" w:themeFillTint="33"/>
            <w:noWrap/>
            <w:hideMark/>
          </w:tcPr>
          <w:p w14:paraId="7E39AA17" w14:textId="2C8DCB9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Guimon</w:t>
            </w:r>
            <w:proofErr w:type="spellEnd"/>
            <w:r w:rsidRPr="009B7CD3">
              <w:rPr>
                <w:rFonts w:ascii="Times New Roman" w:eastAsia="Times New Roman" w:hAnsi="Times New Roman" w:cs="Times New Roman"/>
                <w:color w:val="000000"/>
                <w:sz w:val="18"/>
                <w:szCs w:val="18"/>
                <w:lang w:eastAsia="en-GB"/>
              </w:rPr>
              <w:t xml:space="preserve"> v. France</w:t>
            </w:r>
          </w:p>
        </w:tc>
        <w:tc>
          <w:tcPr>
            <w:tcW w:w="1275" w:type="pct"/>
            <w:tcBorders>
              <w:top w:val="nil"/>
              <w:left w:val="nil"/>
              <w:bottom w:val="single" w:sz="4" w:space="0" w:color="BFBFBF"/>
              <w:right w:val="nil"/>
            </w:tcBorders>
            <w:shd w:val="clear" w:color="auto" w:fill="DEEAF6" w:themeFill="accent5" w:themeFillTint="33"/>
            <w:noWrap/>
            <w:hideMark/>
          </w:tcPr>
          <w:p w14:paraId="053F2EDE" w14:textId="5C59DC5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Murtazaliyeva</w:t>
            </w:r>
            <w:proofErr w:type="spellEnd"/>
            <w:r w:rsidRPr="009B7CD3">
              <w:rPr>
                <w:rFonts w:ascii="Times New Roman" w:eastAsia="Times New Roman" w:hAnsi="Times New Roman" w:cs="Times New Roman"/>
                <w:color w:val="000000"/>
                <w:sz w:val="18"/>
                <w:szCs w:val="18"/>
                <w:lang w:eastAsia="en-GB"/>
              </w:rPr>
              <w:t xml:space="preserve"> v. Russia</w:t>
            </w:r>
          </w:p>
        </w:tc>
        <w:tc>
          <w:tcPr>
            <w:tcW w:w="1347" w:type="pct"/>
            <w:tcBorders>
              <w:top w:val="nil"/>
              <w:left w:val="nil"/>
              <w:bottom w:val="single" w:sz="4" w:space="0" w:color="BFBFBF"/>
              <w:right w:val="nil"/>
            </w:tcBorders>
            <w:shd w:val="clear" w:color="auto" w:fill="DEEAF6" w:themeFill="accent5" w:themeFillTint="33"/>
            <w:noWrap/>
            <w:hideMark/>
          </w:tcPr>
          <w:p w14:paraId="63F5AD86" w14:textId="25EF302C"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Vona</w:t>
            </w:r>
            <w:proofErr w:type="spellEnd"/>
            <w:r w:rsidRPr="009B7CD3">
              <w:rPr>
                <w:rFonts w:ascii="Times New Roman" w:eastAsia="Times New Roman" w:hAnsi="Times New Roman" w:cs="Times New Roman"/>
                <w:color w:val="000000"/>
                <w:sz w:val="18"/>
                <w:szCs w:val="18"/>
                <w:lang w:eastAsia="en-GB"/>
              </w:rPr>
              <w:t xml:space="preserve"> v. Hungary</w:t>
            </w:r>
          </w:p>
        </w:tc>
      </w:tr>
      <w:tr w:rsidR="006511A9" w:rsidRPr="009B7CD3" w14:paraId="2A450823"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4AF494E0" w14:textId="7F345BE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Armani da silva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c>
          <w:tcPr>
            <w:tcW w:w="1109" w:type="pct"/>
            <w:tcBorders>
              <w:top w:val="nil"/>
              <w:left w:val="nil"/>
              <w:bottom w:val="single" w:sz="4" w:space="0" w:color="BFBFBF"/>
              <w:right w:val="nil"/>
            </w:tcBorders>
            <w:shd w:val="clear" w:color="auto" w:fill="DEEAF6" w:themeFill="accent5" w:themeFillTint="33"/>
            <w:noWrap/>
            <w:hideMark/>
          </w:tcPr>
          <w:p w14:paraId="2400209B" w14:textId="54A9B3C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Hämäläinen</w:t>
            </w:r>
            <w:proofErr w:type="spellEnd"/>
            <w:r w:rsidRPr="009B7CD3">
              <w:rPr>
                <w:rFonts w:ascii="Times New Roman" w:eastAsia="Times New Roman" w:hAnsi="Times New Roman" w:cs="Times New Roman"/>
                <w:color w:val="000000"/>
                <w:sz w:val="18"/>
                <w:szCs w:val="18"/>
                <w:lang w:eastAsia="en-GB"/>
              </w:rPr>
              <w:t xml:space="preserve"> v. Finland</w:t>
            </w:r>
          </w:p>
        </w:tc>
        <w:tc>
          <w:tcPr>
            <w:tcW w:w="1275" w:type="pct"/>
            <w:tcBorders>
              <w:top w:val="nil"/>
              <w:left w:val="nil"/>
              <w:bottom w:val="single" w:sz="4" w:space="0" w:color="BFBFBF"/>
              <w:right w:val="nil"/>
            </w:tcBorders>
            <w:shd w:val="clear" w:color="auto" w:fill="DEEAF6" w:themeFill="accent5" w:themeFillTint="33"/>
            <w:noWrap/>
            <w:hideMark/>
          </w:tcPr>
          <w:p w14:paraId="33EF9BDF" w14:textId="440FCB6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Naït-liman</w:t>
            </w:r>
            <w:proofErr w:type="spellEnd"/>
            <w:r w:rsidRPr="009B7CD3">
              <w:rPr>
                <w:rFonts w:ascii="Times New Roman" w:eastAsia="Times New Roman" w:hAnsi="Times New Roman" w:cs="Times New Roman"/>
                <w:color w:val="000000"/>
                <w:sz w:val="18"/>
                <w:szCs w:val="18"/>
                <w:lang w:eastAsia="en-GB"/>
              </w:rPr>
              <w:t xml:space="preserve"> v. Switzerland [</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c>
          <w:tcPr>
            <w:tcW w:w="1347" w:type="pct"/>
            <w:tcBorders>
              <w:top w:val="nil"/>
              <w:left w:val="nil"/>
              <w:bottom w:val="single" w:sz="4" w:space="0" w:color="BFBFBF"/>
              <w:right w:val="nil"/>
            </w:tcBorders>
            <w:shd w:val="clear" w:color="auto" w:fill="DEEAF6" w:themeFill="accent5" w:themeFillTint="33"/>
            <w:noWrap/>
            <w:hideMark/>
          </w:tcPr>
          <w:p w14:paraId="0A3B9162" w14:textId="40314CE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Winterstein</w:t>
            </w:r>
            <w:proofErr w:type="spellEnd"/>
            <w:r w:rsidRPr="009B7CD3">
              <w:rPr>
                <w:rFonts w:ascii="Times New Roman" w:eastAsia="Times New Roman" w:hAnsi="Times New Roman" w:cs="Times New Roman"/>
                <w:color w:val="000000"/>
                <w:sz w:val="18"/>
                <w:szCs w:val="18"/>
                <w:lang w:eastAsia="en-GB"/>
              </w:rPr>
              <w:t xml:space="preserve"> and others v. France</w:t>
            </w:r>
          </w:p>
        </w:tc>
      </w:tr>
      <w:tr w:rsidR="006511A9" w:rsidRPr="009B7CD3" w14:paraId="3E5AD383"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3555EEA6" w14:textId="6850CB9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Avotiņš</w:t>
            </w:r>
            <w:proofErr w:type="spellEnd"/>
            <w:r w:rsidRPr="009B7CD3">
              <w:rPr>
                <w:rFonts w:ascii="Times New Roman" w:eastAsia="Times New Roman" w:hAnsi="Times New Roman" w:cs="Times New Roman"/>
                <w:color w:val="000000"/>
                <w:sz w:val="18"/>
                <w:szCs w:val="18"/>
                <w:lang w:eastAsia="en-GB"/>
              </w:rPr>
              <w:t xml:space="preserve"> v. Latvia [</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c>
          <w:tcPr>
            <w:tcW w:w="1109" w:type="pct"/>
            <w:tcBorders>
              <w:top w:val="nil"/>
              <w:left w:val="nil"/>
              <w:bottom w:val="single" w:sz="4" w:space="0" w:color="BFBFBF"/>
              <w:right w:val="nil"/>
            </w:tcBorders>
            <w:shd w:val="clear" w:color="auto" w:fill="DEEAF6" w:themeFill="accent5" w:themeFillTint="33"/>
            <w:noWrap/>
            <w:hideMark/>
          </w:tcPr>
          <w:p w14:paraId="3CB1182B" w14:textId="1BAB7BC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Haldimann</w:t>
            </w:r>
            <w:proofErr w:type="spellEnd"/>
            <w:r w:rsidRPr="009B7CD3">
              <w:rPr>
                <w:rFonts w:ascii="Times New Roman" w:eastAsia="Times New Roman" w:hAnsi="Times New Roman" w:cs="Times New Roman"/>
                <w:color w:val="000000"/>
                <w:sz w:val="18"/>
                <w:szCs w:val="18"/>
                <w:lang w:eastAsia="en-GB"/>
              </w:rPr>
              <w:t xml:space="preserve"> and others v. Switzerland</w:t>
            </w:r>
          </w:p>
        </w:tc>
        <w:tc>
          <w:tcPr>
            <w:tcW w:w="1275" w:type="pct"/>
            <w:tcBorders>
              <w:top w:val="nil"/>
              <w:left w:val="nil"/>
              <w:bottom w:val="single" w:sz="4" w:space="0" w:color="BFBFBF"/>
              <w:right w:val="nil"/>
            </w:tcBorders>
            <w:shd w:val="clear" w:color="auto" w:fill="DEEAF6" w:themeFill="accent5" w:themeFillTint="33"/>
            <w:noWrap/>
            <w:hideMark/>
          </w:tcPr>
          <w:p w14:paraId="70F8F67F" w14:textId="572B15B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Nada v. Switzerland</w:t>
            </w:r>
          </w:p>
        </w:tc>
        <w:tc>
          <w:tcPr>
            <w:tcW w:w="1347" w:type="pct"/>
            <w:tcBorders>
              <w:top w:val="nil"/>
              <w:left w:val="nil"/>
              <w:bottom w:val="single" w:sz="4" w:space="0" w:color="BFBFBF"/>
              <w:right w:val="nil"/>
            </w:tcBorders>
            <w:shd w:val="clear" w:color="auto" w:fill="DEEAF6" w:themeFill="accent5" w:themeFillTint="33"/>
            <w:noWrap/>
            <w:hideMark/>
          </w:tcPr>
          <w:p w14:paraId="1A154DEA" w14:textId="56127B6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X and others v. Austria</w:t>
            </w:r>
          </w:p>
        </w:tc>
      </w:tr>
      <w:tr w:rsidR="006511A9" w:rsidRPr="009B7CD3" w14:paraId="263D474C"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3D7129B3" w14:textId="4B41FAFC"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Bédat</w:t>
            </w:r>
            <w:proofErr w:type="spellEnd"/>
            <w:r w:rsidRPr="009B7CD3">
              <w:rPr>
                <w:rFonts w:ascii="Times New Roman" w:eastAsia="Times New Roman" w:hAnsi="Times New Roman" w:cs="Times New Roman"/>
                <w:color w:val="000000"/>
                <w:sz w:val="18"/>
                <w:szCs w:val="18"/>
                <w:lang w:eastAsia="en-GB"/>
              </w:rPr>
              <w:t xml:space="preserve"> v. Switzerland</w:t>
            </w:r>
          </w:p>
        </w:tc>
        <w:tc>
          <w:tcPr>
            <w:tcW w:w="1109" w:type="pct"/>
            <w:tcBorders>
              <w:top w:val="nil"/>
              <w:left w:val="nil"/>
              <w:bottom w:val="single" w:sz="4" w:space="0" w:color="BFBFBF"/>
              <w:right w:val="nil"/>
            </w:tcBorders>
            <w:shd w:val="clear" w:color="auto" w:fill="DEEAF6" w:themeFill="accent5" w:themeFillTint="33"/>
            <w:noWrap/>
            <w:hideMark/>
          </w:tcPr>
          <w:p w14:paraId="39597B17" w14:textId="51D89E6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Harakchiev</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tolumov</w:t>
            </w:r>
            <w:proofErr w:type="spellEnd"/>
            <w:r w:rsidRPr="009B7CD3">
              <w:rPr>
                <w:rFonts w:ascii="Times New Roman" w:eastAsia="Times New Roman" w:hAnsi="Times New Roman" w:cs="Times New Roman"/>
                <w:color w:val="000000"/>
                <w:sz w:val="18"/>
                <w:szCs w:val="18"/>
                <w:lang w:eastAsia="en-GB"/>
              </w:rPr>
              <w:t xml:space="preserve"> v. Bulgaria</w:t>
            </w:r>
          </w:p>
        </w:tc>
        <w:tc>
          <w:tcPr>
            <w:tcW w:w="1275" w:type="pct"/>
            <w:tcBorders>
              <w:top w:val="nil"/>
              <w:left w:val="nil"/>
              <w:bottom w:val="single" w:sz="4" w:space="0" w:color="BFBFBF"/>
              <w:right w:val="nil"/>
            </w:tcBorders>
            <w:shd w:val="clear" w:color="auto" w:fill="DEEAF6" w:themeFill="accent5" w:themeFillTint="33"/>
            <w:noWrap/>
            <w:hideMark/>
          </w:tcPr>
          <w:p w14:paraId="38D3EAA3" w14:textId="2286AAA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National federation of sportspersons' associations and </w:t>
            </w:r>
          </w:p>
        </w:tc>
        <w:tc>
          <w:tcPr>
            <w:tcW w:w="1347" w:type="pct"/>
            <w:tcBorders>
              <w:top w:val="nil"/>
              <w:left w:val="nil"/>
              <w:bottom w:val="single" w:sz="4" w:space="0" w:color="BFBFBF"/>
              <w:right w:val="nil"/>
            </w:tcBorders>
            <w:shd w:val="clear" w:color="auto" w:fill="DEEAF6" w:themeFill="accent5" w:themeFillTint="33"/>
            <w:noWrap/>
            <w:hideMark/>
          </w:tcPr>
          <w:p w14:paraId="34DD3B6B" w14:textId="7615133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X v. Latvia</w:t>
            </w:r>
          </w:p>
        </w:tc>
      </w:tr>
      <w:tr w:rsidR="006511A9" w:rsidRPr="009B7CD3" w14:paraId="3C4FEE81"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7E4F6C5" w14:textId="3EF77C2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Béláné</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nagy</w:t>
            </w:r>
            <w:proofErr w:type="spellEnd"/>
            <w:r w:rsidRPr="009B7CD3">
              <w:rPr>
                <w:rFonts w:ascii="Times New Roman" w:eastAsia="Times New Roman" w:hAnsi="Times New Roman" w:cs="Times New Roman"/>
                <w:color w:val="000000"/>
                <w:sz w:val="18"/>
                <w:szCs w:val="18"/>
                <w:lang w:eastAsia="en-GB"/>
              </w:rPr>
              <w:t xml:space="preserve"> v. Hungary [</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c>
          <w:tcPr>
            <w:tcW w:w="1109" w:type="pct"/>
            <w:tcBorders>
              <w:top w:val="nil"/>
              <w:left w:val="nil"/>
              <w:bottom w:val="single" w:sz="4" w:space="0" w:color="BFBFBF"/>
              <w:right w:val="nil"/>
            </w:tcBorders>
            <w:shd w:val="clear" w:color="auto" w:fill="DEEAF6" w:themeFill="accent5" w:themeFillTint="33"/>
            <w:noWrap/>
            <w:hideMark/>
          </w:tcPr>
          <w:p w14:paraId="45DB93F8" w14:textId="2C1C970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Herrmann v. Germany</w:t>
            </w:r>
          </w:p>
        </w:tc>
        <w:tc>
          <w:tcPr>
            <w:tcW w:w="1275" w:type="pct"/>
            <w:tcBorders>
              <w:top w:val="nil"/>
              <w:left w:val="nil"/>
              <w:bottom w:val="single" w:sz="4" w:space="0" w:color="BFBFBF"/>
              <w:right w:val="nil"/>
            </w:tcBorders>
            <w:shd w:val="clear" w:color="auto" w:fill="DEEAF6" w:themeFill="accent5" w:themeFillTint="33"/>
            <w:noWrap/>
            <w:hideMark/>
          </w:tcPr>
          <w:p w14:paraId="13C877F9" w14:textId="70ED030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Natsvlishvili</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togonidze</w:t>
            </w:r>
            <w:proofErr w:type="spellEnd"/>
            <w:r w:rsidRPr="009B7CD3">
              <w:rPr>
                <w:rFonts w:ascii="Times New Roman" w:eastAsia="Times New Roman" w:hAnsi="Times New Roman" w:cs="Times New Roman"/>
                <w:color w:val="000000"/>
                <w:sz w:val="18"/>
                <w:szCs w:val="18"/>
                <w:lang w:eastAsia="en-GB"/>
              </w:rPr>
              <w:t xml:space="preserve"> v. Georgia</w:t>
            </w:r>
          </w:p>
        </w:tc>
        <w:tc>
          <w:tcPr>
            <w:tcW w:w="1347" w:type="pct"/>
            <w:tcBorders>
              <w:top w:val="nil"/>
              <w:left w:val="nil"/>
              <w:bottom w:val="single" w:sz="4" w:space="0" w:color="BFBFBF"/>
              <w:right w:val="nil"/>
            </w:tcBorders>
            <w:shd w:val="clear" w:color="auto" w:fill="DEEAF6" w:themeFill="accent5" w:themeFillTint="33"/>
            <w:noWrap/>
            <w:hideMark/>
          </w:tcPr>
          <w:p w14:paraId="0CAF4DFF" w14:textId="5F6423E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X v. Turkey</w:t>
            </w:r>
          </w:p>
        </w:tc>
      </w:tr>
      <w:tr w:rsidR="006511A9" w:rsidRPr="009B7CD3" w14:paraId="15883CB6"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617D8D8C" w14:textId="74BCDA5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Babar </w:t>
            </w:r>
            <w:proofErr w:type="spellStart"/>
            <w:r w:rsidRPr="009B7CD3">
              <w:rPr>
                <w:rFonts w:ascii="Times New Roman" w:eastAsia="Times New Roman" w:hAnsi="Times New Roman" w:cs="Times New Roman"/>
                <w:color w:val="000000"/>
                <w:sz w:val="18"/>
                <w:szCs w:val="18"/>
                <w:lang w:eastAsia="en-GB"/>
              </w:rPr>
              <w:t>ahmad</w:t>
            </w:r>
            <w:proofErr w:type="spellEnd"/>
            <w:r w:rsidRPr="009B7CD3">
              <w:rPr>
                <w:rFonts w:ascii="Times New Roman" w:eastAsia="Times New Roman" w:hAnsi="Times New Roman" w:cs="Times New Roman"/>
                <w:color w:val="000000"/>
                <w:sz w:val="18"/>
                <w:szCs w:val="18"/>
                <w:lang w:eastAsia="en-GB"/>
              </w:rPr>
              <w:t xml:space="preserve"> and others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c>
          <w:tcPr>
            <w:tcW w:w="1109" w:type="pct"/>
            <w:tcBorders>
              <w:top w:val="nil"/>
              <w:left w:val="nil"/>
              <w:bottom w:val="single" w:sz="4" w:space="0" w:color="BFBFBF"/>
              <w:right w:val="nil"/>
            </w:tcBorders>
            <w:shd w:val="clear" w:color="auto" w:fill="DEEAF6" w:themeFill="accent5" w:themeFillTint="33"/>
            <w:noWrap/>
            <w:hideMark/>
          </w:tcPr>
          <w:p w14:paraId="28AC2707" w14:textId="162BB2E7"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Hristozov</w:t>
            </w:r>
            <w:proofErr w:type="spellEnd"/>
            <w:r w:rsidRPr="009B7CD3">
              <w:rPr>
                <w:rFonts w:ascii="Times New Roman" w:eastAsia="Times New Roman" w:hAnsi="Times New Roman" w:cs="Times New Roman"/>
                <w:color w:val="000000"/>
                <w:sz w:val="18"/>
                <w:szCs w:val="18"/>
                <w:lang w:eastAsia="en-GB"/>
              </w:rPr>
              <w:t xml:space="preserve"> and others v. Bulgaria</w:t>
            </w:r>
          </w:p>
        </w:tc>
        <w:tc>
          <w:tcPr>
            <w:tcW w:w="1275" w:type="pct"/>
            <w:tcBorders>
              <w:top w:val="nil"/>
              <w:left w:val="nil"/>
              <w:bottom w:val="single" w:sz="4" w:space="0" w:color="BFBFBF"/>
              <w:right w:val="nil"/>
            </w:tcBorders>
            <w:shd w:val="clear" w:color="auto" w:fill="DEEAF6" w:themeFill="accent5" w:themeFillTint="33"/>
            <w:noWrap/>
            <w:hideMark/>
          </w:tcPr>
          <w:p w14:paraId="6F61F1FC" w14:textId="7CDCA2E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Navalnyy</w:t>
            </w:r>
            <w:proofErr w:type="spellEnd"/>
            <w:r w:rsidRPr="009B7CD3">
              <w:rPr>
                <w:rFonts w:ascii="Times New Roman" w:eastAsia="Times New Roman" w:hAnsi="Times New Roman" w:cs="Times New Roman"/>
                <w:color w:val="000000"/>
                <w:sz w:val="18"/>
                <w:szCs w:val="18"/>
                <w:lang w:eastAsia="en-GB"/>
              </w:rPr>
              <w:t xml:space="preserve"> v. Russia</w:t>
            </w:r>
          </w:p>
        </w:tc>
        <w:tc>
          <w:tcPr>
            <w:tcW w:w="1347" w:type="pct"/>
            <w:tcBorders>
              <w:top w:val="nil"/>
              <w:left w:val="nil"/>
              <w:bottom w:val="single" w:sz="4" w:space="0" w:color="BFBFBF"/>
              <w:right w:val="nil"/>
            </w:tcBorders>
            <w:shd w:val="clear" w:color="auto" w:fill="DEEAF6" w:themeFill="accent5" w:themeFillTint="33"/>
            <w:noWrap/>
            <w:hideMark/>
          </w:tcPr>
          <w:p w14:paraId="1B8D4477" w14:textId="520CAF77"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Y.y</w:t>
            </w:r>
            <w:proofErr w:type="spellEnd"/>
            <w:r w:rsidRPr="009B7CD3">
              <w:rPr>
                <w:rFonts w:ascii="Times New Roman" w:eastAsia="Times New Roman" w:hAnsi="Times New Roman" w:cs="Times New Roman"/>
                <w:color w:val="000000"/>
                <w:sz w:val="18"/>
                <w:szCs w:val="18"/>
                <w:lang w:eastAsia="en-GB"/>
              </w:rPr>
              <w:t>. V. Turkey</w:t>
            </w:r>
          </w:p>
        </w:tc>
      </w:tr>
      <w:tr w:rsidR="006511A9" w:rsidRPr="009B7CD3" w14:paraId="11171493"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68DBD6D" w14:textId="60BE770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Baka v. Hungary</w:t>
            </w:r>
          </w:p>
        </w:tc>
        <w:tc>
          <w:tcPr>
            <w:tcW w:w="1109" w:type="pct"/>
            <w:tcBorders>
              <w:top w:val="nil"/>
              <w:left w:val="nil"/>
              <w:bottom w:val="single" w:sz="4" w:space="0" w:color="BFBFBF"/>
              <w:right w:val="nil"/>
            </w:tcBorders>
            <w:shd w:val="clear" w:color="auto" w:fill="DEEAF6" w:themeFill="accent5" w:themeFillTint="33"/>
            <w:noWrap/>
            <w:hideMark/>
          </w:tcPr>
          <w:p w14:paraId="26A8D7FD" w14:textId="5879836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Hutchinson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c>
          <w:tcPr>
            <w:tcW w:w="1275" w:type="pct"/>
            <w:tcBorders>
              <w:top w:val="nil"/>
              <w:left w:val="nil"/>
              <w:bottom w:val="single" w:sz="4" w:space="0" w:color="BFBFBF"/>
              <w:right w:val="nil"/>
            </w:tcBorders>
            <w:shd w:val="clear" w:color="auto" w:fill="DEEAF6" w:themeFill="accent5" w:themeFillTint="33"/>
            <w:noWrap/>
            <w:hideMark/>
          </w:tcPr>
          <w:p w14:paraId="3672D323" w14:textId="7F07885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Nazarenko</w:t>
            </w:r>
            <w:proofErr w:type="spellEnd"/>
            <w:r w:rsidRPr="009B7CD3">
              <w:rPr>
                <w:rFonts w:ascii="Times New Roman" w:eastAsia="Times New Roman" w:hAnsi="Times New Roman" w:cs="Times New Roman"/>
                <w:color w:val="000000"/>
                <w:sz w:val="18"/>
                <w:szCs w:val="18"/>
                <w:lang w:eastAsia="en-GB"/>
              </w:rPr>
              <w:t xml:space="preserve"> v. Russia</w:t>
            </w:r>
          </w:p>
        </w:tc>
        <w:tc>
          <w:tcPr>
            <w:tcW w:w="1347" w:type="pct"/>
            <w:tcBorders>
              <w:top w:val="nil"/>
              <w:left w:val="nil"/>
              <w:bottom w:val="single" w:sz="4" w:space="0" w:color="BFBFBF"/>
              <w:right w:val="nil"/>
            </w:tcBorders>
            <w:shd w:val="clear" w:color="auto" w:fill="DEEAF6" w:themeFill="accent5" w:themeFillTint="33"/>
            <w:noWrap/>
            <w:hideMark/>
          </w:tcPr>
          <w:p w14:paraId="6E1AB177" w14:textId="72AAD29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Yefimenko</w:t>
            </w:r>
            <w:proofErr w:type="spellEnd"/>
            <w:r w:rsidRPr="009B7CD3">
              <w:rPr>
                <w:rFonts w:ascii="Times New Roman" w:eastAsia="Times New Roman" w:hAnsi="Times New Roman" w:cs="Times New Roman"/>
                <w:color w:val="000000"/>
                <w:sz w:val="18"/>
                <w:szCs w:val="18"/>
                <w:lang w:eastAsia="en-GB"/>
              </w:rPr>
              <w:t xml:space="preserve"> v. Russia</w:t>
            </w:r>
          </w:p>
        </w:tc>
      </w:tr>
      <w:tr w:rsidR="006511A9" w:rsidRPr="009B7CD3" w14:paraId="7EDDBD32"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3D7D0612" w14:textId="2E56257C"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lastRenderedPageBreak/>
              <w:t>Bărbulescu</w:t>
            </w:r>
            <w:proofErr w:type="spellEnd"/>
            <w:r w:rsidRPr="009B7CD3">
              <w:rPr>
                <w:rFonts w:ascii="Times New Roman" w:eastAsia="Times New Roman" w:hAnsi="Times New Roman" w:cs="Times New Roman"/>
                <w:color w:val="000000"/>
                <w:sz w:val="18"/>
                <w:szCs w:val="18"/>
                <w:lang w:eastAsia="en-GB"/>
              </w:rPr>
              <w:t xml:space="preserve"> v. Romania [</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c>
          <w:tcPr>
            <w:tcW w:w="1109" w:type="pct"/>
            <w:tcBorders>
              <w:top w:val="nil"/>
              <w:left w:val="nil"/>
              <w:bottom w:val="single" w:sz="4" w:space="0" w:color="BFBFBF"/>
              <w:right w:val="nil"/>
            </w:tcBorders>
            <w:shd w:val="clear" w:color="auto" w:fill="DEEAF6" w:themeFill="accent5" w:themeFillTint="33"/>
            <w:noWrap/>
            <w:hideMark/>
          </w:tcPr>
          <w:p w14:paraId="005EC300" w14:textId="03CA4BA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Ilbeyi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kemaloğlu</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meriye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kemaloğlu</w:t>
            </w:r>
            <w:proofErr w:type="spellEnd"/>
            <w:r w:rsidRPr="009B7CD3">
              <w:rPr>
                <w:rFonts w:ascii="Times New Roman" w:eastAsia="Times New Roman" w:hAnsi="Times New Roman" w:cs="Times New Roman"/>
                <w:color w:val="000000"/>
                <w:sz w:val="18"/>
                <w:szCs w:val="18"/>
                <w:lang w:eastAsia="en-GB"/>
              </w:rPr>
              <w:t xml:space="preserve"> v. Turkey</w:t>
            </w:r>
          </w:p>
        </w:tc>
        <w:tc>
          <w:tcPr>
            <w:tcW w:w="1275" w:type="pct"/>
            <w:tcBorders>
              <w:top w:val="nil"/>
              <w:left w:val="nil"/>
              <w:bottom w:val="single" w:sz="4" w:space="0" w:color="BFBFBF"/>
              <w:right w:val="nil"/>
            </w:tcBorders>
            <w:shd w:val="clear" w:color="auto" w:fill="DEEAF6" w:themeFill="accent5" w:themeFillTint="33"/>
            <w:noWrap/>
            <w:hideMark/>
          </w:tcPr>
          <w:p w14:paraId="4E6B7E09" w14:textId="709E68D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Nicolae </w:t>
            </w:r>
            <w:proofErr w:type="spellStart"/>
            <w:r w:rsidRPr="009B7CD3">
              <w:rPr>
                <w:rFonts w:ascii="Times New Roman" w:eastAsia="Times New Roman" w:hAnsi="Times New Roman" w:cs="Times New Roman"/>
                <w:color w:val="000000"/>
                <w:sz w:val="18"/>
                <w:szCs w:val="18"/>
                <w:lang w:eastAsia="en-GB"/>
              </w:rPr>
              <w:t>virgiliu</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tanase</w:t>
            </w:r>
            <w:proofErr w:type="spellEnd"/>
            <w:r w:rsidRPr="009B7CD3">
              <w:rPr>
                <w:rFonts w:ascii="Times New Roman" w:eastAsia="Times New Roman" w:hAnsi="Times New Roman" w:cs="Times New Roman"/>
                <w:color w:val="000000"/>
                <w:sz w:val="18"/>
                <w:szCs w:val="18"/>
                <w:lang w:eastAsia="en-GB"/>
              </w:rPr>
              <w:t xml:space="preserve"> v. Romania</w:t>
            </w:r>
          </w:p>
        </w:tc>
        <w:tc>
          <w:tcPr>
            <w:tcW w:w="1347" w:type="pct"/>
            <w:tcBorders>
              <w:top w:val="nil"/>
              <w:left w:val="nil"/>
              <w:bottom w:val="single" w:sz="4" w:space="0" w:color="BFBFBF"/>
              <w:right w:val="nil"/>
            </w:tcBorders>
            <w:shd w:val="clear" w:color="auto" w:fill="DEEAF6" w:themeFill="accent5" w:themeFillTint="33"/>
            <w:noWrap/>
            <w:hideMark/>
          </w:tcPr>
          <w:p w14:paraId="0CCF1177" w14:textId="4890A84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Z.a</w:t>
            </w:r>
            <w:proofErr w:type="spellEnd"/>
            <w:r w:rsidRPr="009B7CD3">
              <w:rPr>
                <w:rFonts w:ascii="Times New Roman" w:eastAsia="Times New Roman" w:hAnsi="Times New Roman" w:cs="Times New Roman"/>
                <w:color w:val="000000"/>
                <w:sz w:val="18"/>
                <w:szCs w:val="18"/>
                <w:lang w:eastAsia="en-GB"/>
              </w:rPr>
              <w:t>. And others v. Russia</w:t>
            </w:r>
          </w:p>
        </w:tc>
      </w:tr>
      <w:tr w:rsidR="006511A9" w:rsidRPr="009B7CD3" w14:paraId="669EDC9E"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BB0257F" w14:textId="08D537B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Bayev</w:t>
            </w:r>
            <w:proofErr w:type="spellEnd"/>
            <w:r w:rsidRPr="009B7CD3">
              <w:rPr>
                <w:rFonts w:ascii="Times New Roman" w:eastAsia="Times New Roman" w:hAnsi="Times New Roman" w:cs="Times New Roman"/>
                <w:color w:val="000000"/>
                <w:sz w:val="18"/>
                <w:szCs w:val="18"/>
                <w:lang w:eastAsia="en-GB"/>
              </w:rPr>
              <w:t xml:space="preserve"> and others v. Russia</w:t>
            </w:r>
          </w:p>
        </w:tc>
        <w:tc>
          <w:tcPr>
            <w:tcW w:w="1109" w:type="pct"/>
            <w:tcBorders>
              <w:top w:val="nil"/>
              <w:left w:val="nil"/>
              <w:bottom w:val="single" w:sz="4" w:space="0" w:color="BFBFBF"/>
              <w:right w:val="nil"/>
            </w:tcBorders>
            <w:shd w:val="clear" w:color="auto" w:fill="DEEAF6" w:themeFill="accent5" w:themeFillTint="33"/>
            <w:noWrap/>
            <w:hideMark/>
          </w:tcPr>
          <w:p w14:paraId="4F9B3634" w14:textId="34976F4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Ilias</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ahmed</w:t>
            </w:r>
            <w:proofErr w:type="spellEnd"/>
            <w:r w:rsidRPr="009B7CD3">
              <w:rPr>
                <w:rFonts w:ascii="Times New Roman" w:eastAsia="Times New Roman" w:hAnsi="Times New Roman" w:cs="Times New Roman"/>
                <w:color w:val="000000"/>
                <w:sz w:val="18"/>
                <w:szCs w:val="18"/>
                <w:lang w:eastAsia="en-GB"/>
              </w:rPr>
              <w:t xml:space="preserve"> v. </w:t>
            </w:r>
            <w:proofErr w:type="spellStart"/>
            <w:r w:rsidRPr="009B7CD3">
              <w:rPr>
                <w:rFonts w:ascii="Times New Roman" w:eastAsia="Times New Roman" w:hAnsi="Times New Roman" w:cs="Times New Roman"/>
                <w:color w:val="000000"/>
                <w:sz w:val="18"/>
                <w:szCs w:val="18"/>
                <w:lang w:eastAsia="en-GB"/>
              </w:rPr>
              <w:t>Hungar'y</w:t>
            </w:r>
            <w:proofErr w:type="spellEnd"/>
          </w:p>
        </w:tc>
        <w:tc>
          <w:tcPr>
            <w:tcW w:w="1275" w:type="pct"/>
            <w:tcBorders>
              <w:top w:val="nil"/>
              <w:left w:val="nil"/>
              <w:bottom w:val="single" w:sz="4" w:space="0" w:color="BFBFBF"/>
              <w:right w:val="nil"/>
            </w:tcBorders>
            <w:shd w:val="clear" w:color="auto" w:fill="DEEAF6" w:themeFill="accent5" w:themeFillTint="33"/>
            <w:noWrap/>
            <w:hideMark/>
          </w:tcPr>
          <w:p w14:paraId="107B4428" w14:textId="2BCBA69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Novruk</w:t>
            </w:r>
            <w:proofErr w:type="spellEnd"/>
            <w:r w:rsidRPr="009B7CD3">
              <w:rPr>
                <w:rFonts w:ascii="Times New Roman" w:eastAsia="Times New Roman" w:hAnsi="Times New Roman" w:cs="Times New Roman"/>
                <w:color w:val="000000"/>
                <w:sz w:val="18"/>
                <w:szCs w:val="18"/>
                <w:lang w:eastAsia="en-GB"/>
              </w:rPr>
              <w:t xml:space="preserve"> and others v. Russia</w:t>
            </w:r>
          </w:p>
        </w:tc>
        <w:tc>
          <w:tcPr>
            <w:tcW w:w="1347" w:type="pct"/>
            <w:tcBorders>
              <w:top w:val="nil"/>
              <w:left w:val="nil"/>
              <w:bottom w:val="single" w:sz="4" w:space="0" w:color="BFBFBF"/>
              <w:right w:val="nil"/>
            </w:tcBorders>
            <w:shd w:val="clear" w:color="auto" w:fill="DEEAF6" w:themeFill="accent5" w:themeFillTint="33"/>
            <w:noWrap/>
            <w:hideMark/>
          </w:tcPr>
          <w:p w14:paraId="63F26F25" w14:textId="49E63F0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Zaieţ</w:t>
            </w:r>
            <w:proofErr w:type="spellEnd"/>
            <w:r w:rsidRPr="009B7CD3">
              <w:rPr>
                <w:rFonts w:ascii="Times New Roman" w:eastAsia="Times New Roman" w:hAnsi="Times New Roman" w:cs="Times New Roman"/>
                <w:color w:val="000000"/>
                <w:sz w:val="18"/>
                <w:szCs w:val="18"/>
                <w:lang w:eastAsia="en-GB"/>
              </w:rPr>
              <w:t xml:space="preserve"> v. Romania</w:t>
            </w:r>
          </w:p>
        </w:tc>
      </w:tr>
      <w:tr w:rsidR="006511A9" w:rsidRPr="009B7CD3" w14:paraId="7CDB0510"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7782951A" w14:textId="28FD4BF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Becker v. Norway</w:t>
            </w:r>
          </w:p>
        </w:tc>
        <w:tc>
          <w:tcPr>
            <w:tcW w:w="1109" w:type="pct"/>
            <w:tcBorders>
              <w:top w:val="nil"/>
              <w:left w:val="nil"/>
              <w:bottom w:val="single" w:sz="4" w:space="0" w:color="BFBFBF"/>
              <w:right w:val="nil"/>
            </w:tcBorders>
            <w:shd w:val="clear" w:color="auto" w:fill="DEEAF6" w:themeFill="accent5" w:themeFillTint="33"/>
            <w:noWrap/>
            <w:hideMark/>
          </w:tcPr>
          <w:p w14:paraId="679F0260" w14:textId="1C072FF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Ilnseher</w:t>
            </w:r>
            <w:proofErr w:type="spellEnd"/>
            <w:r w:rsidRPr="009B7CD3">
              <w:rPr>
                <w:rFonts w:ascii="Times New Roman" w:eastAsia="Times New Roman" w:hAnsi="Times New Roman" w:cs="Times New Roman"/>
                <w:color w:val="000000"/>
                <w:sz w:val="18"/>
                <w:szCs w:val="18"/>
                <w:lang w:eastAsia="en-GB"/>
              </w:rPr>
              <w:t xml:space="preserve"> v. Germany</w:t>
            </w:r>
          </w:p>
        </w:tc>
        <w:tc>
          <w:tcPr>
            <w:tcW w:w="1275" w:type="pct"/>
            <w:tcBorders>
              <w:top w:val="nil"/>
              <w:left w:val="nil"/>
              <w:bottom w:val="single" w:sz="4" w:space="0" w:color="BFBFBF"/>
              <w:right w:val="nil"/>
            </w:tcBorders>
            <w:shd w:val="clear" w:color="auto" w:fill="DEEAF6" w:themeFill="accent5" w:themeFillTint="33"/>
            <w:noWrap/>
            <w:hideMark/>
          </w:tcPr>
          <w:p w14:paraId="5A2B077F" w14:textId="52D830C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Nusret</w:t>
            </w:r>
            <w:proofErr w:type="spellEnd"/>
            <w:r w:rsidRPr="009B7CD3">
              <w:rPr>
                <w:rFonts w:ascii="Times New Roman" w:eastAsia="Times New Roman" w:hAnsi="Times New Roman" w:cs="Times New Roman"/>
                <w:color w:val="000000"/>
                <w:sz w:val="18"/>
                <w:szCs w:val="18"/>
                <w:lang w:eastAsia="en-GB"/>
              </w:rPr>
              <w:t xml:space="preserve"> kaya and others v. Turkey</w:t>
            </w:r>
          </w:p>
        </w:tc>
        <w:tc>
          <w:tcPr>
            <w:tcW w:w="1347" w:type="pct"/>
            <w:tcBorders>
              <w:top w:val="nil"/>
              <w:left w:val="nil"/>
              <w:bottom w:val="single" w:sz="4" w:space="0" w:color="BFBFBF"/>
              <w:right w:val="nil"/>
            </w:tcBorders>
            <w:shd w:val="clear" w:color="auto" w:fill="DEEAF6" w:themeFill="accent5" w:themeFillTint="33"/>
            <w:noWrap/>
            <w:hideMark/>
          </w:tcPr>
          <w:p w14:paraId="3FCB7F2F" w14:textId="2A8C157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Zolotas</w:t>
            </w:r>
            <w:proofErr w:type="spellEnd"/>
            <w:r w:rsidRPr="009B7CD3">
              <w:rPr>
                <w:rFonts w:ascii="Times New Roman" w:eastAsia="Times New Roman" w:hAnsi="Times New Roman" w:cs="Times New Roman"/>
                <w:color w:val="000000"/>
                <w:sz w:val="18"/>
                <w:szCs w:val="18"/>
                <w:lang w:eastAsia="en-GB"/>
              </w:rPr>
              <w:t xml:space="preserve"> v. Greece (no. 2)</w:t>
            </w:r>
          </w:p>
        </w:tc>
      </w:tr>
      <w:tr w:rsidR="006511A9" w:rsidRPr="009B7CD3" w14:paraId="48169C15"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795E3297" w14:textId="7804836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Beghal</w:t>
            </w:r>
            <w:proofErr w:type="spellEnd"/>
            <w:r w:rsidRPr="009B7CD3">
              <w:rPr>
                <w:rFonts w:ascii="Times New Roman" w:eastAsia="Times New Roman" w:hAnsi="Times New Roman" w:cs="Times New Roman"/>
                <w:color w:val="000000"/>
                <w:sz w:val="18"/>
                <w:szCs w:val="18"/>
                <w:lang w:eastAsia="en-GB"/>
              </w:rPr>
              <w:t xml:space="preserve">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c>
          <w:tcPr>
            <w:tcW w:w="1109" w:type="pct"/>
            <w:tcBorders>
              <w:top w:val="nil"/>
              <w:left w:val="nil"/>
              <w:bottom w:val="single" w:sz="4" w:space="0" w:color="BFBFBF"/>
              <w:right w:val="nil"/>
            </w:tcBorders>
            <w:shd w:val="clear" w:color="auto" w:fill="DEEAF6" w:themeFill="accent5" w:themeFillTint="33"/>
            <w:noWrap/>
            <w:hideMark/>
          </w:tcPr>
          <w:p w14:paraId="2DC7CDC2" w14:textId="1688057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Izzettin</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dogan</w:t>
            </w:r>
            <w:proofErr w:type="spellEnd"/>
            <w:r w:rsidRPr="009B7CD3">
              <w:rPr>
                <w:rFonts w:ascii="Times New Roman" w:eastAsia="Times New Roman" w:hAnsi="Times New Roman" w:cs="Times New Roman"/>
                <w:color w:val="000000"/>
                <w:sz w:val="18"/>
                <w:szCs w:val="18"/>
                <w:lang w:eastAsia="en-GB"/>
              </w:rPr>
              <w:t xml:space="preserve"> and others v. Turkey</w:t>
            </w:r>
          </w:p>
        </w:tc>
        <w:tc>
          <w:tcPr>
            <w:tcW w:w="1275" w:type="pct"/>
            <w:tcBorders>
              <w:top w:val="nil"/>
              <w:left w:val="nil"/>
              <w:bottom w:val="single" w:sz="4" w:space="0" w:color="BFBFBF"/>
              <w:right w:val="nil"/>
            </w:tcBorders>
            <w:shd w:val="clear" w:color="auto" w:fill="DEEAF6" w:themeFill="accent5" w:themeFillTint="33"/>
            <w:noWrap/>
            <w:hideMark/>
          </w:tcPr>
          <w:p w14:paraId="652D4B8A" w14:textId="1ED56DA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O'keeffe</w:t>
            </w:r>
            <w:proofErr w:type="spellEnd"/>
            <w:r w:rsidRPr="009B7CD3">
              <w:rPr>
                <w:rFonts w:ascii="Times New Roman" w:eastAsia="Times New Roman" w:hAnsi="Times New Roman" w:cs="Times New Roman"/>
                <w:color w:val="000000"/>
                <w:sz w:val="18"/>
                <w:szCs w:val="18"/>
                <w:lang w:eastAsia="en-GB"/>
              </w:rPr>
              <w:t xml:space="preserve"> v. Ireland</w:t>
            </w:r>
          </w:p>
        </w:tc>
        <w:tc>
          <w:tcPr>
            <w:tcW w:w="1347" w:type="pct"/>
            <w:tcBorders>
              <w:top w:val="nil"/>
              <w:left w:val="nil"/>
              <w:bottom w:val="single" w:sz="4" w:space="0" w:color="BFBFBF"/>
              <w:right w:val="nil"/>
            </w:tcBorders>
            <w:shd w:val="clear" w:color="auto" w:fill="DEEAF6" w:themeFill="accent5" w:themeFillTint="33"/>
            <w:noWrap/>
            <w:hideMark/>
          </w:tcPr>
          <w:p w14:paraId="15B7D297" w14:textId="1C38F1C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Laurus invest </w:t>
            </w:r>
            <w:proofErr w:type="spellStart"/>
            <w:r w:rsidRPr="009B7CD3">
              <w:rPr>
                <w:rFonts w:ascii="Times New Roman" w:eastAsia="Times New Roman" w:hAnsi="Times New Roman" w:cs="Times New Roman"/>
                <w:color w:val="000000"/>
                <w:sz w:val="18"/>
                <w:szCs w:val="18"/>
                <w:lang w:eastAsia="en-GB"/>
              </w:rPr>
              <w:t>hungary</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kft</w:t>
            </w:r>
            <w:proofErr w:type="spellEnd"/>
            <w:r w:rsidRPr="009B7CD3">
              <w:rPr>
                <w:rFonts w:ascii="Times New Roman" w:eastAsia="Times New Roman" w:hAnsi="Times New Roman" w:cs="Times New Roman"/>
                <w:color w:val="000000"/>
                <w:sz w:val="18"/>
                <w:szCs w:val="18"/>
                <w:lang w:eastAsia="en-GB"/>
              </w:rPr>
              <w:t xml:space="preserve"> and others v. Hungary</w:t>
            </w:r>
          </w:p>
        </w:tc>
      </w:tr>
      <w:tr w:rsidR="006511A9" w:rsidRPr="009B7CD3" w14:paraId="6D5D29FF"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66EB86F" w14:textId="2A0CF40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Biao v. Denmark</w:t>
            </w:r>
          </w:p>
        </w:tc>
        <w:tc>
          <w:tcPr>
            <w:tcW w:w="1109" w:type="pct"/>
            <w:tcBorders>
              <w:top w:val="nil"/>
              <w:left w:val="nil"/>
              <w:bottom w:val="single" w:sz="4" w:space="0" w:color="BFBFBF"/>
              <w:right w:val="nil"/>
            </w:tcBorders>
            <w:shd w:val="clear" w:color="auto" w:fill="DEEAF6" w:themeFill="accent5" w:themeFillTint="33"/>
            <w:noWrap/>
            <w:hideMark/>
          </w:tcPr>
          <w:p w14:paraId="00A635E5" w14:textId="15471A4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J. And others v. Austria</w:t>
            </w:r>
          </w:p>
        </w:tc>
        <w:tc>
          <w:tcPr>
            <w:tcW w:w="1275" w:type="pct"/>
            <w:tcBorders>
              <w:top w:val="nil"/>
              <w:left w:val="nil"/>
              <w:bottom w:val="single" w:sz="4" w:space="0" w:color="BFBFBF"/>
              <w:right w:val="nil"/>
            </w:tcBorders>
            <w:shd w:val="clear" w:color="auto" w:fill="DEEAF6" w:themeFill="accent5" w:themeFillTint="33"/>
            <w:noWrap/>
            <w:hideMark/>
          </w:tcPr>
          <w:p w14:paraId="036E552E" w14:textId="5A7101F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Osmanoğlu</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kocabaş</w:t>
            </w:r>
            <w:proofErr w:type="spellEnd"/>
            <w:r w:rsidRPr="009B7CD3">
              <w:rPr>
                <w:rFonts w:ascii="Times New Roman" w:eastAsia="Times New Roman" w:hAnsi="Times New Roman" w:cs="Times New Roman"/>
                <w:color w:val="000000"/>
                <w:sz w:val="18"/>
                <w:szCs w:val="18"/>
                <w:lang w:eastAsia="en-GB"/>
              </w:rPr>
              <w:t xml:space="preserve"> v. Switzerland</w:t>
            </w:r>
          </w:p>
        </w:tc>
        <w:tc>
          <w:tcPr>
            <w:tcW w:w="1347" w:type="pct"/>
            <w:tcBorders>
              <w:top w:val="nil"/>
              <w:left w:val="nil"/>
              <w:bottom w:val="single" w:sz="4" w:space="0" w:color="BFBFBF"/>
              <w:right w:val="nil"/>
            </w:tcBorders>
            <w:shd w:val="clear" w:color="auto" w:fill="DEEAF6" w:themeFill="accent5" w:themeFillTint="33"/>
            <w:noWrap/>
            <w:hideMark/>
          </w:tcPr>
          <w:p w14:paraId="3AC68806" w14:textId="7DEA120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Stichting</w:t>
            </w:r>
            <w:proofErr w:type="spellEnd"/>
            <w:r w:rsidRPr="009B7CD3">
              <w:rPr>
                <w:rFonts w:ascii="Times New Roman" w:eastAsia="Times New Roman" w:hAnsi="Times New Roman" w:cs="Times New Roman"/>
                <w:color w:val="000000"/>
                <w:sz w:val="18"/>
                <w:szCs w:val="18"/>
                <w:lang w:eastAsia="en-GB"/>
              </w:rPr>
              <w:t xml:space="preserve"> mothers of </w:t>
            </w:r>
            <w:proofErr w:type="spellStart"/>
            <w:r w:rsidRPr="009B7CD3">
              <w:rPr>
                <w:rFonts w:ascii="Times New Roman" w:eastAsia="Times New Roman" w:hAnsi="Times New Roman" w:cs="Times New Roman"/>
                <w:color w:val="000000"/>
                <w:sz w:val="18"/>
                <w:szCs w:val="18"/>
                <w:lang w:eastAsia="en-GB"/>
              </w:rPr>
              <w:t>srebrenica</w:t>
            </w:r>
            <w:proofErr w:type="spellEnd"/>
            <w:r w:rsidRPr="009B7CD3">
              <w:rPr>
                <w:rFonts w:ascii="Times New Roman" w:eastAsia="Times New Roman" w:hAnsi="Times New Roman" w:cs="Times New Roman"/>
                <w:color w:val="000000"/>
                <w:sz w:val="18"/>
                <w:szCs w:val="18"/>
                <w:lang w:eastAsia="en-GB"/>
              </w:rPr>
              <w:t xml:space="preserve"> and others v. The </w:t>
            </w:r>
            <w:proofErr w:type="spellStart"/>
            <w:r w:rsidRPr="009B7CD3">
              <w:rPr>
                <w:rFonts w:ascii="Times New Roman" w:eastAsia="Times New Roman" w:hAnsi="Times New Roman" w:cs="Times New Roman"/>
                <w:color w:val="000000"/>
                <w:sz w:val="18"/>
                <w:szCs w:val="18"/>
                <w:lang w:eastAsia="en-GB"/>
              </w:rPr>
              <w:t>netherlands</w:t>
            </w:r>
            <w:proofErr w:type="spellEnd"/>
          </w:p>
        </w:tc>
      </w:tr>
      <w:tr w:rsidR="006511A9" w:rsidRPr="009B7CD3" w14:paraId="1DD1C9FB"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A211818" w14:textId="64B444F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Bittó</w:t>
            </w:r>
            <w:proofErr w:type="spellEnd"/>
            <w:r w:rsidRPr="009B7CD3">
              <w:rPr>
                <w:rFonts w:ascii="Times New Roman" w:eastAsia="Times New Roman" w:hAnsi="Times New Roman" w:cs="Times New Roman"/>
                <w:color w:val="000000"/>
                <w:sz w:val="18"/>
                <w:szCs w:val="18"/>
                <w:lang w:eastAsia="en-GB"/>
              </w:rPr>
              <w:t xml:space="preserve"> and others v. Slovakia</w:t>
            </w:r>
          </w:p>
        </w:tc>
        <w:tc>
          <w:tcPr>
            <w:tcW w:w="1109" w:type="pct"/>
            <w:tcBorders>
              <w:top w:val="nil"/>
              <w:left w:val="nil"/>
              <w:bottom w:val="single" w:sz="4" w:space="0" w:color="BFBFBF"/>
              <w:right w:val="nil"/>
            </w:tcBorders>
            <w:shd w:val="clear" w:color="auto" w:fill="DEEAF6" w:themeFill="accent5" w:themeFillTint="33"/>
            <w:noWrap/>
            <w:hideMark/>
          </w:tcPr>
          <w:p w14:paraId="52A61F51" w14:textId="4D0997C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Janowiec</w:t>
            </w:r>
            <w:proofErr w:type="spellEnd"/>
            <w:r w:rsidRPr="009B7CD3">
              <w:rPr>
                <w:rFonts w:ascii="Times New Roman" w:eastAsia="Times New Roman" w:hAnsi="Times New Roman" w:cs="Times New Roman"/>
                <w:color w:val="000000"/>
                <w:sz w:val="18"/>
                <w:szCs w:val="18"/>
                <w:lang w:eastAsia="en-GB"/>
              </w:rPr>
              <w:t xml:space="preserve"> and others v. Russia</w:t>
            </w:r>
          </w:p>
        </w:tc>
        <w:tc>
          <w:tcPr>
            <w:tcW w:w="1275" w:type="pct"/>
            <w:tcBorders>
              <w:top w:val="nil"/>
              <w:left w:val="nil"/>
              <w:bottom w:val="single" w:sz="4" w:space="0" w:color="BFBFBF"/>
              <w:right w:val="nil"/>
            </w:tcBorders>
            <w:shd w:val="clear" w:color="auto" w:fill="DEEAF6" w:themeFill="accent5" w:themeFillTint="33"/>
            <w:noWrap/>
            <w:hideMark/>
          </w:tcPr>
          <w:p w14:paraId="4A0C5505" w14:textId="32E213E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O'sullivan</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mccarthy</w:t>
            </w:r>
            <w:proofErr w:type="spellEnd"/>
            <w:r w:rsidRPr="009B7CD3">
              <w:rPr>
                <w:rFonts w:ascii="Times New Roman" w:eastAsia="Times New Roman" w:hAnsi="Times New Roman" w:cs="Times New Roman"/>
                <w:color w:val="000000"/>
                <w:sz w:val="18"/>
                <w:szCs w:val="18"/>
                <w:lang w:eastAsia="en-GB"/>
              </w:rPr>
              <w:t xml:space="preserve"> mussel development ltd v. Ireland</w:t>
            </w:r>
          </w:p>
        </w:tc>
        <w:tc>
          <w:tcPr>
            <w:tcW w:w="1347" w:type="pct"/>
            <w:tcBorders>
              <w:top w:val="nil"/>
              <w:left w:val="nil"/>
              <w:bottom w:val="single" w:sz="4" w:space="0" w:color="BFBFBF"/>
              <w:right w:val="nil"/>
            </w:tcBorders>
            <w:shd w:val="clear" w:color="auto" w:fill="DEEAF6" w:themeFill="accent5" w:themeFillTint="33"/>
            <w:noWrap/>
            <w:hideMark/>
          </w:tcPr>
          <w:p w14:paraId="56267E8D" w14:textId="2B0BC21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Willcox and </w:t>
            </w:r>
            <w:proofErr w:type="spellStart"/>
            <w:r w:rsidRPr="009B7CD3">
              <w:rPr>
                <w:rFonts w:ascii="Times New Roman" w:eastAsia="Times New Roman" w:hAnsi="Times New Roman" w:cs="Times New Roman"/>
                <w:color w:val="000000"/>
                <w:sz w:val="18"/>
                <w:szCs w:val="18"/>
                <w:lang w:eastAsia="en-GB"/>
              </w:rPr>
              <w:t>hurford</w:t>
            </w:r>
            <w:proofErr w:type="spellEnd"/>
            <w:r w:rsidRPr="009B7CD3">
              <w:rPr>
                <w:rFonts w:ascii="Times New Roman" w:eastAsia="Times New Roman" w:hAnsi="Times New Roman" w:cs="Times New Roman"/>
                <w:color w:val="000000"/>
                <w:sz w:val="18"/>
                <w:szCs w:val="18"/>
                <w:lang w:eastAsia="en-GB"/>
              </w:rPr>
              <w:t xml:space="preserve">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r>
      <w:tr w:rsidR="004A7601" w:rsidRPr="009B7CD3" w14:paraId="72BC8AAE"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43E6519" w14:textId="3A05E18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Björk </w:t>
            </w:r>
            <w:proofErr w:type="spellStart"/>
            <w:r w:rsidRPr="009B7CD3">
              <w:rPr>
                <w:rFonts w:ascii="Times New Roman" w:eastAsia="Times New Roman" w:hAnsi="Times New Roman" w:cs="Times New Roman"/>
                <w:color w:val="000000"/>
                <w:sz w:val="18"/>
                <w:szCs w:val="18"/>
                <w:lang w:eastAsia="en-GB"/>
              </w:rPr>
              <w:t>eiðsdóttir</w:t>
            </w:r>
            <w:proofErr w:type="spellEnd"/>
            <w:r w:rsidRPr="009B7CD3">
              <w:rPr>
                <w:rFonts w:ascii="Times New Roman" w:eastAsia="Times New Roman" w:hAnsi="Times New Roman" w:cs="Times New Roman"/>
                <w:color w:val="000000"/>
                <w:sz w:val="18"/>
                <w:szCs w:val="18"/>
                <w:lang w:eastAsia="en-GB"/>
              </w:rPr>
              <w:t xml:space="preserve"> v. Iceland</w:t>
            </w:r>
          </w:p>
        </w:tc>
        <w:tc>
          <w:tcPr>
            <w:tcW w:w="1109" w:type="pct"/>
            <w:tcBorders>
              <w:top w:val="nil"/>
              <w:left w:val="nil"/>
              <w:bottom w:val="single" w:sz="4" w:space="0" w:color="BFBFBF"/>
              <w:right w:val="nil"/>
            </w:tcBorders>
            <w:shd w:val="clear" w:color="auto" w:fill="DEEAF6" w:themeFill="accent5" w:themeFillTint="33"/>
            <w:noWrap/>
            <w:hideMark/>
          </w:tcPr>
          <w:p w14:paraId="38B92B6D" w14:textId="4CFE437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Jones and others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c>
          <w:tcPr>
            <w:tcW w:w="1275" w:type="pct"/>
            <w:tcBorders>
              <w:top w:val="nil"/>
              <w:left w:val="nil"/>
              <w:bottom w:val="nil"/>
              <w:right w:val="nil"/>
            </w:tcBorders>
            <w:shd w:val="clear" w:color="auto" w:fill="DEEAF6" w:themeFill="accent5" w:themeFillTint="33"/>
            <w:noWrap/>
            <w:vAlign w:val="bottom"/>
            <w:hideMark/>
          </w:tcPr>
          <w:p w14:paraId="32C3C90B" w14:textId="07C78B25" w:rsidR="00D6161C" w:rsidRPr="009B7CD3" w:rsidRDefault="00047B7B" w:rsidP="009B7CD3">
            <w:pPr>
              <w:spacing w:after="0" w:line="360" w:lineRule="auto"/>
              <w:jc w:val="both"/>
              <w:rPr>
                <w:rFonts w:ascii="Times New Roman" w:eastAsia="Times New Roman" w:hAnsi="Times New Roman" w:cs="Times New Roman"/>
                <w:sz w:val="18"/>
                <w:szCs w:val="18"/>
                <w:lang w:eastAsia="en-GB"/>
              </w:rPr>
            </w:pPr>
            <w:r w:rsidRPr="009B7CD3">
              <w:rPr>
                <w:rFonts w:ascii="Times New Roman" w:eastAsia="Times New Roman" w:hAnsi="Times New Roman" w:cs="Times New Roman"/>
                <w:sz w:val="18"/>
                <w:szCs w:val="18"/>
                <w:lang w:eastAsia="en-GB"/>
              </w:rPr>
              <w:t xml:space="preserve"> Paradiso and </w:t>
            </w:r>
            <w:proofErr w:type="spellStart"/>
            <w:r w:rsidRPr="009B7CD3">
              <w:rPr>
                <w:rFonts w:ascii="Times New Roman" w:eastAsia="Times New Roman" w:hAnsi="Times New Roman" w:cs="Times New Roman"/>
                <w:sz w:val="18"/>
                <w:szCs w:val="18"/>
                <w:lang w:eastAsia="en-GB"/>
              </w:rPr>
              <w:t>campanelli</w:t>
            </w:r>
            <w:proofErr w:type="spellEnd"/>
            <w:r w:rsidRPr="009B7CD3">
              <w:rPr>
                <w:rFonts w:ascii="Times New Roman" w:eastAsia="Times New Roman" w:hAnsi="Times New Roman" w:cs="Times New Roman"/>
                <w:sz w:val="18"/>
                <w:szCs w:val="18"/>
                <w:lang w:eastAsia="en-GB"/>
              </w:rPr>
              <w:t xml:space="preserve"> v. Italy</w:t>
            </w:r>
          </w:p>
        </w:tc>
        <w:tc>
          <w:tcPr>
            <w:tcW w:w="1347" w:type="pct"/>
            <w:tcBorders>
              <w:top w:val="nil"/>
              <w:left w:val="nil"/>
              <w:bottom w:val="single" w:sz="4" w:space="0" w:color="BFBFBF"/>
              <w:right w:val="nil"/>
            </w:tcBorders>
            <w:shd w:val="clear" w:color="auto" w:fill="DEEAF6" w:themeFill="accent5" w:themeFillTint="33"/>
            <w:noWrap/>
            <w:hideMark/>
          </w:tcPr>
          <w:p w14:paraId="1C0479AC" w14:textId="471559E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A.p.</w:t>
            </w:r>
            <w:proofErr w:type="spellEnd"/>
            <w:r w:rsidRPr="009B7CD3">
              <w:rPr>
                <w:rFonts w:ascii="Times New Roman" w:eastAsia="Times New Roman" w:hAnsi="Times New Roman" w:cs="Times New Roman"/>
                <w:color w:val="000000"/>
                <w:sz w:val="18"/>
                <w:szCs w:val="18"/>
                <w:lang w:eastAsia="en-GB"/>
              </w:rPr>
              <w:t xml:space="preserve">, garçon and </w:t>
            </w:r>
            <w:proofErr w:type="spellStart"/>
            <w:r w:rsidRPr="009B7CD3">
              <w:rPr>
                <w:rFonts w:ascii="Times New Roman" w:eastAsia="Times New Roman" w:hAnsi="Times New Roman" w:cs="Times New Roman"/>
                <w:color w:val="000000"/>
                <w:sz w:val="18"/>
                <w:szCs w:val="18"/>
                <w:lang w:eastAsia="en-GB"/>
              </w:rPr>
              <w:t>nicot</w:t>
            </w:r>
            <w:proofErr w:type="spellEnd"/>
            <w:r w:rsidRPr="009B7CD3">
              <w:rPr>
                <w:rFonts w:ascii="Times New Roman" w:eastAsia="Times New Roman" w:hAnsi="Times New Roman" w:cs="Times New Roman"/>
                <w:color w:val="000000"/>
                <w:sz w:val="18"/>
                <w:szCs w:val="18"/>
                <w:lang w:eastAsia="en-GB"/>
              </w:rPr>
              <w:t xml:space="preserve"> v. France</w:t>
            </w:r>
          </w:p>
        </w:tc>
      </w:tr>
      <w:tr w:rsidR="004A7601" w:rsidRPr="009B7CD3" w14:paraId="7C4C211F"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46213530" w14:textId="4655C8C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Burmych</w:t>
            </w:r>
            <w:proofErr w:type="spellEnd"/>
            <w:r w:rsidRPr="009B7CD3">
              <w:rPr>
                <w:rFonts w:ascii="Times New Roman" w:eastAsia="Times New Roman" w:hAnsi="Times New Roman" w:cs="Times New Roman"/>
                <w:color w:val="000000"/>
                <w:sz w:val="18"/>
                <w:szCs w:val="18"/>
                <w:lang w:eastAsia="en-GB"/>
              </w:rPr>
              <w:t xml:space="preserve"> and others v. Ukraine</w:t>
            </w:r>
          </w:p>
        </w:tc>
        <w:tc>
          <w:tcPr>
            <w:tcW w:w="1109" w:type="pct"/>
            <w:tcBorders>
              <w:top w:val="nil"/>
              <w:left w:val="nil"/>
              <w:bottom w:val="single" w:sz="4" w:space="0" w:color="BFBFBF"/>
              <w:right w:val="nil"/>
            </w:tcBorders>
            <w:shd w:val="clear" w:color="auto" w:fill="DEEAF6" w:themeFill="accent5" w:themeFillTint="33"/>
            <w:noWrap/>
            <w:hideMark/>
          </w:tcPr>
          <w:p w14:paraId="03025592" w14:textId="583E416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Károly</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nagy</w:t>
            </w:r>
            <w:proofErr w:type="spellEnd"/>
            <w:r w:rsidRPr="009B7CD3">
              <w:rPr>
                <w:rFonts w:ascii="Times New Roman" w:eastAsia="Times New Roman" w:hAnsi="Times New Roman" w:cs="Times New Roman"/>
                <w:color w:val="000000"/>
                <w:sz w:val="18"/>
                <w:szCs w:val="18"/>
                <w:lang w:eastAsia="en-GB"/>
              </w:rPr>
              <w:t xml:space="preserve"> v. Hungary[</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c>
          <w:tcPr>
            <w:tcW w:w="1275" w:type="pct"/>
            <w:tcBorders>
              <w:top w:val="nil"/>
              <w:left w:val="nil"/>
              <w:bottom w:val="nil"/>
              <w:right w:val="nil"/>
            </w:tcBorders>
            <w:shd w:val="clear" w:color="auto" w:fill="DEEAF6" w:themeFill="accent5" w:themeFillTint="33"/>
            <w:noWrap/>
            <w:vAlign w:val="bottom"/>
            <w:hideMark/>
          </w:tcPr>
          <w:p w14:paraId="0B99816F" w14:textId="3CBF6581" w:rsidR="00D6161C" w:rsidRPr="009B7CD3" w:rsidRDefault="00047B7B" w:rsidP="009B7CD3">
            <w:pPr>
              <w:spacing w:after="0" w:line="360" w:lineRule="auto"/>
              <w:jc w:val="both"/>
              <w:rPr>
                <w:rFonts w:ascii="Times New Roman" w:eastAsia="Times New Roman" w:hAnsi="Times New Roman" w:cs="Times New Roman"/>
                <w:sz w:val="18"/>
                <w:szCs w:val="18"/>
                <w:lang w:eastAsia="en-GB"/>
              </w:rPr>
            </w:pPr>
            <w:r w:rsidRPr="009B7CD3">
              <w:rPr>
                <w:rFonts w:ascii="Times New Roman" w:eastAsia="Times New Roman" w:hAnsi="Times New Roman" w:cs="Times New Roman"/>
                <w:sz w:val="18"/>
                <w:szCs w:val="18"/>
                <w:lang w:eastAsia="en-GB"/>
              </w:rPr>
              <w:t xml:space="preserve"> Paradiso and </w:t>
            </w:r>
            <w:proofErr w:type="spellStart"/>
            <w:r w:rsidRPr="009B7CD3">
              <w:rPr>
                <w:rFonts w:ascii="Times New Roman" w:eastAsia="Times New Roman" w:hAnsi="Times New Roman" w:cs="Times New Roman"/>
                <w:sz w:val="18"/>
                <w:szCs w:val="18"/>
                <w:lang w:eastAsia="en-GB"/>
              </w:rPr>
              <w:t>campanelli</w:t>
            </w:r>
            <w:proofErr w:type="spellEnd"/>
            <w:r w:rsidRPr="009B7CD3">
              <w:rPr>
                <w:rFonts w:ascii="Times New Roman" w:eastAsia="Times New Roman" w:hAnsi="Times New Roman" w:cs="Times New Roman"/>
                <w:sz w:val="18"/>
                <w:szCs w:val="18"/>
                <w:lang w:eastAsia="en-GB"/>
              </w:rPr>
              <w:t xml:space="preserve"> v. Italy [</w:t>
            </w:r>
            <w:proofErr w:type="spellStart"/>
            <w:r w:rsidRPr="009B7CD3">
              <w:rPr>
                <w:rFonts w:ascii="Times New Roman" w:eastAsia="Times New Roman" w:hAnsi="Times New Roman" w:cs="Times New Roman"/>
                <w:sz w:val="18"/>
                <w:szCs w:val="18"/>
                <w:lang w:eastAsia="en-GB"/>
              </w:rPr>
              <w:t>gc</w:t>
            </w:r>
            <w:proofErr w:type="spellEnd"/>
            <w:r w:rsidRPr="009B7CD3">
              <w:rPr>
                <w:rFonts w:ascii="Times New Roman" w:eastAsia="Times New Roman" w:hAnsi="Times New Roman" w:cs="Times New Roman"/>
                <w:sz w:val="18"/>
                <w:szCs w:val="18"/>
                <w:lang w:eastAsia="en-GB"/>
              </w:rPr>
              <w:t>]</w:t>
            </w:r>
          </w:p>
        </w:tc>
        <w:tc>
          <w:tcPr>
            <w:tcW w:w="1347" w:type="pct"/>
            <w:tcBorders>
              <w:top w:val="nil"/>
              <w:left w:val="nil"/>
              <w:bottom w:val="single" w:sz="4" w:space="0" w:color="BFBFBF"/>
              <w:right w:val="nil"/>
            </w:tcBorders>
            <w:shd w:val="clear" w:color="auto" w:fill="DEEAF6" w:themeFill="accent5" w:themeFillTint="33"/>
            <w:noWrap/>
            <w:hideMark/>
          </w:tcPr>
          <w:p w14:paraId="1B072611" w14:textId="164D5C0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Boulois</w:t>
            </w:r>
            <w:proofErr w:type="spellEnd"/>
            <w:r w:rsidRPr="009B7CD3">
              <w:rPr>
                <w:rFonts w:ascii="Times New Roman" w:eastAsia="Times New Roman" w:hAnsi="Times New Roman" w:cs="Times New Roman"/>
                <w:color w:val="000000"/>
                <w:sz w:val="18"/>
                <w:szCs w:val="18"/>
                <w:lang w:eastAsia="en-GB"/>
              </w:rPr>
              <w:t xml:space="preserve"> v. Luxembourg</w:t>
            </w:r>
          </w:p>
        </w:tc>
      </w:tr>
      <w:tr w:rsidR="006511A9" w:rsidRPr="009B7CD3" w14:paraId="7CE2FB25"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0F9F93BE" w14:textId="4659643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C.a.s.</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c.s</w:t>
            </w:r>
            <w:proofErr w:type="spellEnd"/>
            <w:r w:rsidRPr="009B7CD3">
              <w:rPr>
                <w:rFonts w:ascii="Times New Roman" w:eastAsia="Times New Roman" w:hAnsi="Times New Roman" w:cs="Times New Roman"/>
                <w:color w:val="000000"/>
                <w:sz w:val="18"/>
                <w:szCs w:val="18"/>
                <w:lang w:eastAsia="en-GB"/>
              </w:rPr>
              <w:t>. V. Romania</w:t>
            </w:r>
          </w:p>
        </w:tc>
        <w:tc>
          <w:tcPr>
            <w:tcW w:w="1109" w:type="pct"/>
            <w:tcBorders>
              <w:top w:val="nil"/>
              <w:left w:val="nil"/>
              <w:bottom w:val="single" w:sz="4" w:space="0" w:color="BFBFBF"/>
              <w:right w:val="nil"/>
            </w:tcBorders>
            <w:shd w:val="clear" w:color="auto" w:fill="DEEAF6" w:themeFill="accent5" w:themeFillTint="33"/>
            <w:noWrap/>
            <w:hideMark/>
          </w:tcPr>
          <w:p w14:paraId="77F3AA6D" w14:textId="773AA6C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Károly</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nagy</w:t>
            </w:r>
            <w:proofErr w:type="spellEnd"/>
            <w:r w:rsidRPr="009B7CD3">
              <w:rPr>
                <w:rFonts w:ascii="Times New Roman" w:eastAsia="Times New Roman" w:hAnsi="Times New Roman" w:cs="Times New Roman"/>
                <w:color w:val="000000"/>
                <w:sz w:val="18"/>
                <w:szCs w:val="18"/>
                <w:lang w:eastAsia="en-GB"/>
              </w:rPr>
              <w:t xml:space="preserve"> v. Hungary</w:t>
            </w:r>
          </w:p>
        </w:tc>
        <w:tc>
          <w:tcPr>
            <w:tcW w:w="1275" w:type="pct"/>
            <w:tcBorders>
              <w:top w:val="nil"/>
              <w:left w:val="nil"/>
              <w:bottom w:val="single" w:sz="4" w:space="0" w:color="BFBFBF"/>
              <w:right w:val="nil"/>
            </w:tcBorders>
            <w:shd w:val="clear" w:color="auto" w:fill="DEEAF6" w:themeFill="accent5" w:themeFillTint="33"/>
            <w:noWrap/>
            <w:hideMark/>
          </w:tcPr>
          <w:p w14:paraId="59DDFF99" w14:textId="6D6804BF"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Parrillo</w:t>
            </w:r>
            <w:proofErr w:type="spellEnd"/>
            <w:r w:rsidRPr="009B7CD3">
              <w:rPr>
                <w:rFonts w:ascii="Times New Roman" w:eastAsia="Times New Roman" w:hAnsi="Times New Roman" w:cs="Times New Roman"/>
                <w:color w:val="000000"/>
                <w:sz w:val="18"/>
                <w:szCs w:val="18"/>
                <w:lang w:eastAsia="en-GB"/>
              </w:rPr>
              <w:t xml:space="preserve"> v. Italy</w:t>
            </w:r>
          </w:p>
        </w:tc>
        <w:tc>
          <w:tcPr>
            <w:tcW w:w="1347" w:type="pct"/>
            <w:tcBorders>
              <w:top w:val="nil"/>
              <w:left w:val="nil"/>
              <w:bottom w:val="single" w:sz="4" w:space="0" w:color="BFBFBF"/>
              <w:right w:val="nil"/>
            </w:tcBorders>
            <w:shd w:val="clear" w:color="auto" w:fill="DEEAF6" w:themeFill="accent5" w:themeFillTint="33"/>
            <w:noWrap/>
            <w:hideMark/>
          </w:tcPr>
          <w:p w14:paraId="34A36EEB" w14:textId="53FCDF4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Cengiz and others v. Turkey</w:t>
            </w:r>
          </w:p>
        </w:tc>
      </w:tr>
      <w:tr w:rsidR="006511A9" w:rsidRPr="009B7CD3" w14:paraId="4C858643"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AC9A91D" w14:textId="08D0368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Carvalho pinto de </w:t>
            </w:r>
            <w:proofErr w:type="spellStart"/>
            <w:r w:rsidRPr="009B7CD3">
              <w:rPr>
                <w:rFonts w:ascii="Times New Roman" w:eastAsia="Times New Roman" w:hAnsi="Times New Roman" w:cs="Times New Roman"/>
                <w:color w:val="000000"/>
                <w:sz w:val="18"/>
                <w:szCs w:val="18"/>
                <w:lang w:eastAsia="en-GB"/>
              </w:rPr>
              <w:t>sousa</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morais</w:t>
            </w:r>
            <w:proofErr w:type="spellEnd"/>
            <w:r w:rsidRPr="009B7CD3">
              <w:rPr>
                <w:rFonts w:ascii="Times New Roman" w:eastAsia="Times New Roman" w:hAnsi="Times New Roman" w:cs="Times New Roman"/>
                <w:color w:val="000000"/>
                <w:sz w:val="18"/>
                <w:szCs w:val="18"/>
                <w:lang w:eastAsia="en-GB"/>
              </w:rPr>
              <w:t xml:space="preserve"> v. Portugal</w:t>
            </w:r>
          </w:p>
        </w:tc>
        <w:tc>
          <w:tcPr>
            <w:tcW w:w="1109" w:type="pct"/>
            <w:tcBorders>
              <w:top w:val="nil"/>
              <w:left w:val="nil"/>
              <w:bottom w:val="single" w:sz="4" w:space="0" w:color="BFBFBF"/>
              <w:right w:val="nil"/>
            </w:tcBorders>
            <w:shd w:val="clear" w:color="auto" w:fill="DEEAF6" w:themeFill="accent5" w:themeFillTint="33"/>
            <w:noWrap/>
            <w:hideMark/>
          </w:tcPr>
          <w:p w14:paraId="15697BF4" w14:textId="61D99D8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Karácsony</w:t>
            </w:r>
            <w:proofErr w:type="spellEnd"/>
            <w:r w:rsidRPr="009B7CD3">
              <w:rPr>
                <w:rFonts w:ascii="Times New Roman" w:eastAsia="Times New Roman" w:hAnsi="Times New Roman" w:cs="Times New Roman"/>
                <w:color w:val="000000"/>
                <w:sz w:val="18"/>
                <w:szCs w:val="18"/>
                <w:lang w:eastAsia="en-GB"/>
              </w:rPr>
              <w:t xml:space="preserve"> and others v. Hungary [</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c>
          <w:tcPr>
            <w:tcW w:w="1275" w:type="pct"/>
            <w:tcBorders>
              <w:top w:val="nil"/>
              <w:left w:val="nil"/>
              <w:bottom w:val="single" w:sz="4" w:space="0" w:color="BFBFBF"/>
              <w:right w:val="nil"/>
            </w:tcBorders>
            <w:shd w:val="clear" w:color="auto" w:fill="DEEAF6" w:themeFill="accent5" w:themeFillTint="33"/>
            <w:noWrap/>
            <w:hideMark/>
          </w:tcPr>
          <w:p w14:paraId="0AC4FEE2" w14:textId="3F2F534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Pentikäinen</w:t>
            </w:r>
            <w:proofErr w:type="spellEnd"/>
            <w:r w:rsidRPr="009B7CD3">
              <w:rPr>
                <w:rFonts w:ascii="Times New Roman" w:eastAsia="Times New Roman" w:hAnsi="Times New Roman" w:cs="Times New Roman"/>
                <w:color w:val="000000"/>
                <w:sz w:val="18"/>
                <w:szCs w:val="18"/>
                <w:lang w:eastAsia="en-GB"/>
              </w:rPr>
              <w:t xml:space="preserve"> v. Finland</w:t>
            </w:r>
          </w:p>
        </w:tc>
        <w:tc>
          <w:tcPr>
            <w:tcW w:w="1347" w:type="pct"/>
            <w:tcBorders>
              <w:top w:val="nil"/>
              <w:left w:val="nil"/>
              <w:bottom w:val="single" w:sz="4" w:space="0" w:color="BFBFBF"/>
              <w:right w:val="nil"/>
            </w:tcBorders>
            <w:shd w:val="clear" w:color="auto" w:fill="DEEAF6" w:themeFill="accent5" w:themeFillTint="33"/>
            <w:noWrap/>
            <w:hideMark/>
          </w:tcPr>
          <w:p w14:paraId="4272E344" w14:textId="7147695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Di </w:t>
            </w:r>
            <w:proofErr w:type="spellStart"/>
            <w:r w:rsidRPr="009B7CD3">
              <w:rPr>
                <w:rFonts w:ascii="Times New Roman" w:eastAsia="Times New Roman" w:hAnsi="Times New Roman" w:cs="Times New Roman"/>
                <w:color w:val="000000"/>
                <w:sz w:val="18"/>
                <w:szCs w:val="18"/>
                <w:lang w:eastAsia="en-GB"/>
              </w:rPr>
              <w:t>trizio</w:t>
            </w:r>
            <w:proofErr w:type="spellEnd"/>
            <w:r w:rsidRPr="009B7CD3">
              <w:rPr>
                <w:rFonts w:ascii="Times New Roman" w:eastAsia="Times New Roman" w:hAnsi="Times New Roman" w:cs="Times New Roman"/>
                <w:color w:val="000000"/>
                <w:sz w:val="18"/>
                <w:szCs w:val="18"/>
                <w:lang w:eastAsia="en-GB"/>
              </w:rPr>
              <w:t xml:space="preserve"> v. Switzerland</w:t>
            </w:r>
          </w:p>
        </w:tc>
      </w:tr>
      <w:tr w:rsidR="006511A9" w:rsidRPr="009B7CD3" w14:paraId="68BE4DAA"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397C9B05" w14:textId="3DFB4E4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Catan and others v. The republic of </w:t>
            </w:r>
            <w:proofErr w:type="spellStart"/>
            <w:r w:rsidRPr="009B7CD3">
              <w:rPr>
                <w:rFonts w:ascii="Times New Roman" w:eastAsia="Times New Roman" w:hAnsi="Times New Roman" w:cs="Times New Roman"/>
                <w:color w:val="000000"/>
                <w:sz w:val="18"/>
                <w:szCs w:val="18"/>
                <w:lang w:eastAsia="en-GB"/>
              </w:rPr>
              <w:t>moldova</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russia</w:t>
            </w:r>
            <w:proofErr w:type="spellEnd"/>
          </w:p>
        </w:tc>
        <w:tc>
          <w:tcPr>
            <w:tcW w:w="1109" w:type="pct"/>
            <w:tcBorders>
              <w:top w:val="nil"/>
              <w:left w:val="nil"/>
              <w:bottom w:val="single" w:sz="4" w:space="0" w:color="BFBFBF"/>
              <w:right w:val="nil"/>
            </w:tcBorders>
            <w:shd w:val="clear" w:color="auto" w:fill="DEEAF6" w:themeFill="accent5" w:themeFillTint="33"/>
            <w:noWrap/>
            <w:hideMark/>
          </w:tcPr>
          <w:p w14:paraId="7C53F11E" w14:textId="60EBCC3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Khamtokhu</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aksenchik</w:t>
            </w:r>
            <w:proofErr w:type="spellEnd"/>
            <w:r w:rsidRPr="009B7CD3">
              <w:rPr>
                <w:rFonts w:ascii="Times New Roman" w:eastAsia="Times New Roman" w:hAnsi="Times New Roman" w:cs="Times New Roman"/>
                <w:color w:val="000000"/>
                <w:sz w:val="18"/>
                <w:szCs w:val="18"/>
                <w:lang w:eastAsia="en-GB"/>
              </w:rPr>
              <w:t xml:space="preserve"> v. Russia</w:t>
            </w:r>
          </w:p>
        </w:tc>
        <w:tc>
          <w:tcPr>
            <w:tcW w:w="1275" w:type="pct"/>
            <w:tcBorders>
              <w:top w:val="nil"/>
              <w:left w:val="nil"/>
              <w:bottom w:val="single" w:sz="4" w:space="0" w:color="BFBFBF"/>
              <w:right w:val="nil"/>
            </w:tcBorders>
            <w:shd w:val="clear" w:color="auto" w:fill="DEEAF6" w:themeFill="accent5" w:themeFillTint="33"/>
            <w:noWrap/>
            <w:hideMark/>
          </w:tcPr>
          <w:p w14:paraId="3B561817" w14:textId="7F67A49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Perinçek</w:t>
            </w:r>
            <w:proofErr w:type="spellEnd"/>
            <w:r w:rsidRPr="009B7CD3">
              <w:rPr>
                <w:rFonts w:ascii="Times New Roman" w:eastAsia="Times New Roman" w:hAnsi="Times New Roman" w:cs="Times New Roman"/>
                <w:color w:val="000000"/>
                <w:sz w:val="18"/>
                <w:szCs w:val="18"/>
                <w:lang w:eastAsia="en-GB"/>
              </w:rPr>
              <w:t xml:space="preserve"> v. Switzerland</w:t>
            </w:r>
          </w:p>
        </w:tc>
        <w:tc>
          <w:tcPr>
            <w:tcW w:w="1347" w:type="pct"/>
            <w:tcBorders>
              <w:top w:val="nil"/>
              <w:left w:val="nil"/>
              <w:bottom w:val="single" w:sz="4" w:space="0" w:color="BFBFBF"/>
              <w:right w:val="nil"/>
            </w:tcBorders>
            <w:shd w:val="clear" w:color="auto" w:fill="DEEAF6" w:themeFill="accent5" w:themeFillTint="33"/>
            <w:noWrap/>
            <w:hideMark/>
          </w:tcPr>
          <w:p w14:paraId="70E6FE7F" w14:textId="3110B68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proofErr w:type="spellStart"/>
            <w:r w:rsidRPr="009B7CD3">
              <w:rPr>
                <w:rFonts w:ascii="Times New Roman" w:eastAsia="Times New Roman" w:hAnsi="Times New Roman" w:cs="Times New Roman"/>
                <w:color w:val="000000"/>
                <w:sz w:val="18"/>
                <w:szCs w:val="18"/>
                <w:lang w:eastAsia="en-GB"/>
              </w:rPr>
              <w:t>Güzelyurtlu</w:t>
            </w:r>
            <w:proofErr w:type="spellEnd"/>
            <w:r w:rsidRPr="009B7CD3">
              <w:rPr>
                <w:rFonts w:ascii="Times New Roman" w:eastAsia="Times New Roman" w:hAnsi="Times New Roman" w:cs="Times New Roman"/>
                <w:color w:val="000000"/>
                <w:sz w:val="18"/>
                <w:szCs w:val="18"/>
                <w:lang w:eastAsia="en-GB"/>
              </w:rPr>
              <w:t xml:space="preserve"> and others v. Cyprus and turkey [</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r>
      <w:tr w:rsidR="006511A9" w:rsidRPr="009B7CD3" w14:paraId="6EDDB420"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67B65297" w14:textId="1DACD8B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Centro </w:t>
            </w:r>
            <w:proofErr w:type="spellStart"/>
            <w:r w:rsidRPr="009B7CD3">
              <w:rPr>
                <w:rFonts w:ascii="Times New Roman" w:eastAsia="Times New Roman" w:hAnsi="Times New Roman" w:cs="Times New Roman"/>
                <w:color w:val="000000"/>
                <w:sz w:val="18"/>
                <w:szCs w:val="18"/>
                <w:lang w:eastAsia="en-GB"/>
              </w:rPr>
              <w:t>europa</w:t>
            </w:r>
            <w:proofErr w:type="spellEnd"/>
            <w:r w:rsidRPr="009B7CD3">
              <w:rPr>
                <w:rFonts w:ascii="Times New Roman" w:eastAsia="Times New Roman" w:hAnsi="Times New Roman" w:cs="Times New Roman"/>
                <w:color w:val="000000"/>
                <w:sz w:val="18"/>
                <w:szCs w:val="18"/>
                <w:lang w:eastAsia="en-GB"/>
              </w:rPr>
              <w:t xml:space="preserve"> 7 </w:t>
            </w:r>
            <w:proofErr w:type="spellStart"/>
            <w:r w:rsidRPr="009B7CD3">
              <w:rPr>
                <w:rFonts w:ascii="Times New Roman" w:eastAsia="Times New Roman" w:hAnsi="Times New Roman" w:cs="Times New Roman"/>
                <w:color w:val="000000"/>
                <w:sz w:val="18"/>
                <w:szCs w:val="18"/>
                <w:lang w:eastAsia="en-GB"/>
              </w:rPr>
              <w:t>s.r.l</w:t>
            </w:r>
            <w:proofErr w:type="spellEnd"/>
            <w:r w:rsidRPr="009B7CD3">
              <w:rPr>
                <w:rFonts w:ascii="Times New Roman" w:eastAsia="Times New Roman" w:hAnsi="Times New Roman" w:cs="Times New Roman"/>
                <w:color w:val="000000"/>
                <w:sz w:val="18"/>
                <w:szCs w:val="18"/>
                <w:lang w:eastAsia="en-GB"/>
              </w:rPr>
              <w:t xml:space="preserve">. And di </w:t>
            </w:r>
            <w:proofErr w:type="spellStart"/>
            <w:r w:rsidRPr="009B7CD3">
              <w:rPr>
                <w:rFonts w:ascii="Times New Roman" w:eastAsia="Times New Roman" w:hAnsi="Times New Roman" w:cs="Times New Roman"/>
                <w:color w:val="000000"/>
                <w:sz w:val="18"/>
                <w:szCs w:val="18"/>
                <w:lang w:eastAsia="en-GB"/>
              </w:rPr>
              <w:t>stefano</w:t>
            </w:r>
            <w:proofErr w:type="spellEnd"/>
            <w:r w:rsidRPr="009B7CD3">
              <w:rPr>
                <w:rFonts w:ascii="Times New Roman" w:eastAsia="Times New Roman" w:hAnsi="Times New Roman" w:cs="Times New Roman"/>
                <w:color w:val="000000"/>
                <w:sz w:val="18"/>
                <w:szCs w:val="18"/>
                <w:lang w:eastAsia="en-GB"/>
              </w:rPr>
              <w:t xml:space="preserve"> v. Italy</w:t>
            </w:r>
          </w:p>
        </w:tc>
        <w:tc>
          <w:tcPr>
            <w:tcW w:w="1109" w:type="pct"/>
            <w:tcBorders>
              <w:top w:val="nil"/>
              <w:left w:val="nil"/>
              <w:bottom w:val="single" w:sz="4" w:space="0" w:color="BFBFBF"/>
              <w:right w:val="nil"/>
            </w:tcBorders>
            <w:shd w:val="clear" w:color="auto" w:fill="DEEAF6" w:themeFill="accent5" w:themeFillTint="33"/>
            <w:noWrap/>
            <w:hideMark/>
          </w:tcPr>
          <w:p w14:paraId="588B50E8" w14:textId="65E993E8"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Khoroshenko</w:t>
            </w:r>
            <w:proofErr w:type="spellEnd"/>
            <w:r w:rsidRPr="009B7CD3">
              <w:rPr>
                <w:rFonts w:ascii="Times New Roman" w:eastAsia="Times New Roman" w:hAnsi="Times New Roman" w:cs="Times New Roman"/>
                <w:color w:val="000000"/>
                <w:sz w:val="18"/>
                <w:szCs w:val="18"/>
                <w:lang w:eastAsia="en-GB"/>
              </w:rPr>
              <w:t xml:space="preserve"> v. Russia</w:t>
            </w:r>
          </w:p>
        </w:tc>
        <w:tc>
          <w:tcPr>
            <w:tcW w:w="1275" w:type="pct"/>
            <w:tcBorders>
              <w:top w:val="nil"/>
              <w:left w:val="nil"/>
              <w:bottom w:val="single" w:sz="4" w:space="0" w:color="BFBFBF"/>
              <w:right w:val="nil"/>
            </w:tcBorders>
            <w:shd w:val="clear" w:color="auto" w:fill="DEEAF6" w:themeFill="accent5" w:themeFillTint="33"/>
            <w:noWrap/>
            <w:hideMark/>
          </w:tcPr>
          <w:p w14:paraId="73ABBD41" w14:textId="3061209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Petropavlovskis</w:t>
            </w:r>
            <w:proofErr w:type="spellEnd"/>
            <w:r w:rsidRPr="009B7CD3">
              <w:rPr>
                <w:rFonts w:ascii="Times New Roman" w:eastAsia="Times New Roman" w:hAnsi="Times New Roman" w:cs="Times New Roman"/>
                <w:color w:val="000000"/>
                <w:sz w:val="18"/>
                <w:szCs w:val="18"/>
                <w:lang w:eastAsia="en-GB"/>
              </w:rPr>
              <w:t xml:space="preserve"> v. Latvia</w:t>
            </w:r>
          </w:p>
        </w:tc>
        <w:tc>
          <w:tcPr>
            <w:tcW w:w="1347" w:type="pct"/>
            <w:tcBorders>
              <w:top w:val="nil"/>
              <w:left w:val="nil"/>
              <w:bottom w:val="single" w:sz="4" w:space="0" w:color="BFBFBF"/>
              <w:right w:val="nil"/>
            </w:tcBorders>
            <w:shd w:val="clear" w:color="auto" w:fill="DEEAF6" w:themeFill="accent5" w:themeFillTint="33"/>
            <w:noWrap/>
            <w:hideMark/>
          </w:tcPr>
          <w:p w14:paraId="1E8852D0" w14:textId="230468C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I.b</w:t>
            </w:r>
            <w:proofErr w:type="spellEnd"/>
            <w:r w:rsidRPr="009B7CD3">
              <w:rPr>
                <w:rFonts w:ascii="Times New Roman" w:eastAsia="Times New Roman" w:hAnsi="Times New Roman" w:cs="Times New Roman"/>
                <w:color w:val="000000"/>
                <w:sz w:val="18"/>
                <w:szCs w:val="18"/>
                <w:lang w:eastAsia="en-GB"/>
              </w:rPr>
              <w:t>. V. Greece</w:t>
            </w:r>
          </w:p>
        </w:tc>
      </w:tr>
      <w:tr w:rsidR="006511A9" w:rsidRPr="009B7CD3" w14:paraId="193819D3"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4A54232A" w14:textId="11A65C6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Chabauty</w:t>
            </w:r>
            <w:proofErr w:type="spellEnd"/>
            <w:r w:rsidRPr="009B7CD3">
              <w:rPr>
                <w:rFonts w:ascii="Times New Roman" w:eastAsia="Times New Roman" w:hAnsi="Times New Roman" w:cs="Times New Roman"/>
                <w:color w:val="000000"/>
                <w:sz w:val="18"/>
                <w:szCs w:val="18"/>
                <w:lang w:eastAsia="en-GB"/>
              </w:rPr>
              <w:t xml:space="preserve"> v. France</w:t>
            </w:r>
          </w:p>
        </w:tc>
        <w:tc>
          <w:tcPr>
            <w:tcW w:w="1109" w:type="pct"/>
            <w:tcBorders>
              <w:top w:val="nil"/>
              <w:left w:val="nil"/>
              <w:bottom w:val="single" w:sz="4" w:space="0" w:color="BFBFBF"/>
              <w:right w:val="nil"/>
            </w:tcBorders>
            <w:shd w:val="clear" w:color="auto" w:fill="DEEAF6" w:themeFill="accent5" w:themeFillTint="33"/>
            <w:noWrap/>
            <w:hideMark/>
          </w:tcPr>
          <w:p w14:paraId="18D5DFB2" w14:textId="4A918A7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Koch v. Germany</w:t>
            </w:r>
          </w:p>
        </w:tc>
        <w:tc>
          <w:tcPr>
            <w:tcW w:w="1275" w:type="pct"/>
            <w:tcBorders>
              <w:top w:val="nil"/>
              <w:left w:val="nil"/>
              <w:bottom w:val="single" w:sz="4" w:space="0" w:color="BFBFBF"/>
              <w:right w:val="nil"/>
            </w:tcBorders>
            <w:shd w:val="clear" w:color="auto" w:fill="DEEAF6" w:themeFill="accent5" w:themeFillTint="33"/>
            <w:noWrap/>
            <w:hideMark/>
          </w:tcPr>
          <w:p w14:paraId="5FF3768B" w14:textId="4E69141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Piechowicz</w:t>
            </w:r>
            <w:proofErr w:type="spellEnd"/>
            <w:r w:rsidRPr="009B7CD3">
              <w:rPr>
                <w:rFonts w:ascii="Times New Roman" w:eastAsia="Times New Roman" w:hAnsi="Times New Roman" w:cs="Times New Roman"/>
                <w:color w:val="000000"/>
                <w:sz w:val="18"/>
                <w:szCs w:val="18"/>
                <w:lang w:eastAsia="en-GB"/>
              </w:rPr>
              <w:t xml:space="preserve"> v. Poland</w:t>
            </w:r>
          </w:p>
        </w:tc>
        <w:tc>
          <w:tcPr>
            <w:tcW w:w="1347" w:type="pct"/>
            <w:tcBorders>
              <w:top w:val="nil"/>
              <w:left w:val="nil"/>
              <w:bottom w:val="single" w:sz="4" w:space="0" w:color="BFBFBF"/>
              <w:right w:val="nil"/>
            </w:tcBorders>
            <w:shd w:val="clear" w:color="auto" w:fill="DEEAF6" w:themeFill="accent5" w:themeFillTint="33"/>
            <w:noWrap/>
            <w:hideMark/>
          </w:tcPr>
          <w:p w14:paraId="1A17AC42" w14:textId="0EA08BD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Jeunesse v. The </w:t>
            </w:r>
            <w:proofErr w:type="spellStart"/>
            <w:r w:rsidRPr="009B7CD3">
              <w:rPr>
                <w:rFonts w:ascii="Times New Roman" w:eastAsia="Times New Roman" w:hAnsi="Times New Roman" w:cs="Times New Roman"/>
                <w:color w:val="000000"/>
                <w:sz w:val="18"/>
                <w:szCs w:val="18"/>
                <w:lang w:eastAsia="en-GB"/>
              </w:rPr>
              <w:t>netherlands</w:t>
            </w:r>
            <w:proofErr w:type="spellEnd"/>
          </w:p>
        </w:tc>
      </w:tr>
      <w:tr w:rsidR="006511A9" w:rsidRPr="009B7CD3" w14:paraId="1B5E3E51"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8436FD3" w14:textId="4853D60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Chitos</w:t>
            </w:r>
            <w:proofErr w:type="spellEnd"/>
            <w:r w:rsidRPr="009B7CD3">
              <w:rPr>
                <w:rFonts w:ascii="Times New Roman" w:eastAsia="Times New Roman" w:hAnsi="Times New Roman" w:cs="Times New Roman"/>
                <w:color w:val="000000"/>
                <w:sz w:val="18"/>
                <w:szCs w:val="18"/>
                <w:lang w:eastAsia="en-GB"/>
              </w:rPr>
              <w:t xml:space="preserve"> v. Greece</w:t>
            </w:r>
          </w:p>
        </w:tc>
        <w:tc>
          <w:tcPr>
            <w:tcW w:w="1109" w:type="pct"/>
            <w:tcBorders>
              <w:top w:val="nil"/>
              <w:left w:val="nil"/>
              <w:bottom w:val="single" w:sz="4" w:space="0" w:color="BFBFBF"/>
              <w:right w:val="nil"/>
            </w:tcBorders>
            <w:shd w:val="clear" w:color="auto" w:fill="DEEAF6" w:themeFill="accent5" w:themeFillTint="33"/>
            <w:noWrap/>
            <w:hideMark/>
          </w:tcPr>
          <w:p w14:paraId="6E259FA8" w14:textId="4BCEA30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Kocherov</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sergeyeva</w:t>
            </w:r>
            <w:proofErr w:type="spellEnd"/>
            <w:r w:rsidRPr="009B7CD3">
              <w:rPr>
                <w:rFonts w:ascii="Times New Roman" w:eastAsia="Times New Roman" w:hAnsi="Times New Roman" w:cs="Times New Roman"/>
                <w:color w:val="000000"/>
                <w:sz w:val="18"/>
                <w:szCs w:val="18"/>
                <w:lang w:eastAsia="en-GB"/>
              </w:rPr>
              <w:t xml:space="preserve"> v. Russia</w:t>
            </w:r>
          </w:p>
        </w:tc>
        <w:tc>
          <w:tcPr>
            <w:tcW w:w="1275" w:type="pct"/>
            <w:tcBorders>
              <w:top w:val="nil"/>
              <w:left w:val="nil"/>
              <w:bottom w:val="single" w:sz="4" w:space="0" w:color="BFBFBF"/>
              <w:right w:val="nil"/>
            </w:tcBorders>
            <w:shd w:val="clear" w:color="auto" w:fill="DEEAF6" w:themeFill="accent5" w:themeFillTint="33"/>
            <w:noWrap/>
            <w:hideMark/>
          </w:tcPr>
          <w:p w14:paraId="346ADE1A" w14:textId="1D09A34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R.b.</w:t>
            </w:r>
            <w:proofErr w:type="spellEnd"/>
            <w:r w:rsidRPr="009B7CD3">
              <w:rPr>
                <w:rFonts w:ascii="Times New Roman" w:eastAsia="Times New Roman" w:hAnsi="Times New Roman" w:cs="Times New Roman"/>
                <w:color w:val="000000"/>
                <w:sz w:val="18"/>
                <w:szCs w:val="18"/>
                <w:lang w:eastAsia="en-GB"/>
              </w:rPr>
              <w:t xml:space="preserve"> V. Hungary</w:t>
            </w:r>
          </w:p>
        </w:tc>
        <w:tc>
          <w:tcPr>
            <w:tcW w:w="1347" w:type="pct"/>
            <w:tcBorders>
              <w:top w:val="nil"/>
              <w:left w:val="nil"/>
              <w:bottom w:val="single" w:sz="4" w:space="0" w:color="BFBFBF"/>
              <w:right w:val="nil"/>
            </w:tcBorders>
            <w:shd w:val="clear" w:color="auto" w:fill="DEEAF6" w:themeFill="accent5" w:themeFillTint="33"/>
            <w:noWrap/>
            <w:hideMark/>
          </w:tcPr>
          <w:p w14:paraId="02D75ED8" w14:textId="7D47AA4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Kotov</w:t>
            </w:r>
            <w:proofErr w:type="spellEnd"/>
            <w:r w:rsidRPr="009B7CD3">
              <w:rPr>
                <w:rFonts w:ascii="Times New Roman" w:eastAsia="Times New Roman" w:hAnsi="Times New Roman" w:cs="Times New Roman"/>
                <w:color w:val="000000"/>
                <w:sz w:val="18"/>
                <w:szCs w:val="18"/>
                <w:lang w:eastAsia="en-GB"/>
              </w:rPr>
              <w:t xml:space="preserve"> v. Russia</w:t>
            </w:r>
          </w:p>
        </w:tc>
      </w:tr>
      <w:tr w:rsidR="006511A9" w:rsidRPr="009B7CD3" w14:paraId="5B9FDD57"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09896599" w14:textId="035993C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Communist party of </w:t>
            </w:r>
            <w:proofErr w:type="spellStart"/>
            <w:r w:rsidRPr="009B7CD3">
              <w:rPr>
                <w:rFonts w:ascii="Times New Roman" w:eastAsia="Times New Roman" w:hAnsi="Times New Roman" w:cs="Times New Roman"/>
                <w:color w:val="000000"/>
                <w:sz w:val="18"/>
                <w:szCs w:val="18"/>
                <w:lang w:eastAsia="en-GB"/>
              </w:rPr>
              <w:t>russia</w:t>
            </w:r>
            <w:proofErr w:type="spellEnd"/>
            <w:r w:rsidRPr="009B7CD3">
              <w:rPr>
                <w:rFonts w:ascii="Times New Roman" w:eastAsia="Times New Roman" w:hAnsi="Times New Roman" w:cs="Times New Roman"/>
                <w:color w:val="000000"/>
                <w:sz w:val="18"/>
                <w:szCs w:val="18"/>
                <w:lang w:eastAsia="en-GB"/>
              </w:rPr>
              <w:t xml:space="preserve"> and others v. Russia</w:t>
            </w:r>
          </w:p>
        </w:tc>
        <w:tc>
          <w:tcPr>
            <w:tcW w:w="1109" w:type="pct"/>
            <w:tcBorders>
              <w:top w:val="nil"/>
              <w:left w:val="nil"/>
              <w:bottom w:val="single" w:sz="4" w:space="0" w:color="BFBFBF"/>
              <w:right w:val="nil"/>
            </w:tcBorders>
            <w:shd w:val="clear" w:color="auto" w:fill="DEEAF6" w:themeFill="accent5" w:themeFillTint="33"/>
            <w:noWrap/>
            <w:hideMark/>
          </w:tcPr>
          <w:p w14:paraId="770B6397" w14:textId="5E2FC95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Konstantin </w:t>
            </w:r>
            <w:proofErr w:type="spellStart"/>
            <w:r w:rsidRPr="009B7CD3">
              <w:rPr>
                <w:rFonts w:ascii="Times New Roman" w:eastAsia="Times New Roman" w:hAnsi="Times New Roman" w:cs="Times New Roman"/>
                <w:color w:val="000000"/>
                <w:sz w:val="18"/>
                <w:szCs w:val="18"/>
                <w:lang w:eastAsia="en-GB"/>
              </w:rPr>
              <w:t>markin</w:t>
            </w:r>
            <w:proofErr w:type="spellEnd"/>
            <w:r w:rsidRPr="009B7CD3">
              <w:rPr>
                <w:rFonts w:ascii="Times New Roman" w:eastAsia="Times New Roman" w:hAnsi="Times New Roman" w:cs="Times New Roman"/>
                <w:color w:val="000000"/>
                <w:sz w:val="18"/>
                <w:szCs w:val="18"/>
                <w:lang w:eastAsia="en-GB"/>
              </w:rPr>
              <w:t xml:space="preserve"> v. Russia</w:t>
            </w:r>
          </w:p>
        </w:tc>
        <w:tc>
          <w:tcPr>
            <w:tcW w:w="1275" w:type="pct"/>
            <w:tcBorders>
              <w:top w:val="nil"/>
              <w:left w:val="nil"/>
              <w:bottom w:val="single" w:sz="4" w:space="0" w:color="BFBFBF"/>
              <w:right w:val="nil"/>
            </w:tcBorders>
            <w:shd w:val="clear" w:color="auto" w:fill="DEEAF6" w:themeFill="accent5" w:themeFillTint="33"/>
            <w:noWrap/>
            <w:hideMark/>
          </w:tcPr>
          <w:p w14:paraId="0AF87CDD" w14:textId="26CC6F29"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Ramos </w:t>
            </w:r>
            <w:proofErr w:type="spellStart"/>
            <w:r w:rsidRPr="009B7CD3">
              <w:rPr>
                <w:rFonts w:ascii="Times New Roman" w:eastAsia="Times New Roman" w:hAnsi="Times New Roman" w:cs="Times New Roman"/>
                <w:color w:val="000000"/>
                <w:sz w:val="18"/>
                <w:szCs w:val="18"/>
                <w:lang w:eastAsia="en-GB"/>
              </w:rPr>
              <w:t>nunes</w:t>
            </w:r>
            <w:proofErr w:type="spellEnd"/>
            <w:r w:rsidRPr="009B7CD3">
              <w:rPr>
                <w:rFonts w:ascii="Times New Roman" w:eastAsia="Times New Roman" w:hAnsi="Times New Roman" w:cs="Times New Roman"/>
                <w:color w:val="000000"/>
                <w:sz w:val="18"/>
                <w:szCs w:val="18"/>
                <w:lang w:eastAsia="en-GB"/>
              </w:rPr>
              <w:t xml:space="preserve"> de </w:t>
            </w:r>
            <w:proofErr w:type="spellStart"/>
            <w:r w:rsidRPr="009B7CD3">
              <w:rPr>
                <w:rFonts w:ascii="Times New Roman" w:eastAsia="Times New Roman" w:hAnsi="Times New Roman" w:cs="Times New Roman"/>
                <w:color w:val="000000"/>
                <w:sz w:val="18"/>
                <w:szCs w:val="18"/>
                <w:lang w:eastAsia="en-GB"/>
              </w:rPr>
              <w:t>carvalho</w:t>
            </w:r>
            <w:proofErr w:type="spellEnd"/>
            <w:r w:rsidRPr="009B7CD3">
              <w:rPr>
                <w:rFonts w:ascii="Times New Roman" w:eastAsia="Times New Roman" w:hAnsi="Times New Roman" w:cs="Times New Roman"/>
                <w:color w:val="000000"/>
                <w:sz w:val="18"/>
                <w:szCs w:val="18"/>
                <w:lang w:eastAsia="en-GB"/>
              </w:rPr>
              <w:t xml:space="preserve"> e </w:t>
            </w:r>
            <w:proofErr w:type="spellStart"/>
            <w:r w:rsidRPr="009B7CD3">
              <w:rPr>
                <w:rFonts w:ascii="Times New Roman" w:eastAsia="Times New Roman" w:hAnsi="Times New Roman" w:cs="Times New Roman"/>
                <w:color w:val="000000"/>
                <w:sz w:val="18"/>
                <w:szCs w:val="18"/>
                <w:lang w:eastAsia="en-GB"/>
              </w:rPr>
              <w:t>sã</w:t>
            </w:r>
            <w:proofErr w:type="spellEnd"/>
            <w:r w:rsidRPr="009B7CD3">
              <w:rPr>
                <w:rFonts w:ascii="Times New Roman" w:eastAsia="Times New Roman" w:hAnsi="Times New Roman" w:cs="Times New Roman"/>
                <w:color w:val="000000"/>
                <w:sz w:val="18"/>
                <w:szCs w:val="18"/>
                <w:lang w:eastAsia="en-GB"/>
              </w:rPr>
              <w:t> v. Portugal</w:t>
            </w:r>
          </w:p>
        </w:tc>
        <w:tc>
          <w:tcPr>
            <w:tcW w:w="1347" w:type="pct"/>
            <w:tcBorders>
              <w:top w:val="nil"/>
              <w:left w:val="nil"/>
              <w:bottom w:val="single" w:sz="4" w:space="0" w:color="BFBFBF"/>
              <w:right w:val="nil"/>
            </w:tcBorders>
            <w:shd w:val="clear" w:color="auto" w:fill="DEEAF6" w:themeFill="accent5" w:themeFillTint="33"/>
            <w:noWrap/>
            <w:hideMark/>
          </w:tcPr>
          <w:p w14:paraId="79DAD810" w14:textId="7476764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Kotov</w:t>
            </w:r>
            <w:proofErr w:type="spellEnd"/>
            <w:r w:rsidRPr="009B7CD3">
              <w:rPr>
                <w:rFonts w:ascii="Times New Roman" w:eastAsia="Times New Roman" w:hAnsi="Times New Roman" w:cs="Times New Roman"/>
                <w:color w:val="000000"/>
                <w:sz w:val="18"/>
                <w:szCs w:val="18"/>
                <w:lang w:eastAsia="en-GB"/>
              </w:rPr>
              <w:t xml:space="preserve"> v. Russia[</w:t>
            </w:r>
            <w:proofErr w:type="spellStart"/>
            <w:r w:rsidRPr="009B7CD3">
              <w:rPr>
                <w:rFonts w:ascii="Times New Roman" w:eastAsia="Times New Roman" w:hAnsi="Times New Roman" w:cs="Times New Roman"/>
                <w:color w:val="000000"/>
                <w:sz w:val="18"/>
                <w:szCs w:val="18"/>
                <w:lang w:eastAsia="en-GB"/>
              </w:rPr>
              <w:t>gc</w:t>
            </w:r>
            <w:proofErr w:type="spellEnd"/>
            <w:r w:rsidRPr="009B7CD3">
              <w:rPr>
                <w:rFonts w:ascii="Times New Roman" w:eastAsia="Times New Roman" w:hAnsi="Times New Roman" w:cs="Times New Roman"/>
                <w:color w:val="000000"/>
                <w:sz w:val="18"/>
                <w:szCs w:val="18"/>
                <w:lang w:eastAsia="en-GB"/>
              </w:rPr>
              <w:t>]</w:t>
            </w:r>
          </w:p>
        </w:tc>
      </w:tr>
      <w:tr w:rsidR="006511A9" w:rsidRPr="009B7CD3" w14:paraId="03C8C34B"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EFB3271" w14:textId="7635C07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Correia de </w:t>
            </w:r>
            <w:proofErr w:type="spellStart"/>
            <w:r w:rsidRPr="009B7CD3">
              <w:rPr>
                <w:rFonts w:ascii="Times New Roman" w:eastAsia="Times New Roman" w:hAnsi="Times New Roman" w:cs="Times New Roman"/>
                <w:color w:val="000000"/>
                <w:sz w:val="18"/>
                <w:szCs w:val="18"/>
                <w:lang w:eastAsia="en-GB"/>
              </w:rPr>
              <w:t>matos</w:t>
            </w:r>
            <w:proofErr w:type="spellEnd"/>
            <w:r w:rsidRPr="009B7CD3">
              <w:rPr>
                <w:rFonts w:ascii="Times New Roman" w:eastAsia="Times New Roman" w:hAnsi="Times New Roman" w:cs="Times New Roman"/>
                <w:color w:val="000000"/>
                <w:sz w:val="18"/>
                <w:szCs w:val="18"/>
                <w:lang w:eastAsia="en-GB"/>
              </w:rPr>
              <w:t xml:space="preserve"> v. Portugal</w:t>
            </w:r>
          </w:p>
        </w:tc>
        <w:tc>
          <w:tcPr>
            <w:tcW w:w="1109" w:type="pct"/>
            <w:tcBorders>
              <w:top w:val="nil"/>
              <w:left w:val="nil"/>
              <w:bottom w:val="single" w:sz="4" w:space="0" w:color="BFBFBF"/>
              <w:right w:val="nil"/>
            </w:tcBorders>
            <w:shd w:val="clear" w:color="auto" w:fill="DEEAF6" w:themeFill="accent5" w:themeFillTint="33"/>
            <w:noWrap/>
            <w:hideMark/>
          </w:tcPr>
          <w:p w14:paraId="25CAD8BE" w14:textId="6EB0D61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Kudrevičius</w:t>
            </w:r>
            <w:proofErr w:type="spellEnd"/>
            <w:r w:rsidRPr="009B7CD3">
              <w:rPr>
                <w:rFonts w:ascii="Times New Roman" w:eastAsia="Times New Roman" w:hAnsi="Times New Roman" w:cs="Times New Roman"/>
                <w:color w:val="000000"/>
                <w:sz w:val="18"/>
                <w:szCs w:val="18"/>
                <w:lang w:eastAsia="en-GB"/>
              </w:rPr>
              <w:t xml:space="preserve"> and others v. Lithuania</w:t>
            </w:r>
          </w:p>
        </w:tc>
        <w:tc>
          <w:tcPr>
            <w:tcW w:w="1275" w:type="pct"/>
            <w:tcBorders>
              <w:top w:val="nil"/>
              <w:left w:val="nil"/>
              <w:bottom w:val="single" w:sz="4" w:space="0" w:color="BFBFBF"/>
              <w:right w:val="nil"/>
            </w:tcBorders>
            <w:shd w:val="clear" w:color="auto" w:fill="DEEAF6" w:themeFill="accent5" w:themeFillTint="33"/>
            <w:noWrap/>
            <w:hideMark/>
          </w:tcPr>
          <w:p w14:paraId="71E9B3A2" w14:textId="29A6059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Regner</w:t>
            </w:r>
            <w:proofErr w:type="spellEnd"/>
            <w:r w:rsidRPr="009B7CD3">
              <w:rPr>
                <w:rFonts w:ascii="Times New Roman" w:eastAsia="Times New Roman" w:hAnsi="Times New Roman" w:cs="Times New Roman"/>
                <w:color w:val="000000"/>
                <w:sz w:val="18"/>
                <w:szCs w:val="18"/>
                <w:lang w:eastAsia="en-GB"/>
              </w:rPr>
              <w:t xml:space="preserve"> v. The </w:t>
            </w:r>
            <w:proofErr w:type="spellStart"/>
            <w:r w:rsidRPr="009B7CD3">
              <w:rPr>
                <w:rFonts w:ascii="Times New Roman" w:eastAsia="Times New Roman" w:hAnsi="Times New Roman" w:cs="Times New Roman"/>
                <w:color w:val="000000"/>
                <w:sz w:val="18"/>
                <w:szCs w:val="18"/>
                <w:lang w:eastAsia="en-GB"/>
              </w:rPr>
              <w:t>czech</w:t>
            </w:r>
            <w:proofErr w:type="spellEnd"/>
            <w:r w:rsidRPr="009B7CD3">
              <w:rPr>
                <w:rFonts w:ascii="Times New Roman" w:eastAsia="Times New Roman" w:hAnsi="Times New Roman" w:cs="Times New Roman"/>
                <w:color w:val="000000"/>
                <w:sz w:val="18"/>
                <w:szCs w:val="18"/>
                <w:lang w:eastAsia="en-GB"/>
              </w:rPr>
              <w:t xml:space="preserve"> republic</w:t>
            </w:r>
          </w:p>
        </w:tc>
        <w:tc>
          <w:tcPr>
            <w:tcW w:w="1347" w:type="pct"/>
            <w:tcBorders>
              <w:top w:val="nil"/>
              <w:left w:val="nil"/>
              <w:bottom w:val="single" w:sz="4" w:space="0" w:color="BFBFBF"/>
              <w:right w:val="nil"/>
            </w:tcBorders>
            <w:shd w:val="clear" w:color="auto" w:fill="DEEAF6" w:themeFill="accent5" w:themeFillTint="33"/>
            <w:noWrap/>
            <w:hideMark/>
          </w:tcPr>
          <w:p w14:paraId="2D9D3A0D" w14:textId="1D0BB894"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Mutu</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pechstein</w:t>
            </w:r>
            <w:proofErr w:type="spellEnd"/>
            <w:r w:rsidRPr="009B7CD3">
              <w:rPr>
                <w:rFonts w:ascii="Times New Roman" w:eastAsia="Times New Roman" w:hAnsi="Times New Roman" w:cs="Times New Roman"/>
                <w:color w:val="000000"/>
                <w:sz w:val="18"/>
                <w:szCs w:val="18"/>
                <w:lang w:eastAsia="en-GB"/>
              </w:rPr>
              <w:t xml:space="preserve"> v. Switzerland</w:t>
            </w:r>
          </w:p>
        </w:tc>
      </w:tr>
      <w:tr w:rsidR="006511A9" w:rsidRPr="009B7CD3" w14:paraId="463C9E5F"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47F8BB0F" w14:textId="639795A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Couderc</w:t>
            </w:r>
            <w:proofErr w:type="spellEnd"/>
            <w:r w:rsidRPr="009B7CD3">
              <w:rPr>
                <w:rFonts w:ascii="Times New Roman" w:eastAsia="Times New Roman" w:hAnsi="Times New Roman" w:cs="Times New Roman"/>
                <w:color w:val="000000"/>
                <w:sz w:val="18"/>
                <w:szCs w:val="18"/>
                <w:lang w:eastAsia="en-GB"/>
              </w:rPr>
              <w:t xml:space="preserve"> and </w:t>
            </w:r>
            <w:proofErr w:type="spellStart"/>
            <w:r w:rsidRPr="009B7CD3">
              <w:rPr>
                <w:rFonts w:ascii="Times New Roman" w:eastAsia="Times New Roman" w:hAnsi="Times New Roman" w:cs="Times New Roman"/>
                <w:color w:val="000000"/>
                <w:sz w:val="18"/>
                <w:szCs w:val="18"/>
                <w:lang w:eastAsia="en-GB"/>
              </w:rPr>
              <w:t>hachette</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filipacchi</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associés</w:t>
            </w:r>
            <w:proofErr w:type="spellEnd"/>
            <w:r w:rsidRPr="009B7CD3">
              <w:rPr>
                <w:rFonts w:ascii="Times New Roman" w:eastAsia="Times New Roman" w:hAnsi="Times New Roman" w:cs="Times New Roman"/>
                <w:color w:val="000000"/>
                <w:sz w:val="18"/>
                <w:szCs w:val="18"/>
                <w:lang w:eastAsia="en-GB"/>
              </w:rPr>
              <w:t xml:space="preserve"> v. France</w:t>
            </w:r>
          </w:p>
        </w:tc>
        <w:tc>
          <w:tcPr>
            <w:tcW w:w="1109" w:type="pct"/>
            <w:tcBorders>
              <w:top w:val="nil"/>
              <w:left w:val="nil"/>
              <w:bottom w:val="single" w:sz="4" w:space="0" w:color="BFBFBF"/>
              <w:right w:val="nil"/>
            </w:tcBorders>
            <w:shd w:val="clear" w:color="auto" w:fill="DEEAF6" w:themeFill="accent5" w:themeFillTint="33"/>
            <w:noWrap/>
            <w:hideMark/>
          </w:tcPr>
          <w:p w14:paraId="2C2D0BBD" w14:textId="58060500"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L.h</w:t>
            </w:r>
            <w:proofErr w:type="spellEnd"/>
            <w:r w:rsidRPr="009B7CD3">
              <w:rPr>
                <w:rFonts w:ascii="Times New Roman" w:eastAsia="Times New Roman" w:hAnsi="Times New Roman" w:cs="Times New Roman"/>
                <w:color w:val="000000"/>
                <w:sz w:val="18"/>
                <w:szCs w:val="18"/>
                <w:lang w:eastAsia="en-GB"/>
              </w:rPr>
              <w:t>. V. Latvia</w:t>
            </w:r>
          </w:p>
        </w:tc>
        <w:tc>
          <w:tcPr>
            <w:tcW w:w="1275" w:type="pct"/>
            <w:tcBorders>
              <w:top w:val="nil"/>
              <w:left w:val="nil"/>
              <w:bottom w:val="single" w:sz="4" w:space="0" w:color="BFBFBF"/>
              <w:right w:val="nil"/>
            </w:tcBorders>
            <w:shd w:val="clear" w:color="auto" w:fill="DEEAF6" w:themeFill="accent5" w:themeFillTint="33"/>
            <w:noWrap/>
            <w:hideMark/>
          </w:tcPr>
          <w:p w14:paraId="57280A9B" w14:textId="20EEA67A"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Rohlena</w:t>
            </w:r>
            <w:proofErr w:type="spellEnd"/>
            <w:r w:rsidRPr="009B7CD3">
              <w:rPr>
                <w:rFonts w:ascii="Times New Roman" w:eastAsia="Times New Roman" w:hAnsi="Times New Roman" w:cs="Times New Roman"/>
                <w:color w:val="000000"/>
                <w:sz w:val="18"/>
                <w:szCs w:val="18"/>
                <w:lang w:eastAsia="en-GB"/>
              </w:rPr>
              <w:t xml:space="preserve"> v. The </w:t>
            </w:r>
            <w:proofErr w:type="spellStart"/>
            <w:r w:rsidRPr="009B7CD3">
              <w:rPr>
                <w:rFonts w:ascii="Times New Roman" w:eastAsia="Times New Roman" w:hAnsi="Times New Roman" w:cs="Times New Roman"/>
                <w:color w:val="000000"/>
                <w:sz w:val="18"/>
                <w:szCs w:val="18"/>
                <w:lang w:eastAsia="en-GB"/>
              </w:rPr>
              <w:t>czech</w:t>
            </w:r>
            <w:proofErr w:type="spellEnd"/>
            <w:r w:rsidRPr="009B7CD3">
              <w:rPr>
                <w:rFonts w:ascii="Times New Roman" w:eastAsia="Times New Roman" w:hAnsi="Times New Roman" w:cs="Times New Roman"/>
                <w:color w:val="000000"/>
                <w:sz w:val="18"/>
                <w:szCs w:val="18"/>
                <w:lang w:eastAsia="en-GB"/>
              </w:rPr>
              <w:t xml:space="preserve"> republic</w:t>
            </w:r>
          </w:p>
        </w:tc>
        <w:tc>
          <w:tcPr>
            <w:tcW w:w="1347" w:type="pct"/>
            <w:tcBorders>
              <w:top w:val="nil"/>
              <w:left w:val="nil"/>
              <w:bottom w:val="single" w:sz="4" w:space="0" w:color="BFBFBF"/>
              <w:right w:val="nil"/>
            </w:tcBorders>
            <w:shd w:val="clear" w:color="auto" w:fill="DEEAF6" w:themeFill="accent5" w:themeFillTint="33"/>
            <w:noWrap/>
            <w:hideMark/>
          </w:tcPr>
          <w:p w14:paraId="362BB7F2" w14:textId="77FB41F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S.a.s.</w:t>
            </w:r>
            <w:proofErr w:type="spellEnd"/>
            <w:r w:rsidRPr="009B7CD3">
              <w:rPr>
                <w:rFonts w:ascii="Times New Roman" w:eastAsia="Times New Roman" w:hAnsi="Times New Roman" w:cs="Times New Roman"/>
                <w:color w:val="000000"/>
                <w:sz w:val="18"/>
                <w:szCs w:val="18"/>
                <w:lang w:eastAsia="en-GB"/>
              </w:rPr>
              <w:t xml:space="preserve"> V. France</w:t>
            </w:r>
          </w:p>
        </w:tc>
      </w:tr>
      <w:tr w:rsidR="006511A9" w:rsidRPr="009B7CD3" w14:paraId="6DC6B5D0"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1E948C17" w14:textId="30B6C93B"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Creangă</w:t>
            </w:r>
            <w:proofErr w:type="spellEnd"/>
            <w:r w:rsidRPr="009B7CD3">
              <w:rPr>
                <w:rFonts w:ascii="Times New Roman" w:eastAsia="Times New Roman" w:hAnsi="Times New Roman" w:cs="Times New Roman"/>
                <w:color w:val="000000"/>
                <w:sz w:val="18"/>
                <w:szCs w:val="18"/>
                <w:lang w:eastAsia="en-GB"/>
              </w:rPr>
              <w:t xml:space="preserve"> v. Romania</w:t>
            </w:r>
          </w:p>
        </w:tc>
        <w:tc>
          <w:tcPr>
            <w:tcW w:w="1109" w:type="pct"/>
            <w:tcBorders>
              <w:top w:val="nil"/>
              <w:left w:val="nil"/>
              <w:bottom w:val="single" w:sz="4" w:space="0" w:color="BFBFBF"/>
              <w:right w:val="nil"/>
            </w:tcBorders>
            <w:shd w:val="clear" w:color="auto" w:fill="DEEAF6" w:themeFill="accent5" w:themeFillTint="33"/>
            <w:noWrap/>
            <w:hideMark/>
          </w:tcPr>
          <w:p w14:paraId="43CEFF35" w14:textId="538368F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López </w:t>
            </w:r>
            <w:proofErr w:type="spellStart"/>
            <w:r w:rsidRPr="009B7CD3">
              <w:rPr>
                <w:rFonts w:ascii="Times New Roman" w:eastAsia="Times New Roman" w:hAnsi="Times New Roman" w:cs="Times New Roman"/>
                <w:color w:val="000000"/>
                <w:sz w:val="18"/>
                <w:szCs w:val="18"/>
                <w:lang w:eastAsia="en-GB"/>
              </w:rPr>
              <w:t>ribalda</w:t>
            </w:r>
            <w:proofErr w:type="spellEnd"/>
            <w:r w:rsidRPr="009B7CD3">
              <w:rPr>
                <w:rFonts w:ascii="Times New Roman" w:eastAsia="Times New Roman" w:hAnsi="Times New Roman" w:cs="Times New Roman"/>
                <w:color w:val="000000"/>
                <w:sz w:val="18"/>
                <w:szCs w:val="18"/>
                <w:lang w:eastAsia="en-GB"/>
              </w:rPr>
              <w:t xml:space="preserve"> and others v. Spain</w:t>
            </w:r>
          </w:p>
        </w:tc>
        <w:tc>
          <w:tcPr>
            <w:tcW w:w="1275" w:type="pct"/>
            <w:tcBorders>
              <w:top w:val="nil"/>
              <w:left w:val="nil"/>
              <w:bottom w:val="single" w:sz="4" w:space="0" w:color="BFBFBF"/>
              <w:right w:val="nil"/>
            </w:tcBorders>
            <w:shd w:val="clear" w:color="auto" w:fill="DEEAF6" w:themeFill="accent5" w:themeFillTint="33"/>
            <w:noWrap/>
            <w:hideMark/>
          </w:tcPr>
          <w:p w14:paraId="77217E93" w14:textId="0E734133"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Roman </w:t>
            </w:r>
            <w:proofErr w:type="spellStart"/>
            <w:r w:rsidRPr="009B7CD3">
              <w:rPr>
                <w:rFonts w:ascii="Times New Roman" w:eastAsia="Times New Roman" w:hAnsi="Times New Roman" w:cs="Times New Roman"/>
                <w:color w:val="000000"/>
                <w:sz w:val="18"/>
                <w:szCs w:val="18"/>
                <w:lang w:eastAsia="en-GB"/>
              </w:rPr>
              <w:t>zakharov</w:t>
            </w:r>
            <w:proofErr w:type="spellEnd"/>
            <w:r w:rsidRPr="009B7CD3">
              <w:rPr>
                <w:rFonts w:ascii="Times New Roman" w:eastAsia="Times New Roman" w:hAnsi="Times New Roman" w:cs="Times New Roman"/>
                <w:color w:val="000000"/>
                <w:sz w:val="18"/>
                <w:szCs w:val="18"/>
                <w:lang w:eastAsia="en-GB"/>
              </w:rPr>
              <w:t xml:space="preserve"> v. Russia</w:t>
            </w:r>
          </w:p>
        </w:tc>
        <w:tc>
          <w:tcPr>
            <w:tcW w:w="1347" w:type="pct"/>
            <w:tcBorders>
              <w:top w:val="nil"/>
              <w:left w:val="nil"/>
              <w:bottom w:val="single" w:sz="4" w:space="0" w:color="BFBFBF"/>
              <w:right w:val="nil"/>
            </w:tcBorders>
            <w:shd w:val="clear" w:color="auto" w:fill="DEEAF6" w:themeFill="accent5" w:themeFillTint="33"/>
            <w:noWrap/>
            <w:hideMark/>
          </w:tcPr>
          <w:p w14:paraId="5B01C3F0" w14:textId="67C4D8F6"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Tarantino and others v. Italy</w:t>
            </w:r>
          </w:p>
        </w:tc>
      </w:tr>
      <w:tr w:rsidR="006511A9" w:rsidRPr="009B7CD3" w14:paraId="5BCEA870"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7B39CE6A" w14:textId="1A76D01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Cumhuriyet </w:t>
            </w:r>
            <w:proofErr w:type="spellStart"/>
            <w:r w:rsidRPr="009B7CD3">
              <w:rPr>
                <w:rFonts w:ascii="Times New Roman" w:eastAsia="Times New Roman" w:hAnsi="Times New Roman" w:cs="Times New Roman"/>
                <w:color w:val="000000"/>
                <w:sz w:val="18"/>
                <w:szCs w:val="18"/>
                <w:lang w:eastAsia="en-GB"/>
              </w:rPr>
              <w:t>halk</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partisi</w:t>
            </w:r>
            <w:proofErr w:type="spellEnd"/>
            <w:r w:rsidRPr="009B7CD3">
              <w:rPr>
                <w:rFonts w:ascii="Times New Roman" w:eastAsia="Times New Roman" w:hAnsi="Times New Roman" w:cs="Times New Roman"/>
                <w:color w:val="000000"/>
                <w:sz w:val="18"/>
                <w:szCs w:val="18"/>
                <w:lang w:eastAsia="en-GB"/>
              </w:rPr>
              <w:t xml:space="preserve"> v. Turkey</w:t>
            </w:r>
          </w:p>
        </w:tc>
        <w:tc>
          <w:tcPr>
            <w:tcW w:w="1109" w:type="pct"/>
            <w:tcBorders>
              <w:top w:val="nil"/>
              <w:left w:val="nil"/>
              <w:bottom w:val="single" w:sz="4" w:space="0" w:color="BFBFBF"/>
              <w:right w:val="nil"/>
            </w:tcBorders>
            <w:shd w:val="clear" w:color="auto" w:fill="DEEAF6" w:themeFill="accent5" w:themeFillTint="33"/>
            <w:noWrap/>
            <w:hideMark/>
          </w:tcPr>
          <w:p w14:paraId="73B0C166" w14:textId="54593EA5"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Lambert and others v. France</w:t>
            </w:r>
          </w:p>
        </w:tc>
        <w:tc>
          <w:tcPr>
            <w:tcW w:w="1275" w:type="pct"/>
            <w:tcBorders>
              <w:top w:val="nil"/>
              <w:left w:val="nil"/>
              <w:bottom w:val="single" w:sz="4" w:space="0" w:color="BFBFBF"/>
              <w:right w:val="nil"/>
            </w:tcBorders>
            <w:shd w:val="clear" w:color="auto" w:fill="DEEAF6" w:themeFill="accent5" w:themeFillTint="33"/>
            <w:noWrap/>
            <w:hideMark/>
          </w:tcPr>
          <w:p w14:paraId="5EF860DC" w14:textId="6E3AF421"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Rooman</w:t>
            </w:r>
            <w:proofErr w:type="spellEnd"/>
            <w:r w:rsidRPr="009B7CD3">
              <w:rPr>
                <w:rFonts w:ascii="Times New Roman" w:eastAsia="Times New Roman" w:hAnsi="Times New Roman" w:cs="Times New Roman"/>
                <w:color w:val="000000"/>
                <w:sz w:val="18"/>
                <w:szCs w:val="18"/>
                <w:lang w:eastAsia="en-GB"/>
              </w:rPr>
              <w:t xml:space="preserve"> v. Belgium</w:t>
            </w:r>
          </w:p>
        </w:tc>
        <w:tc>
          <w:tcPr>
            <w:tcW w:w="1347" w:type="pct"/>
            <w:tcBorders>
              <w:top w:val="nil"/>
              <w:left w:val="nil"/>
              <w:bottom w:val="single" w:sz="4" w:space="0" w:color="BFBFBF"/>
              <w:right w:val="nil"/>
            </w:tcBorders>
            <w:shd w:val="clear" w:color="auto" w:fill="DEEAF6" w:themeFill="accent5" w:themeFillTint="33"/>
            <w:noWrap/>
            <w:hideMark/>
          </w:tcPr>
          <w:p w14:paraId="79A8CD08" w14:textId="3993A04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The church of </w:t>
            </w:r>
            <w:proofErr w:type="spellStart"/>
            <w:r w:rsidRPr="009B7CD3">
              <w:rPr>
                <w:rFonts w:ascii="Times New Roman" w:eastAsia="Times New Roman" w:hAnsi="Times New Roman" w:cs="Times New Roman"/>
                <w:color w:val="000000"/>
                <w:sz w:val="18"/>
                <w:szCs w:val="18"/>
                <w:lang w:eastAsia="en-GB"/>
              </w:rPr>
              <w:t>jesus</w:t>
            </w:r>
            <w:proofErr w:type="spellEnd"/>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christ</w:t>
            </w:r>
            <w:proofErr w:type="spellEnd"/>
            <w:r w:rsidRPr="009B7CD3">
              <w:rPr>
                <w:rFonts w:ascii="Times New Roman" w:eastAsia="Times New Roman" w:hAnsi="Times New Roman" w:cs="Times New Roman"/>
                <w:color w:val="000000"/>
                <w:sz w:val="18"/>
                <w:szCs w:val="18"/>
                <w:lang w:eastAsia="en-GB"/>
              </w:rPr>
              <w:t xml:space="preserve"> of latter-day saints v. The </w:t>
            </w:r>
            <w:proofErr w:type="gramStart"/>
            <w:r w:rsidRPr="009B7CD3">
              <w:rPr>
                <w:rFonts w:ascii="Times New Roman" w:eastAsia="Times New Roman" w:hAnsi="Times New Roman" w:cs="Times New Roman"/>
                <w:color w:val="000000"/>
                <w:sz w:val="18"/>
                <w:szCs w:val="18"/>
                <w:lang w:eastAsia="en-GB"/>
              </w:rPr>
              <w:t>united kingdom</w:t>
            </w:r>
            <w:proofErr w:type="gramEnd"/>
          </w:p>
        </w:tc>
      </w:tr>
      <w:tr w:rsidR="006511A9" w:rsidRPr="009B7CD3" w14:paraId="6ACCBB3F" w14:textId="77777777" w:rsidTr="004A7601">
        <w:trPr>
          <w:trHeight w:val="290"/>
        </w:trPr>
        <w:tc>
          <w:tcPr>
            <w:tcW w:w="1270" w:type="pct"/>
            <w:tcBorders>
              <w:top w:val="nil"/>
              <w:left w:val="nil"/>
              <w:bottom w:val="single" w:sz="4" w:space="0" w:color="BFBFBF"/>
              <w:right w:val="nil"/>
            </w:tcBorders>
            <w:shd w:val="clear" w:color="auto" w:fill="DEEAF6" w:themeFill="accent5" w:themeFillTint="33"/>
            <w:noWrap/>
            <w:hideMark/>
          </w:tcPr>
          <w:p w14:paraId="2220A655" w14:textId="2A6567C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X v. Finland</w:t>
            </w:r>
          </w:p>
        </w:tc>
        <w:tc>
          <w:tcPr>
            <w:tcW w:w="1109" w:type="pct"/>
            <w:tcBorders>
              <w:top w:val="nil"/>
              <w:left w:val="nil"/>
              <w:bottom w:val="single" w:sz="4" w:space="0" w:color="BFBFBF"/>
              <w:right w:val="nil"/>
            </w:tcBorders>
            <w:shd w:val="clear" w:color="auto" w:fill="DEEAF6" w:themeFill="accent5" w:themeFillTint="33"/>
            <w:noWrap/>
            <w:hideMark/>
          </w:tcPr>
          <w:p w14:paraId="5999D5F5" w14:textId="7427565E"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w:t>
            </w:r>
            <w:proofErr w:type="spellStart"/>
            <w:r w:rsidRPr="009B7CD3">
              <w:rPr>
                <w:rFonts w:ascii="Times New Roman" w:eastAsia="Times New Roman" w:hAnsi="Times New Roman" w:cs="Times New Roman"/>
                <w:color w:val="000000"/>
                <w:sz w:val="18"/>
                <w:szCs w:val="18"/>
                <w:lang w:eastAsia="en-GB"/>
              </w:rPr>
              <w:t>Wenner</w:t>
            </w:r>
            <w:proofErr w:type="spellEnd"/>
            <w:r w:rsidRPr="009B7CD3">
              <w:rPr>
                <w:rFonts w:ascii="Times New Roman" w:eastAsia="Times New Roman" w:hAnsi="Times New Roman" w:cs="Times New Roman"/>
                <w:color w:val="000000"/>
                <w:sz w:val="18"/>
                <w:szCs w:val="18"/>
                <w:lang w:eastAsia="en-GB"/>
              </w:rPr>
              <w:t xml:space="preserve"> v. Germany</w:t>
            </w:r>
          </w:p>
        </w:tc>
        <w:tc>
          <w:tcPr>
            <w:tcW w:w="1275" w:type="pct"/>
            <w:tcBorders>
              <w:top w:val="nil"/>
              <w:left w:val="nil"/>
              <w:bottom w:val="single" w:sz="4" w:space="0" w:color="BFBFBF"/>
              <w:right w:val="nil"/>
            </w:tcBorders>
            <w:shd w:val="clear" w:color="auto" w:fill="DEEAF6" w:themeFill="accent5" w:themeFillTint="33"/>
            <w:noWrap/>
            <w:hideMark/>
          </w:tcPr>
          <w:p w14:paraId="7DB1F1FD" w14:textId="5C68828D"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Ruslan </w:t>
            </w:r>
            <w:proofErr w:type="spellStart"/>
            <w:r w:rsidRPr="009B7CD3">
              <w:rPr>
                <w:rFonts w:ascii="Times New Roman" w:eastAsia="Times New Roman" w:hAnsi="Times New Roman" w:cs="Times New Roman"/>
                <w:color w:val="000000"/>
                <w:sz w:val="18"/>
                <w:szCs w:val="18"/>
                <w:lang w:eastAsia="en-GB"/>
              </w:rPr>
              <w:t>yakovenko</w:t>
            </w:r>
            <w:proofErr w:type="spellEnd"/>
            <w:r w:rsidRPr="009B7CD3">
              <w:rPr>
                <w:rFonts w:ascii="Times New Roman" w:eastAsia="Times New Roman" w:hAnsi="Times New Roman" w:cs="Times New Roman"/>
                <w:color w:val="000000"/>
                <w:sz w:val="18"/>
                <w:szCs w:val="18"/>
                <w:lang w:eastAsia="en-GB"/>
              </w:rPr>
              <w:t xml:space="preserve"> v. Ukraine</w:t>
            </w:r>
          </w:p>
        </w:tc>
        <w:tc>
          <w:tcPr>
            <w:tcW w:w="1347" w:type="pct"/>
            <w:tcBorders>
              <w:top w:val="nil"/>
              <w:left w:val="nil"/>
              <w:bottom w:val="single" w:sz="4" w:space="0" w:color="BFBFBF"/>
              <w:right w:val="nil"/>
            </w:tcBorders>
            <w:shd w:val="clear" w:color="auto" w:fill="DEEAF6" w:themeFill="accent5" w:themeFillTint="33"/>
            <w:noWrap/>
            <w:hideMark/>
          </w:tcPr>
          <w:p w14:paraId="2E9D7CE2" w14:textId="36720FD2" w:rsidR="00D6161C" w:rsidRPr="009B7CD3" w:rsidRDefault="00047B7B" w:rsidP="009B7CD3">
            <w:pPr>
              <w:spacing w:after="0" w:line="360" w:lineRule="auto"/>
              <w:jc w:val="both"/>
              <w:rPr>
                <w:rFonts w:ascii="Times New Roman" w:eastAsia="Times New Roman" w:hAnsi="Times New Roman" w:cs="Times New Roman"/>
                <w:color w:val="000000"/>
                <w:sz w:val="18"/>
                <w:szCs w:val="18"/>
                <w:lang w:eastAsia="en-GB"/>
              </w:rPr>
            </w:pPr>
            <w:r w:rsidRPr="009B7CD3">
              <w:rPr>
                <w:rFonts w:ascii="Times New Roman" w:eastAsia="Times New Roman" w:hAnsi="Times New Roman" w:cs="Times New Roman"/>
                <w:color w:val="000000"/>
                <w:sz w:val="18"/>
                <w:szCs w:val="18"/>
                <w:lang w:eastAsia="en-GB"/>
              </w:rPr>
              <w:t xml:space="preserve"> Van der </w:t>
            </w:r>
            <w:proofErr w:type="spellStart"/>
            <w:r w:rsidRPr="009B7CD3">
              <w:rPr>
                <w:rFonts w:ascii="Times New Roman" w:eastAsia="Times New Roman" w:hAnsi="Times New Roman" w:cs="Times New Roman"/>
                <w:color w:val="000000"/>
                <w:sz w:val="18"/>
                <w:szCs w:val="18"/>
                <w:lang w:eastAsia="en-GB"/>
              </w:rPr>
              <w:t>heijden</w:t>
            </w:r>
            <w:proofErr w:type="spellEnd"/>
            <w:r w:rsidRPr="009B7CD3">
              <w:rPr>
                <w:rFonts w:ascii="Times New Roman" w:eastAsia="Times New Roman" w:hAnsi="Times New Roman" w:cs="Times New Roman"/>
                <w:color w:val="000000"/>
                <w:sz w:val="18"/>
                <w:szCs w:val="18"/>
                <w:lang w:eastAsia="en-GB"/>
              </w:rPr>
              <w:t xml:space="preserve"> v. The </w:t>
            </w:r>
            <w:proofErr w:type="spellStart"/>
            <w:r w:rsidRPr="009B7CD3">
              <w:rPr>
                <w:rFonts w:ascii="Times New Roman" w:eastAsia="Times New Roman" w:hAnsi="Times New Roman" w:cs="Times New Roman"/>
                <w:color w:val="000000"/>
                <w:sz w:val="18"/>
                <w:szCs w:val="18"/>
                <w:lang w:eastAsia="en-GB"/>
              </w:rPr>
              <w:t>netherlands</w:t>
            </w:r>
            <w:proofErr w:type="spellEnd"/>
          </w:p>
        </w:tc>
      </w:tr>
    </w:tbl>
    <w:p w14:paraId="5F85E72C" w14:textId="77777777" w:rsidR="006A16A6" w:rsidRPr="009B7CD3" w:rsidRDefault="006A16A6" w:rsidP="009B7CD3">
      <w:pPr>
        <w:spacing w:line="360" w:lineRule="auto"/>
        <w:jc w:val="both"/>
        <w:rPr>
          <w:rFonts w:ascii="Times New Roman" w:hAnsi="Times New Roman" w:cs="Times New Roman"/>
        </w:rPr>
      </w:pPr>
    </w:p>
    <w:p w14:paraId="207E30FC" w14:textId="153992DC" w:rsidR="001659CC" w:rsidRPr="009B7CD3" w:rsidRDefault="00FF70F3" w:rsidP="009B7CD3">
      <w:pPr>
        <w:pStyle w:val="Overskrift2"/>
        <w:spacing w:line="360" w:lineRule="auto"/>
        <w:jc w:val="both"/>
        <w:rPr>
          <w:rFonts w:ascii="Times New Roman" w:hAnsi="Times New Roman" w:cs="Times New Roman"/>
        </w:rPr>
      </w:pPr>
      <w:r w:rsidRPr="009B7CD3">
        <w:rPr>
          <w:rFonts w:ascii="Times New Roman" w:hAnsi="Times New Roman" w:cs="Times New Roman"/>
        </w:rPr>
        <w:lastRenderedPageBreak/>
        <w:t>On the coding of the 202-sample</w:t>
      </w:r>
    </w:p>
    <w:p w14:paraId="7C5EC801" w14:textId="58880521" w:rsidR="00FF70F3" w:rsidRPr="009B7CD3" w:rsidRDefault="00FF70F3" w:rsidP="009B7CD3">
      <w:pPr>
        <w:spacing w:line="360" w:lineRule="auto"/>
        <w:jc w:val="both"/>
        <w:rPr>
          <w:rFonts w:ascii="Times New Roman" w:hAnsi="Times New Roman" w:cs="Times New Roman"/>
        </w:rPr>
      </w:pPr>
      <w:r w:rsidRPr="009B7CD3">
        <w:rPr>
          <w:rFonts w:ascii="Times New Roman" w:hAnsi="Times New Roman" w:cs="Times New Roman"/>
        </w:rPr>
        <w:t xml:space="preserve">The coding of the 202 cases took place </w:t>
      </w:r>
      <w:r w:rsidR="00B42F6E" w:rsidRPr="009B7CD3">
        <w:rPr>
          <w:rFonts w:ascii="Times New Roman" w:hAnsi="Times New Roman" w:cs="Times New Roman"/>
        </w:rPr>
        <w:t>using the qualitative analysis program MAXQDA</w:t>
      </w:r>
      <w:r w:rsidR="00F324E3" w:rsidRPr="009B7CD3">
        <w:rPr>
          <w:rFonts w:ascii="Times New Roman" w:hAnsi="Times New Roman" w:cs="Times New Roman"/>
        </w:rPr>
        <w:t xml:space="preserve">, and then transferred to Excel and R for statistical analysis. </w:t>
      </w:r>
    </w:p>
    <w:p w14:paraId="319CCF52" w14:textId="0FBFCC8E" w:rsidR="0079047F" w:rsidRPr="009B7CD3" w:rsidRDefault="0079047F" w:rsidP="009B7CD3">
      <w:pPr>
        <w:pStyle w:val="Overskrift3"/>
        <w:spacing w:line="360" w:lineRule="auto"/>
        <w:jc w:val="both"/>
        <w:rPr>
          <w:rFonts w:ascii="Times New Roman" w:hAnsi="Times New Roman" w:cs="Times New Roman"/>
        </w:rPr>
      </w:pPr>
      <w:r w:rsidRPr="009B7CD3">
        <w:rPr>
          <w:rFonts w:ascii="Times New Roman" w:hAnsi="Times New Roman" w:cs="Times New Roman"/>
        </w:rPr>
        <w:t>Narrow, Wide or just the Margin</w:t>
      </w:r>
    </w:p>
    <w:p w14:paraId="3D55A1AA" w14:textId="6B3611D4" w:rsidR="00225F74" w:rsidRPr="009B7CD3" w:rsidRDefault="00225F74" w:rsidP="009B7CD3">
      <w:pPr>
        <w:spacing w:line="360" w:lineRule="auto"/>
        <w:jc w:val="both"/>
        <w:rPr>
          <w:rFonts w:ascii="Times New Roman" w:hAnsi="Times New Roman" w:cs="Times New Roman"/>
        </w:rPr>
      </w:pPr>
      <w:r w:rsidRPr="009B7CD3">
        <w:rPr>
          <w:rFonts w:ascii="Times New Roman" w:hAnsi="Times New Roman" w:cs="Times New Roman"/>
        </w:rPr>
        <w:t xml:space="preserve">For the </w:t>
      </w:r>
      <w:r w:rsidR="00031F1A" w:rsidRPr="009B7CD3">
        <w:rPr>
          <w:rFonts w:ascii="Times New Roman" w:hAnsi="Times New Roman" w:cs="Times New Roman"/>
        </w:rPr>
        <w:t xml:space="preserve">initial coding of whether a margin mentioned was wide or narrow I </w:t>
      </w:r>
      <w:r w:rsidR="00130C10" w:rsidRPr="009B7CD3">
        <w:rPr>
          <w:rFonts w:ascii="Times New Roman" w:hAnsi="Times New Roman" w:cs="Times New Roman"/>
        </w:rPr>
        <w:t>relied on the following terminology</w:t>
      </w:r>
      <w:r w:rsidR="005E6BAD" w:rsidRPr="009B7CD3">
        <w:rPr>
          <w:rFonts w:ascii="Times New Roman" w:hAnsi="Times New Roman" w:cs="Times New Roman"/>
        </w:rPr>
        <w:t xml:space="preserve"> for automatic coding, but with every code checked qualitatively</w:t>
      </w:r>
      <w:r w:rsidR="00130C10" w:rsidRPr="009B7CD3">
        <w:rPr>
          <w:rFonts w:ascii="Times New Roman" w:hAnsi="Times New Roman" w:cs="Times New Roman"/>
        </w:rPr>
        <w:t xml:space="preserve"> to ensure that notions such as “not a wide margin” were not coded </w:t>
      </w:r>
      <w:r w:rsidR="005D4415" w:rsidRPr="009B7CD3">
        <w:rPr>
          <w:rFonts w:ascii="Times New Roman" w:hAnsi="Times New Roman" w:cs="Times New Roman"/>
        </w:rPr>
        <w:t xml:space="preserve">as ‘wide’ but rather as ‘narrow’ margins. </w:t>
      </w:r>
    </w:p>
    <w:tbl>
      <w:tblPr>
        <w:tblW w:w="906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70" w:type="dxa"/>
          <w:right w:w="70" w:type="dxa"/>
        </w:tblCellMar>
        <w:tblLook w:val="04A0" w:firstRow="1" w:lastRow="0" w:firstColumn="1" w:lastColumn="0" w:noHBand="0" w:noVBand="1"/>
      </w:tblPr>
      <w:tblGrid>
        <w:gridCol w:w="1100"/>
        <w:gridCol w:w="7967"/>
      </w:tblGrid>
      <w:tr w:rsidR="002675F4" w:rsidRPr="009B7CD3" w14:paraId="42F497EE" w14:textId="77777777" w:rsidTr="0057329E">
        <w:trPr>
          <w:trHeight w:val="193"/>
        </w:trPr>
        <w:tc>
          <w:tcPr>
            <w:tcW w:w="1100" w:type="dxa"/>
            <w:shd w:val="clear" w:color="000000" w:fill="E7E6E6"/>
            <w:noWrap/>
            <w:vAlign w:val="bottom"/>
            <w:hideMark/>
          </w:tcPr>
          <w:p w14:paraId="40332C28" w14:textId="77777777" w:rsidR="002675F4" w:rsidRPr="009B7CD3" w:rsidRDefault="002675F4" w:rsidP="009B7CD3">
            <w:pPr>
              <w:spacing w:line="360" w:lineRule="auto"/>
              <w:jc w:val="both"/>
              <w:rPr>
                <w:rFonts w:ascii="Times New Roman" w:eastAsia="Times New Roman" w:hAnsi="Times New Roman" w:cs="Times New Roman"/>
                <w:color w:val="000000"/>
                <w:lang w:eastAsia="da-DK"/>
              </w:rPr>
            </w:pPr>
            <w:r w:rsidRPr="009B7CD3">
              <w:rPr>
                <w:rFonts w:ascii="Times New Roman" w:eastAsia="Times New Roman" w:hAnsi="Times New Roman" w:cs="Times New Roman"/>
                <w:color w:val="000000"/>
                <w:lang w:eastAsia="da-DK"/>
              </w:rPr>
              <w:t>variable</w:t>
            </w:r>
          </w:p>
        </w:tc>
        <w:tc>
          <w:tcPr>
            <w:tcW w:w="7967" w:type="dxa"/>
            <w:shd w:val="clear" w:color="000000" w:fill="E7E6E6"/>
            <w:vAlign w:val="bottom"/>
            <w:hideMark/>
          </w:tcPr>
          <w:p w14:paraId="0631E396" w14:textId="77777777" w:rsidR="002675F4" w:rsidRPr="009B7CD3" w:rsidRDefault="002675F4" w:rsidP="009B7CD3">
            <w:pPr>
              <w:spacing w:line="360" w:lineRule="auto"/>
              <w:jc w:val="both"/>
              <w:rPr>
                <w:rFonts w:ascii="Times New Roman" w:eastAsia="Times New Roman" w:hAnsi="Times New Roman" w:cs="Times New Roman"/>
                <w:color w:val="000000"/>
                <w:lang w:eastAsia="da-DK"/>
              </w:rPr>
            </w:pPr>
            <w:r w:rsidRPr="009B7CD3">
              <w:rPr>
                <w:rFonts w:ascii="Times New Roman" w:eastAsia="Times New Roman" w:hAnsi="Times New Roman" w:cs="Times New Roman"/>
                <w:color w:val="000000"/>
                <w:lang w:eastAsia="da-DK"/>
              </w:rPr>
              <w:t>what it includes - OR variables</w:t>
            </w:r>
          </w:p>
        </w:tc>
      </w:tr>
      <w:tr w:rsidR="002675F4" w:rsidRPr="009B7CD3" w14:paraId="205FB12A" w14:textId="77777777" w:rsidTr="0057329E">
        <w:trPr>
          <w:trHeight w:val="193"/>
        </w:trPr>
        <w:tc>
          <w:tcPr>
            <w:tcW w:w="1100" w:type="dxa"/>
            <w:shd w:val="clear" w:color="auto" w:fill="auto"/>
            <w:noWrap/>
            <w:vAlign w:val="bottom"/>
            <w:hideMark/>
          </w:tcPr>
          <w:p w14:paraId="3C756645" w14:textId="77777777" w:rsidR="002675F4" w:rsidRPr="009B7CD3" w:rsidRDefault="002675F4" w:rsidP="009B7CD3">
            <w:pPr>
              <w:spacing w:line="360" w:lineRule="auto"/>
              <w:jc w:val="both"/>
              <w:rPr>
                <w:rFonts w:ascii="Times New Roman" w:eastAsia="Times New Roman" w:hAnsi="Times New Roman" w:cs="Times New Roman"/>
                <w:color w:val="000000"/>
                <w:lang w:eastAsia="da-DK"/>
              </w:rPr>
            </w:pPr>
            <w:r w:rsidRPr="009B7CD3">
              <w:rPr>
                <w:rFonts w:ascii="Times New Roman" w:eastAsia="Times New Roman" w:hAnsi="Times New Roman" w:cs="Times New Roman"/>
                <w:color w:val="000000"/>
                <w:lang w:eastAsia="da-DK"/>
              </w:rPr>
              <w:t>All Margin</w:t>
            </w:r>
          </w:p>
        </w:tc>
        <w:tc>
          <w:tcPr>
            <w:tcW w:w="7967" w:type="dxa"/>
            <w:shd w:val="clear" w:color="auto" w:fill="auto"/>
            <w:vAlign w:val="bottom"/>
            <w:hideMark/>
          </w:tcPr>
          <w:p w14:paraId="7EE1329D" w14:textId="77777777" w:rsidR="002675F4" w:rsidRPr="009B7CD3" w:rsidRDefault="002675F4" w:rsidP="009B7CD3">
            <w:pPr>
              <w:spacing w:line="360" w:lineRule="auto"/>
              <w:jc w:val="both"/>
              <w:rPr>
                <w:rFonts w:ascii="Times New Roman" w:eastAsia="Times New Roman" w:hAnsi="Times New Roman" w:cs="Times New Roman"/>
                <w:color w:val="000000"/>
                <w:lang w:eastAsia="da-DK"/>
              </w:rPr>
            </w:pPr>
            <w:r w:rsidRPr="009B7CD3">
              <w:rPr>
                <w:rFonts w:ascii="Times New Roman" w:eastAsia="Times New Roman" w:hAnsi="Times New Roman" w:cs="Times New Roman"/>
                <w:color w:val="000000"/>
                <w:lang w:eastAsia="da-DK"/>
              </w:rPr>
              <w:t>margin of appreciation, margin of discretion, certain margin, + all search terms related to wide or narrow margin</w:t>
            </w:r>
          </w:p>
        </w:tc>
      </w:tr>
      <w:tr w:rsidR="002675F4" w:rsidRPr="009B7CD3" w14:paraId="050ADD60" w14:textId="77777777" w:rsidTr="0057329E">
        <w:trPr>
          <w:trHeight w:val="390"/>
        </w:trPr>
        <w:tc>
          <w:tcPr>
            <w:tcW w:w="1100" w:type="dxa"/>
            <w:shd w:val="clear" w:color="auto" w:fill="auto"/>
            <w:noWrap/>
            <w:vAlign w:val="bottom"/>
            <w:hideMark/>
          </w:tcPr>
          <w:p w14:paraId="121C631D" w14:textId="77777777" w:rsidR="002675F4" w:rsidRPr="009B7CD3" w:rsidRDefault="002675F4" w:rsidP="009B7CD3">
            <w:pPr>
              <w:spacing w:line="360" w:lineRule="auto"/>
              <w:jc w:val="both"/>
              <w:rPr>
                <w:rFonts w:ascii="Times New Roman" w:eastAsia="Times New Roman" w:hAnsi="Times New Roman" w:cs="Times New Roman"/>
                <w:color w:val="000000"/>
                <w:lang w:eastAsia="da-DK"/>
              </w:rPr>
            </w:pPr>
            <w:r w:rsidRPr="009B7CD3">
              <w:rPr>
                <w:rFonts w:ascii="Times New Roman" w:eastAsia="Times New Roman" w:hAnsi="Times New Roman" w:cs="Times New Roman"/>
                <w:color w:val="000000"/>
                <w:lang w:eastAsia="da-DK"/>
              </w:rPr>
              <w:t>Wide margin</w:t>
            </w:r>
          </w:p>
        </w:tc>
        <w:tc>
          <w:tcPr>
            <w:tcW w:w="7967" w:type="dxa"/>
            <w:shd w:val="clear" w:color="auto" w:fill="auto"/>
            <w:vAlign w:val="bottom"/>
            <w:hideMark/>
          </w:tcPr>
          <w:p w14:paraId="6613149E" w14:textId="77777777" w:rsidR="002675F4" w:rsidRPr="009B7CD3" w:rsidRDefault="002675F4" w:rsidP="009B7CD3">
            <w:pPr>
              <w:spacing w:line="360" w:lineRule="auto"/>
              <w:jc w:val="both"/>
              <w:rPr>
                <w:rFonts w:ascii="Times New Roman" w:eastAsia="Times New Roman" w:hAnsi="Times New Roman" w:cs="Times New Roman"/>
                <w:color w:val="000000"/>
                <w:lang w:eastAsia="da-DK"/>
              </w:rPr>
            </w:pPr>
            <w:r w:rsidRPr="009B7CD3">
              <w:rPr>
                <w:rFonts w:ascii="Times New Roman" w:eastAsia="Times New Roman" w:hAnsi="Times New Roman" w:cs="Times New Roman"/>
                <w:color w:val="000000"/>
                <w:lang w:eastAsia="da-DK"/>
              </w:rPr>
              <w:t>Wide margin, wider margin, margin should be wide, margin will be wide, margin is wide, margin wide, margin wider, wide discretion</w:t>
            </w:r>
          </w:p>
        </w:tc>
      </w:tr>
      <w:tr w:rsidR="002675F4" w:rsidRPr="009B7CD3" w14:paraId="5B95ACDC" w14:textId="77777777" w:rsidTr="0057329E">
        <w:trPr>
          <w:trHeight w:val="390"/>
        </w:trPr>
        <w:tc>
          <w:tcPr>
            <w:tcW w:w="1100" w:type="dxa"/>
            <w:shd w:val="clear" w:color="auto" w:fill="auto"/>
            <w:noWrap/>
            <w:vAlign w:val="bottom"/>
            <w:hideMark/>
          </w:tcPr>
          <w:p w14:paraId="0CDB558A" w14:textId="77777777" w:rsidR="002675F4" w:rsidRPr="009B7CD3" w:rsidRDefault="002675F4" w:rsidP="009B7CD3">
            <w:pPr>
              <w:spacing w:line="360" w:lineRule="auto"/>
              <w:jc w:val="both"/>
              <w:rPr>
                <w:rFonts w:ascii="Times New Roman" w:eastAsia="Times New Roman" w:hAnsi="Times New Roman" w:cs="Times New Roman"/>
                <w:color w:val="000000"/>
                <w:lang w:eastAsia="da-DK"/>
              </w:rPr>
            </w:pPr>
            <w:r w:rsidRPr="009B7CD3">
              <w:rPr>
                <w:rFonts w:ascii="Times New Roman" w:eastAsia="Times New Roman" w:hAnsi="Times New Roman" w:cs="Times New Roman"/>
                <w:color w:val="000000"/>
                <w:lang w:eastAsia="da-DK"/>
              </w:rPr>
              <w:t>Narrow margin</w:t>
            </w:r>
          </w:p>
        </w:tc>
        <w:tc>
          <w:tcPr>
            <w:tcW w:w="7967" w:type="dxa"/>
            <w:shd w:val="clear" w:color="auto" w:fill="auto"/>
            <w:vAlign w:val="bottom"/>
            <w:hideMark/>
          </w:tcPr>
          <w:p w14:paraId="556D424F" w14:textId="77777777" w:rsidR="002675F4" w:rsidRPr="009B7CD3" w:rsidRDefault="002675F4" w:rsidP="009B7CD3">
            <w:pPr>
              <w:spacing w:line="360" w:lineRule="auto"/>
              <w:jc w:val="both"/>
              <w:rPr>
                <w:rFonts w:ascii="Times New Roman" w:eastAsia="Times New Roman" w:hAnsi="Times New Roman" w:cs="Times New Roman"/>
                <w:color w:val="000000"/>
                <w:lang w:eastAsia="da-DK"/>
              </w:rPr>
            </w:pPr>
            <w:r w:rsidRPr="009B7CD3">
              <w:rPr>
                <w:rFonts w:ascii="Times New Roman" w:eastAsia="Times New Roman" w:hAnsi="Times New Roman" w:cs="Times New Roman"/>
                <w:color w:val="000000"/>
                <w:lang w:eastAsia="da-DK"/>
              </w:rPr>
              <w:t>narrow margin, narrower margin, reduced margin, margin should be narrow, margin should be reduced, margin will be narrow, margin will be reduced, margin is narrow, margin is reduced, margin narrow, margin narrower</w:t>
            </w:r>
          </w:p>
        </w:tc>
      </w:tr>
    </w:tbl>
    <w:p w14:paraId="70AD94CD" w14:textId="389AD0A9" w:rsidR="002D2E0C" w:rsidRPr="009B7CD3" w:rsidRDefault="002D2E0C" w:rsidP="009B7CD3">
      <w:pPr>
        <w:spacing w:line="360" w:lineRule="auto"/>
        <w:jc w:val="both"/>
        <w:rPr>
          <w:rFonts w:ascii="Times New Roman" w:hAnsi="Times New Roman" w:cs="Times New Roman"/>
        </w:rPr>
      </w:pPr>
      <w:proofErr w:type="gramStart"/>
      <w:r w:rsidRPr="009B7CD3">
        <w:rPr>
          <w:rFonts w:ascii="Times New Roman" w:hAnsi="Times New Roman" w:cs="Times New Roman"/>
        </w:rPr>
        <w:t>The vast majority of</w:t>
      </w:r>
      <w:proofErr w:type="gramEnd"/>
      <w:r w:rsidRPr="009B7CD3">
        <w:rPr>
          <w:rFonts w:ascii="Times New Roman" w:hAnsi="Times New Roman" w:cs="Times New Roman"/>
        </w:rPr>
        <w:t xml:space="preserve"> margin-mentions did not contain any information on its width, and the use of the ’narrow’ margin terminology was particularly rare. </w:t>
      </w:r>
    </w:p>
    <w:p w14:paraId="18A9B1CE" w14:textId="57B32658" w:rsidR="00E82232" w:rsidRPr="009B7CD3" w:rsidRDefault="00F324E3" w:rsidP="009B7CD3">
      <w:pPr>
        <w:spacing w:line="360" w:lineRule="auto"/>
        <w:jc w:val="both"/>
        <w:rPr>
          <w:rFonts w:ascii="Times New Roman" w:hAnsi="Times New Roman" w:cs="Times New Roman"/>
        </w:rPr>
      </w:pPr>
      <w:r w:rsidRPr="009B7CD3">
        <w:rPr>
          <w:rFonts w:ascii="Times New Roman" w:hAnsi="Times New Roman" w:cs="Times New Roman"/>
          <w:noProof/>
        </w:rPr>
        <w:drawing>
          <wp:inline distT="0" distB="0" distL="0" distR="0" wp14:anchorId="61A5CABB" wp14:editId="13551232">
            <wp:extent cx="5441950" cy="1954327"/>
            <wp:effectExtent l="0" t="0" r="6350" b="825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84" t="16319" r="2172" b="5599"/>
                    <a:stretch/>
                  </pic:blipFill>
                  <pic:spPr bwMode="auto">
                    <a:xfrm>
                      <a:off x="0" y="0"/>
                      <a:ext cx="5464440" cy="1962404"/>
                    </a:xfrm>
                    <a:prstGeom prst="rect">
                      <a:avLst/>
                    </a:prstGeom>
                    <a:ln>
                      <a:noFill/>
                    </a:ln>
                    <a:extLst>
                      <a:ext uri="{53640926-AAD7-44D8-BBD7-CCE9431645EC}">
                        <a14:shadowObscured xmlns:a14="http://schemas.microsoft.com/office/drawing/2010/main"/>
                      </a:ext>
                    </a:extLst>
                  </pic:spPr>
                </pic:pic>
              </a:graphicData>
            </a:graphic>
          </wp:inline>
        </w:drawing>
      </w:r>
    </w:p>
    <w:p w14:paraId="4DBE2485" w14:textId="409DEBDB" w:rsidR="00E82232" w:rsidRPr="009B7CD3" w:rsidRDefault="00E82232" w:rsidP="009B7CD3">
      <w:pPr>
        <w:spacing w:line="360" w:lineRule="auto"/>
        <w:jc w:val="both"/>
        <w:rPr>
          <w:rFonts w:ascii="Times New Roman" w:hAnsi="Times New Roman" w:cs="Times New Roman"/>
        </w:rPr>
      </w:pPr>
      <w:r w:rsidRPr="009B7CD3">
        <w:rPr>
          <w:rFonts w:ascii="Times New Roman" w:hAnsi="Times New Roman" w:cs="Times New Roman"/>
        </w:rPr>
        <w:t xml:space="preserve">There were big differences in how often the margin was used in any one case. On average a margin of appreciation case mentions the doctrine 5,2 times, but there are notable outliers such as </w:t>
      </w:r>
      <w:r w:rsidRPr="009B7CD3">
        <w:rPr>
          <w:rFonts w:ascii="Times New Roman" w:hAnsi="Times New Roman" w:cs="Times New Roman"/>
          <w:i/>
          <w:iCs/>
        </w:rPr>
        <w:t>Correia de Matos v Portugal</w:t>
      </w:r>
      <w:r w:rsidRPr="009B7CD3">
        <w:rPr>
          <w:rFonts w:ascii="Times New Roman" w:hAnsi="Times New Roman" w:cs="Times New Roman"/>
        </w:rPr>
        <w:t xml:space="preserve"> where the doctrine is mentioned no less than 50 times. </w:t>
      </w:r>
    </w:p>
    <w:p w14:paraId="4BE5C94D" w14:textId="758339BD" w:rsidR="007B082A" w:rsidRPr="009B7CD3" w:rsidRDefault="00E82232" w:rsidP="009B7CD3">
      <w:pPr>
        <w:spacing w:line="360" w:lineRule="auto"/>
        <w:jc w:val="both"/>
        <w:rPr>
          <w:rFonts w:ascii="Times New Roman" w:hAnsi="Times New Roman" w:cs="Times New Roman"/>
        </w:rPr>
      </w:pPr>
      <w:r w:rsidRPr="009B7CD3">
        <w:rPr>
          <w:rFonts w:ascii="Times New Roman" w:hAnsi="Times New Roman" w:cs="Times New Roman"/>
          <w:noProof/>
        </w:rPr>
        <w:lastRenderedPageBreak/>
        <w:drawing>
          <wp:inline distT="0" distB="0" distL="0" distR="0" wp14:anchorId="464B0876" wp14:editId="190A6ED2">
            <wp:extent cx="5790903" cy="2476500"/>
            <wp:effectExtent l="0" t="0" r="63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8134" cy="2483869"/>
                    </a:xfrm>
                    <a:prstGeom prst="rect">
                      <a:avLst/>
                    </a:prstGeom>
                  </pic:spPr>
                </pic:pic>
              </a:graphicData>
            </a:graphic>
          </wp:inline>
        </w:drawing>
      </w:r>
    </w:p>
    <w:p w14:paraId="106F7203" w14:textId="77777777" w:rsidR="00E92183" w:rsidRPr="009B7CD3" w:rsidRDefault="00E92183" w:rsidP="009B7CD3">
      <w:pPr>
        <w:pStyle w:val="Overskrift3"/>
        <w:spacing w:line="360" w:lineRule="auto"/>
        <w:jc w:val="both"/>
        <w:rPr>
          <w:rFonts w:ascii="Times New Roman" w:hAnsi="Times New Roman" w:cs="Times New Roman"/>
        </w:rPr>
      </w:pPr>
    </w:p>
    <w:p w14:paraId="779AEB0C" w14:textId="5A4B28F7" w:rsidR="00A17F05" w:rsidRPr="009B7CD3" w:rsidRDefault="0079047F" w:rsidP="009B7CD3">
      <w:pPr>
        <w:pStyle w:val="Overskrift3"/>
        <w:spacing w:line="360" w:lineRule="auto"/>
        <w:jc w:val="both"/>
        <w:rPr>
          <w:rFonts w:ascii="Times New Roman" w:hAnsi="Times New Roman" w:cs="Times New Roman"/>
        </w:rPr>
      </w:pPr>
      <w:r w:rsidRPr="009B7CD3">
        <w:rPr>
          <w:rFonts w:ascii="Times New Roman" w:hAnsi="Times New Roman" w:cs="Times New Roman"/>
        </w:rPr>
        <w:t xml:space="preserve">Who is using the </w:t>
      </w:r>
      <w:proofErr w:type="gramStart"/>
      <w:r w:rsidRPr="009B7CD3">
        <w:rPr>
          <w:rFonts w:ascii="Times New Roman" w:hAnsi="Times New Roman" w:cs="Times New Roman"/>
        </w:rPr>
        <w:t>margin</w:t>
      </w:r>
      <w:proofErr w:type="gramEnd"/>
    </w:p>
    <w:p w14:paraId="2C8D5959" w14:textId="77777777" w:rsidR="006767EE" w:rsidRDefault="002D2E0C" w:rsidP="009B7CD3">
      <w:pPr>
        <w:spacing w:line="360" w:lineRule="auto"/>
        <w:jc w:val="both"/>
        <w:rPr>
          <w:rFonts w:ascii="Times New Roman" w:hAnsi="Times New Roman" w:cs="Times New Roman"/>
          <w:i/>
          <w:noProof/>
        </w:rPr>
      </w:pPr>
      <w:r w:rsidRPr="009B7CD3">
        <w:rPr>
          <w:rFonts w:ascii="Times New Roman" w:hAnsi="Times New Roman" w:cs="Times New Roman"/>
        </w:rPr>
        <w:t>For the coding of which actors use the margin, th</w:t>
      </w:r>
      <w:r w:rsidR="00F85FDF" w:rsidRPr="009B7CD3">
        <w:rPr>
          <w:rFonts w:ascii="Times New Roman" w:hAnsi="Times New Roman" w:cs="Times New Roman"/>
        </w:rPr>
        <w:t xml:space="preserve">is was done by hand </w:t>
      </w:r>
      <w:r w:rsidR="00CE3BEF" w:rsidRPr="009B7CD3">
        <w:rPr>
          <w:rFonts w:ascii="Times New Roman" w:hAnsi="Times New Roman" w:cs="Times New Roman"/>
        </w:rPr>
        <w:t>using the headlines</w:t>
      </w:r>
      <w:r w:rsidR="00C5355E" w:rsidRPr="009B7CD3">
        <w:rPr>
          <w:rFonts w:ascii="Times New Roman" w:hAnsi="Times New Roman" w:cs="Times New Roman"/>
        </w:rPr>
        <w:t xml:space="preserve"> in the judgments</w:t>
      </w:r>
      <w:r w:rsidR="00CE3BEF" w:rsidRPr="009B7CD3">
        <w:rPr>
          <w:rFonts w:ascii="Times New Roman" w:hAnsi="Times New Roman" w:cs="Times New Roman"/>
        </w:rPr>
        <w:t xml:space="preserve"> as an indicato</w:t>
      </w:r>
      <w:r w:rsidR="00104FF2" w:rsidRPr="009B7CD3">
        <w:rPr>
          <w:rFonts w:ascii="Times New Roman" w:hAnsi="Times New Roman" w:cs="Times New Roman"/>
        </w:rPr>
        <w:t xml:space="preserve">r since in a few cases the </w:t>
      </w:r>
      <w:r w:rsidR="00E66B8B" w:rsidRPr="009B7CD3">
        <w:rPr>
          <w:rFonts w:ascii="Times New Roman" w:hAnsi="Times New Roman" w:cs="Times New Roman"/>
        </w:rPr>
        <w:t>submissions by the applicants were reported under the same headlines as the submissions by the respondent state</w:t>
      </w:r>
      <w:r w:rsidR="002D4A8E" w:rsidRPr="009B7CD3">
        <w:rPr>
          <w:rFonts w:ascii="Times New Roman" w:hAnsi="Times New Roman" w:cs="Times New Roman"/>
        </w:rPr>
        <w:t xml:space="preserve">, making automation unreliable. </w:t>
      </w:r>
      <w:r w:rsidR="00654736" w:rsidRPr="009B7CD3">
        <w:rPr>
          <w:rFonts w:ascii="Times New Roman" w:hAnsi="Times New Roman" w:cs="Times New Roman"/>
        </w:rPr>
        <w:t xml:space="preserve">For example: </w:t>
      </w:r>
      <w:r w:rsidR="00654736" w:rsidRPr="009B7CD3">
        <w:rPr>
          <w:rFonts w:ascii="Times New Roman" w:hAnsi="Times New Roman" w:cs="Times New Roman"/>
        </w:rPr>
        <w:fldChar w:fldCharType="begin"/>
      </w:r>
      <w:r w:rsidR="00654736" w:rsidRPr="009B7CD3">
        <w:rPr>
          <w:rFonts w:ascii="Times New Roman" w:hAnsi="Times New Roman" w:cs="Times New Roman"/>
        </w:rPr>
        <w:instrText xml:space="preserve"> ADDIN EN.CITE &lt;EndNote&gt;&lt;Cite&gt;&lt;Year&gt;2013&lt;/Year&gt;&lt;RecNum&gt;1119&lt;/RecNum&gt;&lt;record&gt;&lt;rec-number&gt;1119&lt;/rec-number&gt;&lt;foreign-keys&gt;&lt;key app="EN" db-id="ar25ddw9azerp9e55w4x9rrkwwtx00w92xar" timestamp="1588951143"&gt;1119&lt;/key&gt;&lt;/foreign-keys&gt;&lt;ref-type name="Case"&gt;7&lt;/ref-type&gt;&lt;contributors&gt;&lt;/contributors&gt;&lt;titles&gt;&lt;title&gt;Österreichische Vereinigung zur Erhaltung, Stärkung und Schaffung v. Austria&lt;/title&gt;&lt;/titles&gt;&lt;number&gt;no. 39534/07&lt;/number&gt;&lt;dates&gt;&lt;year&gt;2013&lt;/year&gt;&lt;/dates&gt;&lt;publisher&gt;European Court of Human Rights&lt;/publisher&gt;&lt;urls&gt;&lt;/urls&gt;&lt;/record&gt;&lt;/Cite&gt;&lt;/EndNote&gt;</w:instrText>
      </w:r>
      <w:r w:rsidR="00B8406E">
        <w:rPr>
          <w:rFonts w:ascii="Times New Roman" w:hAnsi="Times New Roman" w:cs="Times New Roman"/>
        </w:rPr>
        <w:fldChar w:fldCharType="separate"/>
      </w:r>
      <w:r w:rsidR="00654736" w:rsidRPr="009B7CD3">
        <w:rPr>
          <w:rFonts w:ascii="Times New Roman" w:hAnsi="Times New Roman" w:cs="Times New Roman"/>
        </w:rPr>
        <w:fldChar w:fldCharType="end"/>
      </w:r>
      <w:r w:rsidR="00C5355E" w:rsidRPr="009B7CD3">
        <w:rPr>
          <w:rFonts w:ascii="Times New Roman" w:hAnsi="Times New Roman" w:cs="Times New Roman"/>
        </w:rPr>
        <w:t xml:space="preserve"> </w:t>
      </w:r>
      <w:r w:rsidR="006A16A6" w:rsidRPr="009B7CD3">
        <w:rPr>
          <w:rFonts w:ascii="Times New Roman" w:hAnsi="Times New Roman" w:cs="Times New Roman"/>
          <w:i/>
          <w:noProof/>
        </w:rPr>
        <w:t xml:space="preserve">Österreichische vereinigung zur erhaltung, stärkung und schaffung v. Austria. </w:t>
      </w:r>
    </w:p>
    <w:p w14:paraId="66764F46" w14:textId="3E2BACB4" w:rsidR="0079047F" w:rsidRPr="009B7CD3" w:rsidRDefault="006767EE" w:rsidP="009B7CD3">
      <w:pPr>
        <w:spacing w:line="360" w:lineRule="auto"/>
        <w:jc w:val="both"/>
        <w:rPr>
          <w:rFonts w:ascii="Times New Roman" w:hAnsi="Times New Roman" w:cs="Times New Roman"/>
          <w:iCs/>
          <w:noProof/>
        </w:rPr>
      </w:pPr>
      <w:r w:rsidRPr="009B7CD3">
        <w:rPr>
          <w:rFonts w:ascii="Times New Roman" w:hAnsi="Times New Roman" w:cs="Times New Roman"/>
          <w:noProof/>
        </w:rPr>
        <w:drawing>
          <wp:inline distT="0" distB="0" distL="0" distR="0" wp14:anchorId="7BB33A64" wp14:editId="25D410C8">
            <wp:extent cx="3797851" cy="2037144"/>
            <wp:effectExtent l="0" t="0" r="0" b="127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7851" cy="2037144"/>
                    </a:xfrm>
                    <a:prstGeom prst="rect">
                      <a:avLst/>
                    </a:prstGeom>
                  </pic:spPr>
                </pic:pic>
              </a:graphicData>
            </a:graphic>
          </wp:inline>
        </w:drawing>
      </w:r>
    </w:p>
    <w:p w14:paraId="371E0C98" w14:textId="39BE6AB5" w:rsidR="00BF3EA2" w:rsidRDefault="00E92183" w:rsidP="009B7CD3">
      <w:pPr>
        <w:spacing w:line="360" w:lineRule="auto"/>
        <w:jc w:val="both"/>
        <w:rPr>
          <w:rFonts w:ascii="Times New Roman" w:hAnsi="Times New Roman" w:cs="Times New Roman"/>
          <w:iCs/>
          <w:noProof/>
        </w:rPr>
      </w:pPr>
      <w:r w:rsidRPr="009B7CD3">
        <w:rPr>
          <w:rFonts w:ascii="Times New Roman" w:hAnsi="Times New Roman" w:cs="Times New Roman"/>
          <w:iCs/>
          <w:noProof/>
        </w:rPr>
        <w:t>Court-actors</w:t>
      </w:r>
      <w:r w:rsidR="00D8111D" w:rsidRPr="009B7CD3">
        <w:rPr>
          <w:rFonts w:ascii="Times New Roman" w:hAnsi="Times New Roman" w:cs="Times New Roman"/>
          <w:iCs/>
          <w:noProof/>
        </w:rPr>
        <w:t xml:space="preserve"> whether the majority or separate opinions by judges were</w:t>
      </w:r>
      <w:r w:rsidR="00212EFD" w:rsidRPr="009B7CD3">
        <w:rPr>
          <w:rFonts w:ascii="Times New Roman" w:hAnsi="Times New Roman" w:cs="Times New Roman"/>
          <w:iCs/>
          <w:noProof/>
        </w:rPr>
        <w:t xml:space="preserve"> by far the most frequent users of margin of appreciation language. </w:t>
      </w:r>
      <w:r w:rsidR="00370C34">
        <w:rPr>
          <w:rFonts w:ascii="Times New Roman" w:hAnsi="Times New Roman" w:cs="Times New Roman"/>
          <w:iCs/>
          <w:noProof/>
        </w:rPr>
        <w:t xml:space="preserve">And yet there were </w:t>
      </w:r>
      <w:r w:rsidR="000077EF">
        <w:rPr>
          <w:rFonts w:ascii="Times New Roman" w:hAnsi="Times New Roman" w:cs="Times New Roman"/>
          <w:iCs/>
          <w:noProof/>
        </w:rPr>
        <w:t>29 ca</w:t>
      </w:r>
      <w:r w:rsidR="00370C34">
        <w:rPr>
          <w:rFonts w:ascii="Times New Roman" w:hAnsi="Times New Roman" w:cs="Times New Roman"/>
          <w:iCs/>
          <w:noProof/>
        </w:rPr>
        <w:t>ses in the sample where the Court did not mention the margin. In 2</w:t>
      </w:r>
      <w:r w:rsidR="000077EF">
        <w:rPr>
          <w:rFonts w:ascii="Times New Roman" w:hAnsi="Times New Roman" w:cs="Times New Roman"/>
          <w:iCs/>
          <w:noProof/>
        </w:rPr>
        <w:t>2</w:t>
      </w:r>
      <w:r w:rsidR="00370C34">
        <w:rPr>
          <w:rFonts w:ascii="Times New Roman" w:hAnsi="Times New Roman" w:cs="Times New Roman"/>
          <w:iCs/>
          <w:noProof/>
        </w:rPr>
        <w:t xml:space="preserve"> of these it did not engage with a </w:t>
      </w:r>
      <w:r w:rsidR="0090699C">
        <w:rPr>
          <w:rFonts w:ascii="Times New Roman" w:hAnsi="Times New Roman" w:cs="Times New Roman"/>
          <w:iCs/>
          <w:noProof/>
        </w:rPr>
        <w:t xml:space="preserve">subsidiarity argument at all. These cases were: </w:t>
      </w:r>
    </w:p>
    <w:tbl>
      <w:tblPr>
        <w:tblW w:w="9072" w:type="dxa"/>
        <w:tblLook w:val="04A0" w:firstRow="1" w:lastRow="0" w:firstColumn="1" w:lastColumn="0" w:noHBand="0" w:noVBand="1"/>
      </w:tblPr>
      <w:tblGrid>
        <w:gridCol w:w="9072"/>
      </w:tblGrid>
      <w:tr w:rsidR="003A446D" w:rsidRPr="003A446D" w14:paraId="1ED51794"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41135C9F"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CENTRO EUROPA 7 S.R.L. AND DI STEFANO v. ITALY</w:t>
            </w:r>
          </w:p>
        </w:tc>
      </w:tr>
      <w:tr w:rsidR="003A446D" w:rsidRPr="003A446D" w14:paraId="59852DBD"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6FF65E1B"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MERABISHVILI v. GEORGIA</w:t>
            </w:r>
          </w:p>
        </w:tc>
      </w:tr>
      <w:tr w:rsidR="003A446D" w:rsidRPr="003A446D" w14:paraId="46EA3434"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65389648" w14:textId="59005E9B" w:rsidR="003A446D" w:rsidRPr="003A446D" w:rsidRDefault="008927B4" w:rsidP="003A446D">
            <w:pPr>
              <w:spacing w:after="0" w:line="240" w:lineRule="auto"/>
              <w:rPr>
                <w:rFonts w:ascii="Times New Roman" w:eastAsia="Times New Roman" w:hAnsi="Times New Roman" w:cs="Times New Roman"/>
                <w:color w:val="000000"/>
                <w:sz w:val="18"/>
                <w:szCs w:val="18"/>
                <w:lang w:eastAsia="en-GB"/>
              </w:rPr>
            </w:pPr>
            <w:r w:rsidRPr="008927B4">
              <w:rPr>
                <w:rFonts w:ascii="Times New Roman" w:eastAsia="Times New Roman" w:hAnsi="Times New Roman" w:cs="Times New Roman"/>
                <w:color w:val="000000"/>
                <w:sz w:val="18"/>
                <w:szCs w:val="18"/>
                <w:lang w:eastAsia="en-GB"/>
              </w:rPr>
              <w:t>CASE OF RAMOS NUNES DE CARVALHO E SÃ v. PORTUGAL</w:t>
            </w:r>
          </w:p>
        </w:tc>
      </w:tr>
      <w:tr w:rsidR="003A446D" w:rsidRPr="003A446D" w14:paraId="63DA0485"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21E185E2"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AHMET YILDIRIM v. TURKEY</w:t>
            </w:r>
          </w:p>
        </w:tc>
      </w:tr>
      <w:tr w:rsidR="003A446D" w:rsidRPr="003A446D" w14:paraId="2B34178D"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3DEC3EDA"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CENGIZ AND OTHERS v. TURKEY</w:t>
            </w:r>
          </w:p>
        </w:tc>
      </w:tr>
      <w:tr w:rsidR="003A446D" w:rsidRPr="003A446D" w14:paraId="067CEFAF"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08783459"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GÜZELYURTLU AND OTHERS v. CYPRUS AND TURKEY</w:t>
            </w:r>
          </w:p>
        </w:tc>
      </w:tr>
      <w:tr w:rsidR="003A446D" w:rsidRPr="003A446D" w14:paraId="66CE6EAA"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0203CCA4"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lastRenderedPageBreak/>
              <w:t>CASE OF CREANGA v. ROMANIA</w:t>
            </w:r>
          </w:p>
        </w:tc>
      </w:tr>
      <w:tr w:rsidR="003A446D" w:rsidRPr="003A446D" w14:paraId="5F15DCEC"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18786DB8"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BABAR AHMAD AND OTHERS v. THE UNITED KINGDOM</w:t>
            </w:r>
          </w:p>
        </w:tc>
      </w:tr>
      <w:tr w:rsidR="003A446D" w:rsidRPr="003A446D" w14:paraId="134131C2"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64C92299"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JANOWIEC AND OTHERS v. RUSSIA</w:t>
            </w:r>
          </w:p>
        </w:tc>
      </w:tr>
      <w:tr w:rsidR="003A446D" w:rsidRPr="003A446D" w14:paraId="7D2EB2D5"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471EA1B7" w14:textId="3ADE8B08" w:rsidR="003A446D" w:rsidRPr="003A446D" w:rsidRDefault="00094BBD" w:rsidP="003A446D">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 xml:space="preserve">CASE OF </w:t>
            </w:r>
            <w:r w:rsidR="003A446D" w:rsidRPr="003A446D">
              <w:rPr>
                <w:rFonts w:ascii="Times New Roman" w:eastAsia="Times New Roman" w:hAnsi="Times New Roman" w:cs="Times New Roman"/>
                <w:color w:val="000000"/>
                <w:sz w:val="18"/>
                <w:szCs w:val="18"/>
                <w:lang w:eastAsia="en-GB"/>
              </w:rPr>
              <w:t>WILLCOX AND HURFORD v. THE UNITED KINGDOM</w:t>
            </w:r>
          </w:p>
        </w:tc>
      </w:tr>
      <w:tr w:rsidR="003A446D" w:rsidRPr="003A446D" w14:paraId="356A7276"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038F8EEB" w14:textId="2F4B9163" w:rsidR="003A446D" w:rsidRPr="003A446D" w:rsidRDefault="00113A80" w:rsidP="003A446D">
            <w:pPr>
              <w:spacing w:after="0" w:line="240" w:lineRule="auto"/>
              <w:rPr>
                <w:rFonts w:ascii="Times New Roman" w:eastAsia="Times New Roman" w:hAnsi="Times New Roman" w:cs="Times New Roman"/>
                <w:color w:val="000000"/>
                <w:sz w:val="18"/>
                <w:szCs w:val="18"/>
                <w:lang w:eastAsia="en-GB"/>
              </w:rPr>
            </w:pPr>
            <w:r w:rsidRPr="00113A80">
              <w:rPr>
                <w:rFonts w:ascii="Times New Roman" w:eastAsia="Times New Roman" w:hAnsi="Times New Roman" w:cs="Times New Roman"/>
                <w:color w:val="000000"/>
                <w:sz w:val="18"/>
                <w:szCs w:val="18"/>
                <w:lang w:eastAsia="en-GB"/>
              </w:rPr>
              <w:t>CASE OF DEL RÍO PRADA v. SPAIN</w:t>
            </w:r>
          </w:p>
        </w:tc>
      </w:tr>
      <w:tr w:rsidR="003A446D" w:rsidRPr="003A446D" w14:paraId="11AB8140"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4FB5EF55" w14:textId="53275386"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 xml:space="preserve">CASE OF </w:t>
            </w:r>
            <w:r w:rsidR="00782408" w:rsidRPr="00094BBD">
              <w:rPr>
                <w:rFonts w:ascii="Times New Roman" w:eastAsia="Times New Roman" w:hAnsi="Times New Roman" w:cs="Times New Roman"/>
                <w:color w:val="000000"/>
                <w:sz w:val="18"/>
                <w:szCs w:val="18"/>
                <w:lang w:eastAsia="en-GB"/>
              </w:rPr>
              <w:t xml:space="preserve">CASE OF ÖSTERREICHISCHE VEREINIGUNG ZUR ERHALTUNG, STÄRKUNG </w:t>
            </w:r>
            <w:r w:rsidR="00782408" w:rsidRPr="00094BBD">
              <w:rPr>
                <w:rFonts w:ascii="Times New Roman" w:hAnsi="Times New Roman" w:cs="Times New Roman"/>
                <w:sz w:val="18"/>
                <w:szCs w:val="18"/>
              </w:rPr>
              <w:t>V AUSTRIA</w:t>
            </w:r>
          </w:p>
        </w:tc>
      </w:tr>
      <w:tr w:rsidR="003A446D" w:rsidRPr="003A446D" w14:paraId="7D1D4802"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7B8A20E7"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L.H. v. LATVIA</w:t>
            </w:r>
          </w:p>
        </w:tc>
      </w:tr>
      <w:tr w:rsidR="003A446D" w:rsidRPr="003A446D" w14:paraId="7919AFB9"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67606BEF"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SVINARENKO AND SLYADNEV v. RUSSIA</w:t>
            </w:r>
          </w:p>
        </w:tc>
      </w:tr>
      <w:tr w:rsidR="003A446D" w:rsidRPr="003A446D" w14:paraId="211445F6"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69774EBB"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ROHLENA v. THE CZECH REPUBLIC</w:t>
            </w:r>
          </w:p>
        </w:tc>
      </w:tr>
      <w:tr w:rsidR="003A446D" w:rsidRPr="003A446D" w14:paraId="42894BB8"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21CCA2AB"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SCHATSCHASCHWILI v. GERMANY</w:t>
            </w:r>
          </w:p>
        </w:tc>
      </w:tr>
      <w:tr w:rsidR="003A446D" w:rsidRPr="003A446D" w14:paraId="06EC970E"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282AA444"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MAGYAR JETI ZRT v. HUNGARY</w:t>
            </w:r>
          </w:p>
        </w:tc>
      </w:tr>
      <w:tr w:rsidR="003A446D" w:rsidRPr="003A446D" w14:paraId="63DD49F1"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3D6B991A"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FERNANDES DE OLIVEIRA v. PORTUGAL</w:t>
            </w:r>
          </w:p>
        </w:tc>
      </w:tr>
      <w:tr w:rsidR="003A446D" w:rsidRPr="003A446D" w14:paraId="03578A48"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3B6A980A" w14:textId="172E9CF0" w:rsidR="003A446D" w:rsidRPr="003A446D" w:rsidRDefault="009A68C5" w:rsidP="003A446D">
            <w:pPr>
              <w:spacing w:after="0" w:line="240" w:lineRule="auto"/>
              <w:rPr>
                <w:rFonts w:ascii="Times New Roman" w:eastAsia="Times New Roman" w:hAnsi="Times New Roman" w:cs="Times New Roman"/>
                <w:color w:val="000000"/>
                <w:sz w:val="18"/>
                <w:szCs w:val="18"/>
                <w:lang w:eastAsia="en-GB"/>
              </w:rPr>
            </w:pPr>
            <w:r w:rsidRPr="00094BBD">
              <w:rPr>
                <w:rFonts w:ascii="Times New Roman" w:eastAsia="Times New Roman" w:hAnsi="Times New Roman" w:cs="Times New Roman"/>
                <w:color w:val="000000"/>
                <w:sz w:val="18"/>
                <w:szCs w:val="18"/>
                <w:lang w:eastAsia="en-GB"/>
              </w:rPr>
              <w:t>CASE OF GUÐMUNDUR ANDRI ÁSTRÁÐSSON v. ICELAND</w:t>
            </w:r>
          </w:p>
        </w:tc>
      </w:tr>
      <w:tr w:rsidR="003A446D" w:rsidRPr="003A446D" w14:paraId="27DB6460"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5060AD0B" w14:textId="12352B97" w:rsidR="003A446D" w:rsidRPr="003A446D" w:rsidRDefault="00094BBD" w:rsidP="003A446D">
            <w:pPr>
              <w:spacing w:after="0" w:line="240" w:lineRule="auto"/>
              <w:rPr>
                <w:rFonts w:ascii="Times New Roman" w:eastAsia="Times New Roman" w:hAnsi="Times New Roman" w:cs="Times New Roman"/>
                <w:color w:val="000000"/>
                <w:sz w:val="18"/>
                <w:szCs w:val="18"/>
                <w:lang w:eastAsia="en-GB"/>
              </w:rPr>
            </w:pPr>
            <w:r w:rsidRPr="00094BBD">
              <w:rPr>
                <w:rFonts w:ascii="Times New Roman" w:eastAsia="Times New Roman" w:hAnsi="Times New Roman" w:cs="Times New Roman"/>
                <w:color w:val="000000"/>
                <w:sz w:val="18"/>
                <w:szCs w:val="18"/>
                <w:lang w:eastAsia="en-GB"/>
              </w:rPr>
              <w:t>CASE OF SIGURÐUR EINARSSON AND OTHERS v. ICELAND</w:t>
            </w:r>
          </w:p>
        </w:tc>
      </w:tr>
      <w:tr w:rsidR="003A446D" w:rsidRPr="003A446D" w14:paraId="5DA8FE0F"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26A68780" w14:textId="77777777"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Z.A. AND OTHERS v. RUSSIA</w:t>
            </w:r>
          </w:p>
        </w:tc>
      </w:tr>
      <w:tr w:rsidR="003A446D" w:rsidRPr="003A446D" w14:paraId="7DA77E3B" w14:textId="77777777" w:rsidTr="00094BBD">
        <w:trPr>
          <w:trHeight w:val="290"/>
        </w:trPr>
        <w:tc>
          <w:tcPr>
            <w:tcW w:w="9072" w:type="dxa"/>
            <w:tcBorders>
              <w:top w:val="nil"/>
              <w:left w:val="nil"/>
              <w:bottom w:val="single" w:sz="4" w:space="0" w:color="BFBFBF"/>
              <w:right w:val="nil"/>
            </w:tcBorders>
            <w:shd w:val="clear" w:color="000000" w:fill="D9E1F2"/>
            <w:noWrap/>
            <w:hideMark/>
          </w:tcPr>
          <w:p w14:paraId="37276702" w14:textId="0F6D2871" w:rsidR="003A446D" w:rsidRPr="003A446D" w:rsidRDefault="003A446D" w:rsidP="003A446D">
            <w:pPr>
              <w:spacing w:after="0" w:line="240" w:lineRule="auto"/>
              <w:rPr>
                <w:rFonts w:ascii="Times New Roman" w:eastAsia="Times New Roman" w:hAnsi="Times New Roman" w:cs="Times New Roman"/>
                <w:color w:val="000000"/>
                <w:sz w:val="18"/>
                <w:szCs w:val="18"/>
                <w:lang w:eastAsia="en-GB"/>
              </w:rPr>
            </w:pPr>
            <w:r w:rsidRPr="003A446D">
              <w:rPr>
                <w:rFonts w:ascii="Times New Roman" w:eastAsia="Times New Roman" w:hAnsi="Times New Roman" w:cs="Times New Roman"/>
                <w:color w:val="000000"/>
                <w:sz w:val="18"/>
                <w:szCs w:val="18"/>
                <w:lang w:eastAsia="en-GB"/>
              </w:rPr>
              <w:t>CASE OF K</w:t>
            </w:r>
            <w:r w:rsidR="006767EE" w:rsidRPr="00094BBD">
              <w:rPr>
                <w:rFonts w:ascii="Times New Roman" w:eastAsia="Times New Roman" w:hAnsi="Times New Roman" w:cs="Times New Roman"/>
                <w:color w:val="000000"/>
                <w:sz w:val="18"/>
                <w:szCs w:val="18"/>
                <w:lang w:eastAsia="en-GB"/>
              </w:rPr>
              <w:t>A</w:t>
            </w:r>
            <w:r w:rsidRPr="003A446D">
              <w:rPr>
                <w:rFonts w:ascii="Times New Roman" w:eastAsia="Times New Roman" w:hAnsi="Times New Roman" w:cs="Times New Roman"/>
                <w:color w:val="000000"/>
                <w:sz w:val="18"/>
                <w:szCs w:val="18"/>
                <w:lang w:eastAsia="en-GB"/>
              </w:rPr>
              <w:t>ROLY NAGY v. HUNGARY</w:t>
            </w:r>
          </w:p>
        </w:tc>
      </w:tr>
    </w:tbl>
    <w:p w14:paraId="70DBBFF0" w14:textId="77777777" w:rsidR="003A446D" w:rsidRPr="009B7CD3" w:rsidRDefault="003A446D" w:rsidP="009B7CD3">
      <w:pPr>
        <w:spacing w:line="360" w:lineRule="auto"/>
        <w:jc w:val="both"/>
        <w:rPr>
          <w:rFonts w:ascii="Times New Roman" w:hAnsi="Times New Roman" w:cs="Times New Roman"/>
          <w:iCs/>
        </w:rPr>
      </w:pPr>
    </w:p>
    <w:p w14:paraId="29B881BC" w14:textId="4A153424" w:rsidR="00757128" w:rsidRPr="009B7CD3" w:rsidRDefault="00757128" w:rsidP="009B7CD3">
      <w:pPr>
        <w:pStyle w:val="Overskrift3"/>
        <w:spacing w:line="360" w:lineRule="auto"/>
        <w:jc w:val="both"/>
        <w:rPr>
          <w:rFonts w:ascii="Times New Roman" w:hAnsi="Times New Roman" w:cs="Times New Roman"/>
        </w:rPr>
      </w:pPr>
      <w:r w:rsidRPr="009B7CD3">
        <w:rPr>
          <w:rFonts w:ascii="Times New Roman" w:hAnsi="Times New Roman" w:cs="Times New Roman"/>
        </w:rPr>
        <w:t>On the co</w:t>
      </w:r>
      <w:r w:rsidR="00C26875" w:rsidRPr="009B7CD3">
        <w:rPr>
          <w:rFonts w:ascii="Times New Roman" w:hAnsi="Times New Roman" w:cs="Times New Roman"/>
        </w:rPr>
        <w:t>ding of the use of the margin</w:t>
      </w:r>
    </w:p>
    <w:p w14:paraId="2A7E1BF3" w14:textId="60B06FB0" w:rsidR="00C26875" w:rsidRPr="009B7CD3" w:rsidRDefault="00C26875" w:rsidP="009B7CD3">
      <w:pPr>
        <w:spacing w:line="360" w:lineRule="auto"/>
        <w:jc w:val="both"/>
        <w:rPr>
          <w:rFonts w:ascii="Times New Roman" w:hAnsi="Times New Roman" w:cs="Times New Roman"/>
        </w:rPr>
      </w:pPr>
      <w:r w:rsidRPr="009B7CD3">
        <w:rPr>
          <w:rFonts w:ascii="Times New Roman" w:hAnsi="Times New Roman" w:cs="Times New Roman"/>
        </w:rPr>
        <w:t>This cod</w:t>
      </w:r>
      <w:r w:rsidR="00941988" w:rsidRPr="009B7CD3">
        <w:rPr>
          <w:rFonts w:ascii="Times New Roman" w:hAnsi="Times New Roman" w:cs="Times New Roman"/>
        </w:rPr>
        <w:t>ing</w:t>
      </w:r>
      <w:r w:rsidR="005C0323" w:rsidRPr="009B7CD3">
        <w:rPr>
          <w:rFonts w:ascii="Times New Roman" w:hAnsi="Times New Roman" w:cs="Times New Roman"/>
        </w:rPr>
        <w:t xml:space="preserve"> necessarily includes a </w:t>
      </w:r>
      <w:r w:rsidR="003A346A" w:rsidRPr="009B7CD3">
        <w:rPr>
          <w:rFonts w:ascii="Times New Roman" w:hAnsi="Times New Roman" w:cs="Times New Roman"/>
        </w:rPr>
        <w:t xml:space="preserve">measure of interpretation, but the categories have been attempted made as clear as possible to </w:t>
      </w:r>
      <w:r w:rsidR="00A427AA" w:rsidRPr="009B7CD3">
        <w:rPr>
          <w:rFonts w:ascii="Times New Roman" w:hAnsi="Times New Roman" w:cs="Times New Roman"/>
        </w:rPr>
        <w:t xml:space="preserve">limit the impact of subjective </w:t>
      </w:r>
      <w:r w:rsidR="002B5AD4" w:rsidRPr="009B7CD3">
        <w:rPr>
          <w:rFonts w:ascii="Times New Roman" w:hAnsi="Times New Roman" w:cs="Times New Roman"/>
        </w:rPr>
        <w:t xml:space="preserve">understandings. </w:t>
      </w:r>
    </w:p>
    <w:p w14:paraId="1B371322" w14:textId="4B4340A2" w:rsidR="006F4777" w:rsidRPr="009B7CD3" w:rsidRDefault="008A06FA" w:rsidP="009B7CD3">
      <w:pPr>
        <w:spacing w:line="360" w:lineRule="auto"/>
        <w:jc w:val="both"/>
        <w:rPr>
          <w:rFonts w:ascii="Times New Roman" w:hAnsi="Times New Roman" w:cs="Times New Roman"/>
        </w:rPr>
      </w:pPr>
      <w:r w:rsidRPr="009B7CD3">
        <w:rPr>
          <w:rFonts w:ascii="Times New Roman" w:hAnsi="Times New Roman" w:cs="Times New Roman"/>
        </w:rPr>
        <w:t>The full codebook is here:</w:t>
      </w:r>
    </w:p>
    <w:tbl>
      <w:tblPr>
        <w:tblStyle w:val="Almindeligtabel3"/>
        <w:tblW w:w="0" w:type="auto"/>
        <w:tblLook w:val="04A0" w:firstRow="1" w:lastRow="0" w:firstColumn="1" w:lastColumn="0" w:noHBand="0" w:noVBand="1"/>
      </w:tblPr>
      <w:tblGrid>
        <w:gridCol w:w="991"/>
        <w:gridCol w:w="2788"/>
        <w:gridCol w:w="5247"/>
      </w:tblGrid>
      <w:tr w:rsidR="00B607B5" w:rsidRPr="00960CA2" w14:paraId="438F7C50" w14:textId="77777777" w:rsidTr="009821E1">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0" w:type="auto"/>
            <w:hideMark/>
          </w:tcPr>
          <w:p w14:paraId="10FE9CA4" w14:textId="77777777" w:rsidR="00B607B5" w:rsidRPr="00960CA2" w:rsidRDefault="00B607B5" w:rsidP="009821E1">
            <w:pPr>
              <w:rPr>
                <w:rFonts w:ascii="Garamond" w:eastAsia="Times New Roman" w:hAnsi="Garamond" w:cs="Calibri"/>
                <w:sz w:val="20"/>
                <w:szCs w:val="20"/>
                <w:lang w:eastAsia="en-GB"/>
              </w:rPr>
            </w:pPr>
            <w:r w:rsidRPr="00960CA2">
              <w:rPr>
                <w:rFonts w:ascii="Garamond" w:eastAsia="Times New Roman" w:hAnsi="Garamond" w:cs="Calibri"/>
                <w:sz w:val="20"/>
                <w:szCs w:val="20"/>
                <w:lang w:eastAsia="en-GB"/>
              </w:rPr>
              <w:t>Type</w:t>
            </w:r>
          </w:p>
        </w:tc>
        <w:tc>
          <w:tcPr>
            <w:tcW w:w="0" w:type="auto"/>
            <w:hideMark/>
          </w:tcPr>
          <w:p w14:paraId="12CC0125" w14:textId="77777777" w:rsidR="00B607B5" w:rsidRPr="00960CA2" w:rsidRDefault="00B607B5" w:rsidP="009821E1">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sz w:val="20"/>
                <w:szCs w:val="20"/>
                <w:lang w:eastAsia="en-GB"/>
              </w:rPr>
            </w:pPr>
            <w:r w:rsidRPr="00960CA2">
              <w:rPr>
                <w:rFonts w:ascii="Garamond" w:eastAsia="Times New Roman" w:hAnsi="Garamond" w:cs="Calibri"/>
                <w:sz w:val="20"/>
                <w:szCs w:val="20"/>
                <w:lang w:eastAsia="en-GB"/>
              </w:rPr>
              <w:t>Subtype</w:t>
            </w:r>
          </w:p>
        </w:tc>
        <w:tc>
          <w:tcPr>
            <w:tcW w:w="0" w:type="auto"/>
            <w:hideMark/>
          </w:tcPr>
          <w:p w14:paraId="37549972" w14:textId="77777777" w:rsidR="00B607B5" w:rsidRPr="00960CA2" w:rsidRDefault="00B607B5" w:rsidP="009821E1">
            <w:pPr>
              <w:cnfStyle w:val="100000000000" w:firstRow="1" w:lastRow="0" w:firstColumn="0" w:lastColumn="0" w:oddVBand="0" w:evenVBand="0" w:oddHBand="0" w:evenHBand="0" w:firstRowFirstColumn="0" w:firstRowLastColumn="0" w:lastRowFirstColumn="0" w:lastRowLastColumn="0"/>
              <w:rPr>
                <w:rFonts w:ascii="Garamond" w:eastAsia="Times New Roman" w:hAnsi="Garamond" w:cs="Calibri"/>
                <w:sz w:val="20"/>
                <w:szCs w:val="20"/>
                <w:lang w:eastAsia="en-GB"/>
              </w:rPr>
            </w:pPr>
            <w:r w:rsidRPr="00960CA2">
              <w:rPr>
                <w:rFonts w:ascii="Garamond" w:eastAsia="Times New Roman" w:hAnsi="Garamond" w:cs="Calibri"/>
                <w:sz w:val="20"/>
                <w:szCs w:val="20"/>
                <w:lang w:eastAsia="en-GB"/>
              </w:rPr>
              <w:t>Explanation</w:t>
            </w:r>
          </w:p>
        </w:tc>
      </w:tr>
      <w:tr w:rsidR="00B607B5" w:rsidRPr="00BB12DA" w14:paraId="77476373" w14:textId="77777777" w:rsidTr="009821E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000000" w:themeFill="text1"/>
            <w:hideMark/>
          </w:tcPr>
          <w:p w14:paraId="72A0D0FE" w14:textId="77777777" w:rsidR="00B607B5" w:rsidRPr="00BB12DA" w:rsidRDefault="00B607B5" w:rsidP="009821E1">
            <w:pPr>
              <w:rPr>
                <w:rFonts w:ascii="Garamond" w:eastAsia="Times New Roman" w:hAnsi="Garamond" w:cs="Calibri"/>
                <w:b w:val="0"/>
                <w:bCs w:val="0"/>
                <w:caps w:val="0"/>
                <w:color w:val="000000"/>
                <w:sz w:val="20"/>
                <w:szCs w:val="20"/>
                <w:lang w:eastAsia="en-GB"/>
              </w:rPr>
            </w:pPr>
            <w:r w:rsidRPr="00960CA2">
              <w:rPr>
                <w:rFonts w:ascii="Garamond" w:eastAsia="Times New Roman" w:hAnsi="Garamond" w:cs="Calibri"/>
                <w:color w:val="FFFFFF" w:themeColor="background1"/>
                <w:sz w:val="20"/>
                <w:szCs w:val="20"/>
                <w:lang w:eastAsia="en-GB"/>
              </w:rPr>
              <w:t>1. Empty and partially empty</w:t>
            </w:r>
          </w:p>
          <w:p w14:paraId="1E7E8880"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w:t>
            </w:r>
          </w:p>
        </w:tc>
      </w:tr>
      <w:tr w:rsidR="00B607B5" w:rsidRPr="00960CA2" w14:paraId="06B6270B" w14:textId="77777777" w:rsidTr="009821E1">
        <w:trPr>
          <w:trHeight w:val="1820"/>
        </w:trPr>
        <w:tc>
          <w:tcPr>
            <w:cnfStyle w:val="001000000000" w:firstRow="0" w:lastRow="0" w:firstColumn="1" w:lastColumn="0" w:oddVBand="0" w:evenVBand="0" w:oddHBand="0" w:evenHBand="0" w:firstRowFirstColumn="0" w:firstRowLastColumn="0" w:lastRowFirstColumn="0" w:lastRowLastColumn="0"/>
            <w:tcW w:w="0" w:type="auto"/>
            <w:hideMark/>
          </w:tcPr>
          <w:p w14:paraId="08BF2186"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2775D724"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1.a. Empty - also simply concluding remarks</w:t>
            </w:r>
          </w:p>
        </w:tc>
        <w:tc>
          <w:tcPr>
            <w:tcW w:w="0" w:type="auto"/>
            <w:hideMark/>
          </w:tcPr>
          <w:p w14:paraId="6ECB422A"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Any case in which the margin is mentioned, but where there does not appear to be any engagement with it in the argument in connection with which it is mentioned. This category also includes situations where the margin is simply used as a conclusion. It is not unusual for a case to first contain margin-arguments in other categories than this one, and then end with an empty margin. </w:t>
            </w:r>
          </w:p>
        </w:tc>
      </w:tr>
      <w:tr w:rsidR="00B607B5" w:rsidRPr="00BB12DA" w14:paraId="6B0C3E6C" w14:textId="77777777" w:rsidTr="009821E1">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0" w:type="auto"/>
            <w:hideMark/>
          </w:tcPr>
          <w:p w14:paraId="15048620"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699A24C8"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1.b. Balance between individual and society</w:t>
            </w:r>
          </w:p>
        </w:tc>
        <w:tc>
          <w:tcPr>
            <w:tcW w:w="0" w:type="auto"/>
            <w:hideMark/>
          </w:tcPr>
          <w:p w14:paraId="5981FE79"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Any case where the interference with a human right </w:t>
            </w:r>
            <w:proofErr w:type="gramStart"/>
            <w:r w:rsidRPr="00960CA2">
              <w:rPr>
                <w:rFonts w:ascii="Garamond" w:eastAsia="Times New Roman" w:hAnsi="Garamond" w:cs="Calibri"/>
                <w:color w:val="000000"/>
                <w:sz w:val="20"/>
                <w:szCs w:val="20"/>
                <w:lang w:eastAsia="en-GB"/>
              </w:rPr>
              <w:t>has a legitimate aim</w:t>
            </w:r>
            <w:proofErr w:type="gramEnd"/>
            <w:r w:rsidRPr="00960CA2">
              <w:rPr>
                <w:rFonts w:ascii="Garamond" w:eastAsia="Times New Roman" w:hAnsi="Garamond" w:cs="Calibri"/>
                <w:color w:val="000000"/>
                <w:sz w:val="20"/>
                <w:szCs w:val="20"/>
                <w:lang w:eastAsia="en-GB"/>
              </w:rPr>
              <w:t xml:space="preserve"> contains a balancing between individual and society, therefore this type of argument constitutes a type of empty mention of the margin.</w:t>
            </w:r>
          </w:p>
        </w:tc>
      </w:tr>
      <w:tr w:rsidR="00B607B5" w:rsidRPr="00960CA2" w14:paraId="774FA887" w14:textId="77777777" w:rsidTr="009821E1">
        <w:trPr>
          <w:trHeight w:val="1040"/>
        </w:trPr>
        <w:tc>
          <w:tcPr>
            <w:cnfStyle w:val="001000000000" w:firstRow="0" w:lastRow="0" w:firstColumn="1" w:lastColumn="0" w:oddVBand="0" w:evenVBand="0" w:oddHBand="0" w:evenHBand="0" w:firstRowFirstColumn="0" w:firstRowLastColumn="0" w:lastRowFirstColumn="0" w:lastRowLastColumn="0"/>
            <w:tcW w:w="0" w:type="auto"/>
            <w:hideMark/>
          </w:tcPr>
          <w:p w14:paraId="4FC3A69A"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1FDB350B"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1.c. Explaining the margin</w:t>
            </w:r>
          </w:p>
        </w:tc>
        <w:tc>
          <w:tcPr>
            <w:tcW w:w="0" w:type="auto"/>
            <w:hideMark/>
          </w:tcPr>
          <w:p w14:paraId="378EAB55"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A margin-mention that does not apply the margin directly, but rather describes how it is to be applied in general or in the present case. Often contains a reference to existing caselaw or the description </w:t>
            </w:r>
            <w:r>
              <w:rPr>
                <w:rFonts w:ascii="Garamond" w:eastAsia="Times New Roman" w:hAnsi="Garamond" w:cs="Calibri"/>
                <w:color w:val="000000"/>
                <w:sz w:val="20"/>
                <w:szCs w:val="20"/>
                <w:lang w:eastAsia="en-GB"/>
              </w:rPr>
              <w:t>can be</w:t>
            </w:r>
            <w:r w:rsidRPr="00960CA2">
              <w:rPr>
                <w:rFonts w:ascii="Garamond" w:eastAsia="Times New Roman" w:hAnsi="Garamond" w:cs="Calibri"/>
                <w:color w:val="000000"/>
                <w:sz w:val="20"/>
                <w:szCs w:val="20"/>
                <w:lang w:eastAsia="en-GB"/>
              </w:rPr>
              <w:t xml:space="preserve"> taken directly from another judgment.</w:t>
            </w:r>
          </w:p>
        </w:tc>
      </w:tr>
      <w:tr w:rsidR="00B607B5" w:rsidRPr="00BB12DA" w14:paraId="12EA2440" w14:textId="77777777" w:rsidTr="009821E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FFC000" w:themeFill="accent4"/>
            <w:hideMark/>
          </w:tcPr>
          <w:p w14:paraId="46013C47" w14:textId="77777777" w:rsidR="00B607B5" w:rsidRPr="00BB12DA" w:rsidRDefault="00B607B5" w:rsidP="009821E1">
            <w:pPr>
              <w:rPr>
                <w:rFonts w:ascii="Garamond" w:eastAsia="Times New Roman" w:hAnsi="Garamond" w:cs="Calibri"/>
                <w:b w:val="0"/>
                <w:bCs w:val="0"/>
                <w:caps w:val="0"/>
                <w:color w:val="000000"/>
                <w:sz w:val="20"/>
                <w:szCs w:val="20"/>
                <w:lang w:eastAsia="en-GB"/>
              </w:rPr>
            </w:pPr>
            <w:r w:rsidRPr="00960CA2">
              <w:rPr>
                <w:rFonts w:ascii="Garamond" w:eastAsia="Times New Roman" w:hAnsi="Garamond" w:cs="Calibri"/>
                <w:color w:val="000000"/>
                <w:sz w:val="20"/>
                <w:szCs w:val="20"/>
                <w:lang w:eastAsia="en-GB"/>
              </w:rPr>
              <w:t>2. Anti-margin mentions</w:t>
            </w:r>
          </w:p>
          <w:p w14:paraId="387245BD"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w:t>
            </w:r>
          </w:p>
        </w:tc>
      </w:tr>
      <w:tr w:rsidR="00B607B5" w:rsidRPr="00960CA2" w14:paraId="069380DA" w14:textId="77777777" w:rsidTr="009821E1">
        <w:trPr>
          <w:trHeight w:val="1040"/>
        </w:trPr>
        <w:tc>
          <w:tcPr>
            <w:cnfStyle w:val="001000000000" w:firstRow="0" w:lastRow="0" w:firstColumn="1" w:lastColumn="0" w:oddVBand="0" w:evenVBand="0" w:oddHBand="0" w:evenHBand="0" w:firstRowFirstColumn="0" w:firstRowLastColumn="0" w:lastRowFirstColumn="0" w:lastRowLastColumn="0"/>
            <w:tcW w:w="0" w:type="auto"/>
            <w:hideMark/>
          </w:tcPr>
          <w:p w14:paraId="3B7D74C1"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56F4F138"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2.a. margin not applicable/misrepresented in present case</w:t>
            </w:r>
          </w:p>
        </w:tc>
        <w:tc>
          <w:tcPr>
            <w:tcW w:w="0" w:type="auto"/>
            <w:hideMark/>
          </w:tcPr>
          <w:p w14:paraId="0DD6DAC5"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An argument that the margin is not or should not have been applied in the present case. Also includes cases in which one actor at the Court criticises another for their reliance on the margin.</w:t>
            </w:r>
          </w:p>
        </w:tc>
      </w:tr>
      <w:tr w:rsidR="00B607B5" w:rsidRPr="00BB12DA" w14:paraId="4674F00E" w14:textId="77777777" w:rsidTr="009821E1">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0" w:type="auto"/>
            <w:hideMark/>
          </w:tcPr>
          <w:p w14:paraId="63C2D108"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lastRenderedPageBreak/>
              <w:t xml:space="preserve"> </w:t>
            </w:r>
          </w:p>
        </w:tc>
        <w:tc>
          <w:tcPr>
            <w:tcW w:w="0" w:type="auto"/>
            <w:hideMark/>
          </w:tcPr>
          <w:p w14:paraId="43DA15B2"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2.b. Notwithstanding the margin</w:t>
            </w:r>
          </w:p>
        </w:tc>
        <w:tc>
          <w:tcPr>
            <w:tcW w:w="0" w:type="auto"/>
            <w:hideMark/>
          </w:tcPr>
          <w:p w14:paraId="207F15D2"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The margin as something that may be relevant to the case, but which nonetheless cannot justify the situation. Related to 5.c. but incorporates a dichotomy-argument which 5.c. doesn't. Does not necessarily contain the word 'notwithstanding'.</w:t>
            </w:r>
          </w:p>
        </w:tc>
      </w:tr>
      <w:tr w:rsidR="00B607B5" w:rsidRPr="00BB12DA" w14:paraId="7D61EAEE" w14:textId="77777777" w:rsidTr="009821E1">
        <w:trPr>
          <w:trHeight w:val="29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70AD47" w:themeFill="accent6"/>
            <w:hideMark/>
          </w:tcPr>
          <w:p w14:paraId="0F2A2FF7" w14:textId="77777777" w:rsidR="00B607B5" w:rsidRPr="00BB12DA" w:rsidRDefault="00B607B5" w:rsidP="009821E1">
            <w:pPr>
              <w:rPr>
                <w:rFonts w:ascii="Garamond" w:eastAsia="Times New Roman" w:hAnsi="Garamond" w:cs="Calibri"/>
                <w:b w:val="0"/>
                <w:bCs w:val="0"/>
                <w:caps w:val="0"/>
                <w:color w:val="000000"/>
                <w:sz w:val="20"/>
                <w:szCs w:val="20"/>
                <w:lang w:eastAsia="en-GB"/>
              </w:rPr>
            </w:pPr>
            <w:r w:rsidRPr="00960CA2">
              <w:rPr>
                <w:rFonts w:ascii="Garamond" w:eastAsia="Times New Roman" w:hAnsi="Garamond" w:cs="Calibri"/>
                <w:color w:val="000000"/>
                <w:sz w:val="20"/>
                <w:szCs w:val="20"/>
                <w:lang w:eastAsia="en-GB"/>
              </w:rPr>
              <w:t>3. Margin as Scope</w:t>
            </w:r>
          </w:p>
          <w:p w14:paraId="607ED944"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w:t>
            </w:r>
          </w:p>
        </w:tc>
      </w:tr>
      <w:tr w:rsidR="00B607B5" w:rsidRPr="00BB12DA" w14:paraId="6919700C" w14:textId="77777777" w:rsidTr="009821E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auto"/>
            <w:hideMark/>
          </w:tcPr>
          <w:p w14:paraId="307E9583"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033A8F8C"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3.a. Scope of right</w:t>
            </w:r>
          </w:p>
        </w:tc>
        <w:tc>
          <w:tcPr>
            <w:tcW w:w="0" w:type="auto"/>
            <w:hideMark/>
          </w:tcPr>
          <w:p w14:paraId="78A18FE0"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An argument that the right in question generally has a wide or narrow margin.</w:t>
            </w:r>
          </w:p>
        </w:tc>
      </w:tr>
      <w:tr w:rsidR="00B607B5" w:rsidRPr="00960CA2" w14:paraId="4B5EC2BF" w14:textId="77777777" w:rsidTr="009821E1">
        <w:trPr>
          <w:trHeight w:val="1820"/>
        </w:trPr>
        <w:tc>
          <w:tcPr>
            <w:cnfStyle w:val="001000000000" w:firstRow="0" w:lastRow="0" w:firstColumn="1" w:lastColumn="0" w:oddVBand="0" w:evenVBand="0" w:oddHBand="0" w:evenHBand="0" w:firstRowFirstColumn="0" w:firstRowLastColumn="0" w:lastRowFirstColumn="0" w:lastRowLastColumn="0"/>
            <w:tcW w:w="0" w:type="auto"/>
            <w:hideMark/>
          </w:tcPr>
          <w:p w14:paraId="0FEC6DE1"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7C400B54"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3.b. Scope of situation</w:t>
            </w:r>
          </w:p>
        </w:tc>
        <w:tc>
          <w:tcPr>
            <w:tcW w:w="0" w:type="auto"/>
            <w:hideMark/>
          </w:tcPr>
          <w:p w14:paraId="3FFF975E"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An argument that the width of the margin is determined by the specific type of case being treated - whether wide or narrow. Different from 5.c. in that the argument is not that the type of situation is particularly interfering or that the legitimate aim is particularly important, but rather that the width of the margin in these types of cases has already been determined in established  caselaw.</w:t>
            </w:r>
          </w:p>
        </w:tc>
      </w:tr>
      <w:tr w:rsidR="00B607B5" w:rsidRPr="00BB12DA" w14:paraId="1D59643D" w14:textId="77777777" w:rsidTr="009821E1">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FF0000"/>
            <w:hideMark/>
          </w:tcPr>
          <w:p w14:paraId="0D61EBD0" w14:textId="77777777" w:rsidR="00B607B5" w:rsidRPr="00BB12DA" w:rsidRDefault="00B607B5" w:rsidP="009821E1">
            <w:pPr>
              <w:rPr>
                <w:rFonts w:ascii="Garamond" w:eastAsia="Times New Roman" w:hAnsi="Garamond" w:cs="Calibri"/>
                <w:b w:val="0"/>
                <w:bCs w:val="0"/>
                <w:caps w:val="0"/>
                <w:color w:val="000000"/>
                <w:sz w:val="20"/>
                <w:szCs w:val="20"/>
                <w:lang w:eastAsia="en-GB"/>
              </w:rPr>
            </w:pPr>
            <w:r w:rsidRPr="00960CA2">
              <w:rPr>
                <w:rFonts w:ascii="Garamond" w:eastAsia="Times New Roman" w:hAnsi="Garamond" w:cs="Calibri"/>
                <w:color w:val="000000"/>
                <w:sz w:val="20"/>
                <w:szCs w:val="20"/>
                <w:lang w:eastAsia="en-GB"/>
              </w:rPr>
              <w:t>4. Margin for domestic institutions</w:t>
            </w:r>
          </w:p>
          <w:p w14:paraId="00A0368D"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w:t>
            </w:r>
          </w:p>
        </w:tc>
      </w:tr>
      <w:tr w:rsidR="00B607B5" w:rsidRPr="00960CA2" w14:paraId="2B5717E0" w14:textId="77777777" w:rsidTr="009821E1">
        <w:trPr>
          <w:trHeight w:val="1040"/>
        </w:trPr>
        <w:tc>
          <w:tcPr>
            <w:cnfStyle w:val="001000000000" w:firstRow="0" w:lastRow="0" w:firstColumn="1" w:lastColumn="0" w:oddVBand="0" w:evenVBand="0" w:oddHBand="0" w:evenHBand="0" w:firstRowFirstColumn="0" w:firstRowLastColumn="0" w:lastRowFirstColumn="0" w:lastRowLastColumn="0"/>
            <w:tcW w:w="0" w:type="auto"/>
            <w:hideMark/>
          </w:tcPr>
          <w:p w14:paraId="096747AA"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5A34F905"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4.a. Sovereignty and democratic legitimacy argument</w:t>
            </w:r>
          </w:p>
        </w:tc>
        <w:tc>
          <w:tcPr>
            <w:tcW w:w="0" w:type="auto"/>
            <w:hideMark/>
          </w:tcPr>
          <w:p w14:paraId="3D42161C"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An argument that the width of the margin should be determined by the quality/lack of quality of the debate at the domestic level as well as statements that the theme in question falls exclusively within the sovereignty of the state. </w:t>
            </w:r>
          </w:p>
        </w:tc>
      </w:tr>
      <w:tr w:rsidR="00B607B5" w:rsidRPr="00BB12DA" w14:paraId="5B865369" w14:textId="77777777" w:rsidTr="009821E1">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0" w:type="auto"/>
            <w:hideMark/>
          </w:tcPr>
          <w:p w14:paraId="473BAED6"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57AF2600"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4.b. Domestic Courts</w:t>
            </w:r>
          </w:p>
        </w:tc>
        <w:tc>
          <w:tcPr>
            <w:tcW w:w="0" w:type="auto"/>
            <w:hideMark/>
          </w:tcPr>
          <w:p w14:paraId="7551BB2B"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An argument that the width of the margin is determined by the existence and/or quality (or lack thereof) of the treatment of the case by national courts. </w:t>
            </w:r>
          </w:p>
        </w:tc>
      </w:tr>
      <w:tr w:rsidR="00B607B5" w:rsidRPr="00960CA2" w14:paraId="1367A8EA" w14:textId="77777777" w:rsidTr="009821E1">
        <w:trPr>
          <w:trHeight w:val="780"/>
        </w:trPr>
        <w:tc>
          <w:tcPr>
            <w:cnfStyle w:val="001000000000" w:firstRow="0" w:lastRow="0" w:firstColumn="1" w:lastColumn="0" w:oddVBand="0" w:evenVBand="0" w:oddHBand="0" w:evenHBand="0" w:firstRowFirstColumn="0" w:firstRowLastColumn="0" w:lastRowFirstColumn="0" w:lastRowLastColumn="0"/>
            <w:tcW w:w="0" w:type="auto"/>
            <w:hideMark/>
          </w:tcPr>
          <w:p w14:paraId="4B3AC779"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29034F1D"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4.c. procedural general</w:t>
            </w:r>
          </w:p>
        </w:tc>
        <w:tc>
          <w:tcPr>
            <w:tcW w:w="0" w:type="auto"/>
            <w:hideMark/>
          </w:tcPr>
          <w:p w14:paraId="7EFEE36C"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General arguments that the margin should be determined by the quality (whether high or low) of the procedural protections at the domestic level.</w:t>
            </w:r>
          </w:p>
        </w:tc>
      </w:tr>
      <w:tr w:rsidR="00B607B5" w:rsidRPr="00BB12DA" w14:paraId="0C61527B" w14:textId="77777777" w:rsidTr="009821E1">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4472C4" w:themeFill="accent1"/>
            <w:hideMark/>
          </w:tcPr>
          <w:p w14:paraId="0AC7C418" w14:textId="77777777" w:rsidR="00B607B5" w:rsidRPr="00BB12DA" w:rsidRDefault="00B607B5" w:rsidP="009821E1">
            <w:pPr>
              <w:rPr>
                <w:rFonts w:ascii="Garamond" w:eastAsia="Times New Roman" w:hAnsi="Garamond" w:cs="Calibri"/>
                <w:b w:val="0"/>
                <w:bCs w:val="0"/>
                <w:caps w:val="0"/>
                <w:color w:val="000000"/>
                <w:sz w:val="20"/>
                <w:szCs w:val="20"/>
                <w:lang w:eastAsia="en-GB"/>
              </w:rPr>
            </w:pPr>
            <w:r w:rsidRPr="00960CA2">
              <w:rPr>
                <w:rFonts w:ascii="Garamond" w:eastAsia="Times New Roman" w:hAnsi="Garamond" w:cs="Calibri"/>
                <w:color w:val="000000"/>
                <w:sz w:val="20"/>
                <w:szCs w:val="20"/>
                <w:lang w:eastAsia="en-GB"/>
              </w:rPr>
              <w:t>5. Margin as part of the proportionality assessment</w:t>
            </w:r>
          </w:p>
          <w:p w14:paraId="2CBA9134"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w:t>
            </w:r>
          </w:p>
        </w:tc>
      </w:tr>
      <w:tr w:rsidR="00B607B5" w:rsidRPr="00960CA2" w14:paraId="42D2AF0E" w14:textId="77777777" w:rsidTr="009821E1">
        <w:trPr>
          <w:trHeight w:val="1300"/>
        </w:trPr>
        <w:tc>
          <w:tcPr>
            <w:cnfStyle w:val="001000000000" w:firstRow="0" w:lastRow="0" w:firstColumn="1" w:lastColumn="0" w:oddVBand="0" w:evenVBand="0" w:oddHBand="0" w:evenHBand="0" w:firstRowFirstColumn="0" w:firstRowLastColumn="0" w:lastRowFirstColumn="0" w:lastRowLastColumn="0"/>
            <w:tcW w:w="0" w:type="auto"/>
            <w:hideMark/>
          </w:tcPr>
          <w:p w14:paraId="0CA60351"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57D9EA9B"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5.a. Balancing between individuals</w:t>
            </w:r>
          </w:p>
        </w:tc>
        <w:tc>
          <w:tcPr>
            <w:tcW w:w="0" w:type="auto"/>
            <w:hideMark/>
          </w:tcPr>
          <w:p w14:paraId="5E0A0E47" w14:textId="5D824706"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This category includes arguments that the margin is determined by the requirement that the state balances the rights and interests of several (specific) individuals - so not between individuals and the more vaguely determined 'societal interests' or other legitimate aims.</w:t>
            </w:r>
          </w:p>
        </w:tc>
      </w:tr>
      <w:tr w:rsidR="00B607B5" w:rsidRPr="00BB12DA" w14:paraId="56D8ED02" w14:textId="77777777" w:rsidTr="009821E1">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0" w:type="auto"/>
            <w:hideMark/>
          </w:tcPr>
          <w:p w14:paraId="27929031"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3CB2750D"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5.b. European consensus</w:t>
            </w:r>
          </w:p>
        </w:tc>
        <w:tc>
          <w:tcPr>
            <w:tcW w:w="0" w:type="auto"/>
            <w:hideMark/>
          </w:tcPr>
          <w:p w14:paraId="254157FB"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This category includes any incorporation of a European consensus argument as determination of the width of the margin, whether to argue that such a consensus is absent or present. </w:t>
            </w:r>
          </w:p>
        </w:tc>
      </w:tr>
      <w:tr w:rsidR="00B607B5" w:rsidRPr="00960CA2" w14:paraId="672CD74F" w14:textId="77777777" w:rsidTr="009821E1">
        <w:trPr>
          <w:trHeight w:val="1300"/>
        </w:trPr>
        <w:tc>
          <w:tcPr>
            <w:cnfStyle w:val="001000000000" w:firstRow="0" w:lastRow="0" w:firstColumn="1" w:lastColumn="0" w:oddVBand="0" w:evenVBand="0" w:oddHBand="0" w:evenHBand="0" w:firstRowFirstColumn="0" w:firstRowLastColumn="0" w:lastRowFirstColumn="0" w:lastRowLastColumn="0"/>
            <w:tcW w:w="0" w:type="auto"/>
            <w:hideMark/>
          </w:tcPr>
          <w:p w14:paraId="5B0941BD"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0D2BCB9A"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5.c. Interference versus legitimate aim</w:t>
            </w:r>
          </w:p>
        </w:tc>
        <w:tc>
          <w:tcPr>
            <w:tcW w:w="0" w:type="auto"/>
            <w:hideMark/>
          </w:tcPr>
          <w:p w14:paraId="642E818D" w14:textId="3A455F2B"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This category includes statements on vulnerability and importance of the right for the applicants, and the existence/</w:t>
            </w:r>
            <w:r w:rsidR="004175DC" w:rsidRPr="00960CA2">
              <w:rPr>
                <w:rFonts w:ascii="Garamond" w:eastAsia="Times New Roman" w:hAnsi="Garamond" w:cs="Calibri"/>
                <w:color w:val="000000"/>
                <w:sz w:val="20"/>
                <w:szCs w:val="20"/>
                <w:lang w:eastAsia="en-GB"/>
              </w:rPr>
              <w:t>absence</w:t>
            </w:r>
            <w:r w:rsidRPr="00960CA2">
              <w:rPr>
                <w:rFonts w:ascii="Garamond" w:eastAsia="Times New Roman" w:hAnsi="Garamond" w:cs="Calibri"/>
                <w:color w:val="000000"/>
                <w:sz w:val="20"/>
                <w:szCs w:val="20"/>
                <w:lang w:eastAsia="en-GB"/>
              </w:rPr>
              <w:t xml:space="preserve"> of attempts at mitigating the interference, but also statements on the importance of the legitimate aim, including national security arguments.</w:t>
            </w:r>
          </w:p>
        </w:tc>
      </w:tr>
      <w:tr w:rsidR="00B607B5" w:rsidRPr="00BB12DA" w14:paraId="170ED1E3" w14:textId="77777777" w:rsidTr="009821E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7F7F7F" w:themeFill="text1" w:themeFillTint="80"/>
            <w:hideMark/>
          </w:tcPr>
          <w:p w14:paraId="3E4CF0C7" w14:textId="77777777" w:rsidR="00B607B5" w:rsidRPr="00BB12DA" w:rsidRDefault="00B607B5" w:rsidP="009821E1">
            <w:pPr>
              <w:rPr>
                <w:rFonts w:ascii="Garamond" w:eastAsia="Times New Roman" w:hAnsi="Garamond" w:cs="Calibri"/>
                <w:b w:val="0"/>
                <w:bCs w:val="0"/>
                <w:caps w:val="0"/>
                <w:color w:val="000000"/>
                <w:sz w:val="20"/>
                <w:szCs w:val="20"/>
                <w:lang w:eastAsia="en-GB"/>
              </w:rPr>
            </w:pPr>
            <w:r w:rsidRPr="00960CA2">
              <w:rPr>
                <w:rFonts w:ascii="Garamond" w:eastAsia="Times New Roman" w:hAnsi="Garamond" w:cs="Calibri"/>
                <w:color w:val="000000"/>
                <w:sz w:val="20"/>
                <w:szCs w:val="20"/>
                <w:lang w:eastAsia="en-GB"/>
              </w:rPr>
              <w:t>6. Margin as better placed argument</w:t>
            </w:r>
          </w:p>
          <w:p w14:paraId="28BDDE88"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w:t>
            </w:r>
          </w:p>
        </w:tc>
      </w:tr>
      <w:tr w:rsidR="00B607B5" w:rsidRPr="00960CA2" w14:paraId="50AE157D" w14:textId="77777777" w:rsidTr="009821E1">
        <w:trPr>
          <w:trHeight w:val="1560"/>
        </w:trPr>
        <w:tc>
          <w:tcPr>
            <w:cnfStyle w:val="001000000000" w:firstRow="0" w:lastRow="0" w:firstColumn="1" w:lastColumn="0" w:oddVBand="0" w:evenVBand="0" w:oddHBand="0" w:evenHBand="0" w:firstRowFirstColumn="0" w:firstRowLastColumn="0" w:lastRowFirstColumn="0" w:lastRowLastColumn="0"/>
            <w:tcW w:w="0" w:type="auto"/>
            <w:hideMark/>
          </w:tcPr>
          <w:p w14:paraId="2E96BA12"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lastRenderedPageBreak/>
              <w:t xml:space="preserve"> </w:t>
            </w:r>
          </w:p>
        </w:tc>
        <w:tc>
          <w:tcPr>
            <w:tcW w:w="0" w:type="auto"/>
            <w:hideMark/>
          </w:tcPr>
          <w:p w14:paraId="676D1EC0" w14:textId="25A00BB9"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6.a. Policy/economic/scien</w:t>
            </w:r>
            <w:r w:rsidR="00A0527A">
              <w:rPr>
                <w:rFonts w:ascii="Garamond" w:eastAsia="Times New Roman" w:hAnsi="Garamond" w:cs="Calibri"/>
                <w:color w:val="000000"/>
                <w:sz w:val="20"/>
                <w:szCs w:val="20"/>
                <w:lang w:eastAsia="en-GB"/>
              </w:rPr>
              <w:t>t</w:t>
            </w:r>
            <w:r w:rsidRPr="00960CA2">
              <w:rPr>
                <w:rFonts w:ascii="Garamond" w:eastAsia="Times New Roman" w:hAnsi="Garamond" w:cs="Calibri"/>
                <w:color w:val="000000"/>
                <w:sz w:val="20"/>
                <w:szCs w:val="20"/>
                <w:lang w:eastAsia="en-GB"/>
              </w:rPr>
              <w:t>ific choices where reasonable minds</w:t>
            </w:r>
            <w:r w:rsidR="00137EEC">
              <w:rPr>
                <w:rFonts w:ascii="Garamond" w:eastAsia="Times New Roman" w:hAnsi="Garamond" w:cs="Calibri"/>
                <w:color w:val="000000"/>
                <w:sz w:val="20"/>
                <w:szCs w:val="20"/>
                <w:lang w:eastAsia="en-GB"/>
              </w:rPr>
              <w:t xml:space="preserve"> may differ</w:t>
            </w:r>
          </w:p>
        </w:tc>
        <w:tc>
          <w:tcPr>
            <w:tcW w:w="0" w:type="auto"/>
            <w:hideMark/>
          </w:tcPr>
          <w:p w14:paraId="6041A043"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An argument that the case concerns a theme on which reasonable minds may differ for policy reasons or because the situation at hand deals with legislature implementing social or economic policies. This category also includes cases where 'delicate moral' concerns are cited in favour of granting a (wide) margin.</w:t>
            </w:r>
          </w:p>
        </w:tc>
      </w:tr>
      <w:tr w:rsidR="00B607B5" w:rsidRPr="00BB12DA" w14:paraId="69F6907D" w14:textId="77777777" w:rsidTr="009821E1">
        <w:trPr>
          <w:cnfStyle w:val="000000100000" w:firstRow="0" w:lastRow="0" w:firstColumn="0" w:lastColumn="0" w:oddVBand="0" w:evenVBand="0" w:oddHBand="1" w:evenHBand="0"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0" w:type="auto"/>
            <w:hideMark/>
          </w:tcPr>
          <w:p w14:paraId="417B2C82"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 </w:t>
            </w:r>
          </w:p>
        </w:tc>
        <w:tc>
          <w:tcPr>
            <w:tcW w:w="0" w:type="auto"/>
            <w:hideMark/>
          </w:tcPr>
          <w:p w14:paraId="2D6757BC"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6.b. Pragmatic better placed argument</w:t>
            </w:r>
          </w:p>
        </w:tc>
        <w:tc>
          <w:tcPr>
            <w:tcW w:w="0" w:type="auto"/>
            <w:hideMark/>
          </w:tcPr>
          <w:p w14:paraId="709D9F56" w14:textId="77777777" w:rsidR="00B607B5" w:rsidRPr="00960CA2" w:rsidRDefault="00B607B5" w:rsidP="009821E1">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Any argument for the determination of the width of the margin on the basis that national authorities are better placed because of access to information or intimate knowledge- often applied in cases on family life and the removal of children from parental care.</w:t>
            </w:r>
          </w:p>
        </w:tc>
      </w:tr>
      <w:tr w:rsidR="00B607B5" w:rsidRPr="00960CA2" w14:paraId="076C3110" w14:textId="77777777" w:rsidTr="009821E1">
        <w:trPr>
          <w:trHeight w:val="1560"/>
        </w:trPr>
        <w:tc>
          <w:tcPr>
            <w:cnfStyle w:val="001000000000" w:firstRow="0" w:lastRow="0" w:firstColumn="1" w:lastColumn="0" w:oddVBand="0" w:evenVBand="0" w:oddHBand="0" w:evenHBand="0" w:firstRowFirstColumn="0" w:firstRowLastColumn="0" w:lastRowFirstColumn="0" w:lastRowLastColumn="0"/>
            <w:tcW w:w="0" w:type="auto"/>
            <w:hideMark/>
          </w:tcPr>
          <w:p w14:paraId="3311FB21" w14:textId="77777777" w:rsidR="00B607B5" w:rsidRPr="00960CA2" w:rsidRDefault="00B607B5" w:rsidP="009821E1">
            <w:pPr>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7. Other</w:t>
            </w:r>
          </w:p>
        </w:tc>
        <w:tc>
          <w:tcPr>
            <w:tcW w:w="0" w:type="auto"/>
            <w:hideMark/>
          </w:tcPr>
          <w:p w14:paraId="53DBF428"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p>
        </w:tc>
        <w:tc>
          <w:tcPr>
            <w:tcW w:w="0" w:type="auto"/>
            <w:hideMark/>
          </w:tcPr>
          <w:p w14:paraId="38329433" w14:textId="77777777" w:rsidR="00B607B5" w:rsidRPr="00960CA2" w:rsidRDefault="00B607B5" w:rsidP="009821E1">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Calibri"/>
                <w:color w:val="000000"/>
                <w:sz w:val="20"/>
                <w:szCs w:val="20"/>
                <w:lang w:eastAsia="en-GB"/>
              </w:rPr>
            </w:pPr>
            <w:r w:rsidRPr="00960CA2">
              <w:rPr>
                <w:rFonts w:ascii="Garamond" w:eastAsia="Times New Roman" w:hAnsi="Garamond" w:cs="Calibri"/>
                <w:color w:val="000000"/>
                <w:sz w:val="20"/>
                <w:szCs w:val="20"/>
                <w:lang w:eastAsia="en-GB"/>
              </w:rPr>
              <w:t xml:space="preserve">Margin-usages that do not appear to fit into any of the other categories. This includes cases where the margin discussed relates to internal relationships in the respondent state (margin afforded to experts, prosecutors etc.) and cases where the margin is an element in determining relationships with other international bodies than the ECtHR. </w:t>
            </w:r>
          </w:p>
        </w:tc>
      </w:tr>
    </w:tbl>
    <w:p w14:paraId="4BEFDF52" w14:textId="2727745C" w:rsidR="006F4777" w:rsidRPr="009B7CD3" w:rsidRDefault="006F4777" w:rsidP="009B7CD3">
      <w:pPr>
        <w:spacing w:line="360" w:lineRule="auto"/>
        <w:jc w:val="both"/>
        <w:rPr>
          <w:rFonts w:ascii="Times New Roman" w:hAnsi="Times New Roman" w:cs="Times New Roman"/>
        </w:rPr>
      </w:pPr>
    </w:p>
    <w:sectPr w:rsidR="006F4777" w:rsidRPr="009B7CD3" w:rsidSect="00381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eiden Journal of International La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25ddw9azerp9e55w4x9rrkwwtx00w92xar&quot;&gt;My EndNote Librarybackup26.10.2021&lt;record-ids&gt;&lt;item&gt;1119&lt;/item&gt;&lt;item&gt;1157&lt;/item&gt;&lt;/record-ids&gt;&lt;/item&gt;&lt;/Libraries&gt;"/>
  </w:docVars>
  <w:rsids>
    <w:rsidRoot w:val="00092715"/>
    <w:rsid w:val="000077EF"/>
    <w:rsid w:val="00013FE2"/>
    <w:rsid w:val="00030CE4"/>
    <w:rsid w:val="00031F1A"/>
    <w:rsid w:val="00047B7B"/>
    <w:rsid w:val="00082C5F"/>
    <w:rsid w:val="00092715"/>
    <w:rsid w:val="00094A98"/>
    <w:rsid w:val="00094BBD"/>
    <w:rsid w:val="000D2558"/>
    <w:rsid w:val="000D77ED"/>
    <w:rsid w:val="000E07E7"/>
    <w:rsid w:val="000E6F06"/>
    <w:rsid w:val="000F710A"/>
    <w:rsid w:val="00100BFD"/>
    <w:rsid w:val="00104FF2"/>
    <w:rsid w:val="00113A80"/>
    <w:rsid w:val="00130C10"/>
    <w:rsid w:val="00137EEC"/>
    <w:rsid w:val="00145CD3"/>
    <w:rsid w:val="0015329D"/>
    <w:rsid w:val="001659CC"/>
    <w:rsid w:val="00205791"/>
    <w:rsid w:val="00212EFD"/>
    <w:rsid w:val="00225F74"/>
    <w:rsid w:val="00232666"/>
    <w:rsid w:val="002675F4"/>
    <w:rsid w:val="002A0926"/>
    <w:rsid w:val="002A65E0"/>
    <w:rsid w:val="002B5AD4"/>
    <w:rsid w:val="002D1D43"/>
    <w:rsid w:val="002D2E0C"/>
    <w:rsid w:val="002D4A8E"/>
    <w:rsid w:val="002F0D3C"/>
    <w:rsid w:val="003502FA"/>
    <w:rsid w:val="0035685C"/>
    <w:rsid w:val="00370C34"/>
    <w:rsid w:val="00381D7B"/>
    <w:rsid w:val="003A346A"/>
    <w:rsid w:val="003A446D"/>
    <w:rsid w:val="003B00E5"/>
    <w:rsid w:val="003C08AA"/>
    <w:rsid w:val="003F7AA5"/>
    <w:rsid w:val="00410839"/>
    <w:rsid w:val="004175DC"/>
    <w:rsid w:val="00420A8F"/>
    <w:rsid w:val="0043780F"/>
    <w:rsid w:val="00455BB2"/>
    <w:rsid w:val="004A253D"/>
    <w:rsid w:val="004A7601"/>
    <w:rsid w:val="004D2EA6"/>
    <w:rsid w:val="004D3DDA"/>
    <w:rsid w:val="004E164A"/>
    <w:rsid w:val="004F24F7"/>
    <w:rsid w:val="005070DB"/>
    <w:rsid w:val="00530AD6"/>
    <w:rsid w:val="00537811"/>
    <w:rsid w:val="0057329E"/>
    <w:rsid w:val="00583903"/>
    <w:rsid w:val="00586706"/>
    <w:rsid w:val="005873C4"/>
    <w:rsid w:val="005C0323"/>
    <w:rsid w:val="005D4415"/>
    <w:rsid w:val="005E6BAD"/>
    <w:rsid w:val="005F7805"/>
    <w:rsid w:val="00622173"/>
    <w:rsid w:val="0062789C"/>
    <w:rsid w:val="00633E1A"/>
    <w:rsid w:val="00635D8B"/>
    <w:rsid w:val="006511A9"/>
    <w:rsid w:val="00654736"/>
    <w:rsid w:val="006767EE"/>
    <w:rsid w:val="006A16A6"/>
    <w:rsid w:val="006B3282"/>
    <w:rsid w:val="006D5A0E"/>
    <w:rsid w:val="006F4777"/>
    <w:rsid w:val="006F7775"/>
    <w:rsid w:val="007102DE"/>
    <w:rsid w:val="00757128"/>
    <w:rsid w:val="00772620"/>
    <w:rsid w:val="0077263F"/>
    <w:rsid w:val="0077747F"/>
    <w:rsid w:val="00782408"/>
    <w:rsid w:val="0079047F"/>
    <w:rsid w:val="0079356F"/>
    <w:rsid w:val="00794BAE"/>
    <w:rsid w:val="007B082A"/>
    <w:rsid w:val="007C5D7D"/>
    <w:rsid w:val="00816043"/>
    <w:rsid w:val="0082523B"/>
    <w:rsid w:val="00854525"/>
    <w:rsid w:val="008838AC"/>
    <w:rsid w:val="00887215"/>
    <w:rsid w:val="008927B4"/>
    <w:rsid w:val="008A06FA"/>
    <w:rsid w:val="008B3408"/>
    <w:rsid w:val="008D50D3"/>
    <w:rsid w:val="008F7628"/>
    <w:rsid w:val="009051D0"/>
    <w:rsid w:val="0090699C"/>
    <w:rsid w:val="00941988"/>
    <w:rsid w:val="00952CD0"/>
    <w:rsid w:val="00957168"/>
    <w:rsid w:val="009760D1"/>
    <w:rsid w:val="009869A5"/>
    <w:rsid w:val="00993386"/>
    <w:rsid w:val="009A68C5"/>
    <w:rsid w:val="009B6F98"/>
    <w:rsid w:val="009B7CD3"/>
    <w:rsid w:val="009C55D6"/>
    <w:rsid w:val="009D7C2A"/>
    <w:rsid w:val="00A0527A"/>
    <w:rsid w:val="00A17F05"/>
    <w:rsid w:val="00A26F8D"/>
    <w:rsid w:val="00A427AA"/>
    <w:rsid w:val="00A6763D"/>
    <w:rsid w:val="00A71BF2"/>
    <w:rsid w:val="00A75332"/>
    <w:rsid w:val="00A86441"/>
    <w:rsid w:val="00AB4AD7"/>
    <w:rsid w:val="00B3453C"/>
    <w:rsid w:val="00B36D12"/>
    <w:rsid w:val="00B42F6E"/>
    <w:rsid w:val="00B607B5"/>
    <w:rsid w:val="00B8406E"/>
    <w:rsid w:val="00B91E83"/>
    <w:rsid w:val="00BB4EB3"/>
    <w:rsid w:val="00BE017C"/>
    <w:rsid w:val="00BE3743"/>
    <w:rsid w:val="00BF0667"/>
    <w:rsid w:val="00BF3EA2"/>
    <w:rsid w:val="00C14146"/>
    <w:rsid w:val="00C1552C"/>
    <w:rsid w:val="00C26875"/>
    <w:rsid w:val="00C42B45"/>
    <w:rsid w:val="00C5355E"/>
    <w:rsid w:val="00C6063A"/>
    <w:rsid w:val="00C9764E"/>
    <w:rsid w:val="00CA7D48"/>
    <w:rsid w:val="00CC20E1"/>
    <w:rsid w:val="00CE3BEF"/>
    <w:rsid w:val="00CF6221"/>
    <w:rsid w:val="00D51516"/>
    <w:rsid w:val="00D6161C"/>
    <w:rsid w:val="00D76CBD"/>
    <w:rsid w:val="00D8111D"/>
    <w:rsid w:val="00D8421F"/>
    <w:rsid w:val="00E02622"/>
    <w:rsid w:val="00E053E0"/>
    <w:rsid w:val="00E359E0"/>
    <w:rsid w:val="00E61D0E"/>
    <w:rsid w:val="00E66B8B"/>
    <w:rsid w:val="00E81A32"/>
    <w:rsid w:val="00E82232"/>
    <w:rsid w:val="00E8751E"/>
    <w:rsid w:val="00E92183"/>
    <w:rsid w:val="00E92270"/>
    <w:rsid w:val="00E96CA3"/>
    <w:rsid w:val="00EB7F40"/>
    <w:rsid w:val="00ED0456"/>
    <w:rsid w:val="00EF186F"/>
    <w:rsid w:val="00F15AB5"/>
    <w:rsid w:val="00F324E3"/>
    <w:rsid w:val="00F35EC1"/>
    <w:rsid w:val="00F47A9A"/>
    <w:rsid w:val="00F63060"/>
    <w:rsid w:val="00F76E56"/>
    <w:rsid w:val="00F85FDF"/>
    <w:rsid w:val="00F908C6"/>
    <w:rsid w:val="00F92132"/>
    <w:rsid w:val="00FA20F1"/>
    <w:rsid w:val="00FE38D6"/>
    <w:rsid w:val="00FF70F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4AFA"/>
  <w15:chartTrackingRefBased/>
  <w15:docId w15:val="{3BE78CC9-B92E-45ED-9EB1-8BC3515C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7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659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904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C97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9764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C9764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1659C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79047F"/>
    <w:rPr>
      <w:rFonts w:asciiTheme="majorHAnsi" w:eastAsiaTheme="majorEastAsia" w:hAnsiTheme="majorHAnsi" w:cstheme="majorBidi"/>
      <w:color w:val="1F3763" w:themeColor="accent1" w:themeShade="7F"/>
      <w:sz w:val="24"/>
      <w:szCs w:val="24"/>
    </w:rPr>
  </w:style>
  <w:style w:type="paragraph" w:customStyle="1" w:styleId="EndNoteBibliographyTitle">
    <w:name w:val="EndNote Bibliography Title"/>
    <w:basedOn w:val="Normal"/>
    <w:link w:val="EndNoteBibliographyTitleTegn"/>
    <w:rsid w:val="00654736"/>
    <w:pPr>
      <w:spacing w:after="0"/>
      <w:jc w:val="center"/>
    </w:pPr>
    <w:rPr>
      <w:rFonts w:ascii="Calibri" w:hAnsi="Calibri" w:cs="Calibri"/>
      <w:noProof/>
      <w:lang w:val="en-US"/>
    </w:rPr>
  </w:style>
  <w:style w:type="character" w:customStyle="1" w:styleId="EndNoteBibliographyTitleTegn">
    <w:name w:val="EndNote Bibliography Title Tegn"/>
    <w:basedOn w:val="Standardskrifttypeiafsnit"/>
    <w:link w:val="EndNoteBibliographyTitle"/>
    <w:rsid w:val="00654736"/>
    <w:rPr>
      <w:rFonts w:ascii="Calibri" w:hAnsi="Calibri" w:cs="Calibri"/>
      <w:noProof/>
      <w:lang w:val="en-US"/>
    </w:rPr>
  </w:style>
  <w:style w:type="paragraph" w:customStyle="1" w:styleId="EndNoteBibliography">
    <w:name w:val="EndNote Bibliography"/>
    <w:basedOn w:val="Normal"/>
    <w:link w:val="EndNoteBibliographyTegn"/>
    <w:rsid w:val="00654736"/>
    <w:pPr>
      <w:spacing w:line="240" w:lineRule="auto"/>
    </w:pPr>
    <w:rPr>
      <w:rFonts w:ascii="Calibri" w:hAnsi="Calibri" w:cs="Calibri"/>
      <w:noProof/>
      <w:lang w:val="en-US"/>
    </w:rPr>
  </w:style>
  <w:style w:type="character" w:customStyle="1" w:styleId="EndNoteBibliographyTegn">
    <w:name w:val="EndNote Bibliography Tegn"/>
    <w:basedOn w:val="Standardskrifttypeiafsnit"/>
    <w:link w:val="EndNoteBibliography"/>
    <w:rsid w:val="00654736"/>
    <w:rPr>
      <w:rFonts w:ascii="Calibri" w:hAnsi="Calibri" w:cs="Calibri"/>
      <w:noProof/>
      <w:lang w:val="en-US"/>
    </w:rPr>
  </w:style>
  <w:style w:type="table" w:styleId="Almindeligtabel3">
    <w:name w:val="Plain Table 3"/>
    <w:basedOn w:val="Tabel-Normal"/>
    <w:uiPriority w:val="43"/>
    <w:rsid w:val="00B607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rmateretHTML">
    <w:name w:val="HTML Preformatted"/>
    <w:basedOn w:val="Normal"/>
    <w:link w:val="FormateretHTMLTegn"/>
    <w:uiPriority w:val="99"/>
    <w:unhideWhenUsed/>
    <w:rsid w:val="0062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FormateretHTMLTegn">
    <w:name w:val="Formateret HTML Tegn"/>
    <w:basedOn w:val="Standardskrifttypeiafsnit"/>
    <w:link w:val="FormateretHTML"/>
    <w:uiPriority w:val="99"/>
    <w:rsid w:val="0062789C"/>
    <w:rPr>
      <w:rFonts w:ascii="Courier New" w:eastAsia="Times New Roman" w:hAnsi="Courier New" w:cs="Courier New"/>
      <w:sz w:val="20"/>
      <w:szCs w:val="20"/>
      <w:lang w:eastAsia="en-GB"/>
    </w:rPr>
  </w:style>
  <w:style w:type="character" w:customStyle="1" w:styleId="gd15mcfceub">
    <w:name w:val="gd15mcfceub"/>
    <w:basedOn w:val="Standardskrifttypeiafsnit"/>
    <w:rsid w:val="0062789C"/>
  </w:style>
  <w:style w:type="character" w:customStyle="1" w:styleId="gd15mcfckub">
    <w:name w:val="gd15mcfckub"/>
    <w:basedOn w:val="Standardskrifttypeiafsnit"/>
    <w:rsid w:val="003502FA"/>
  </w:style>
  <w:style w:type="character" w:customStyle="1" w:styleId="gd15mcfcktb">
    <w:name w:val="gd15mcfcktb"/>
    <w:basedOn w:val="Standardskrifttypeiafsnit"/>
    <w:rsid w:val="0035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5922">
      <w:bodyDiv w:val="1"/>
      <w:marLeft w:val="0"/>
      <w:marRight w:val="0"/>
      <w:marTop w:val="0"/>
      <w:marBottom w:val="0"/>
      <w:divBdr>
        <w:top w:val="none" w:sz="0" w:space="0" w:color="auto"/>
        <w:left w:val="none" w:sz="0" w:space="0" w:color="auto"/>
        <w:bottom w:val="none" w:sz="0" w:space="0" w:color="auto"/>
        <w:right w:val="none" w:sz="0" w:space="0" w:color="auto"/>
      </w:divBdr>
    </w:div>
    <w:div w:id="314845498">
      <w:bodyDiv w:val="1"/>
      <w:marLeft w:val="0"/>
      <w:marRight w:val="0"/>
      <w:marTop w:val="0"/>
      <w:marBottom w:val="0"/>
      <w:divBdr>
        <w:top w:val="none" w:sz="0" w:space="0" w:color="auto"/>
        <w:left w:val="none" w:sz="0" w:space="0" w:color="auto"/>
        <w:bottom w:val="none" w:sz="0" w:space="0" w:color="auto"/>
        <w:right w:val="none" w:sz="0" w:space="0" w:color="auto"/>
      </w:divBdr>
    </w:div>
    <w:div w:id="530580670">
      <w:bodyDiv w:val="1"/>
      <w:marLeft w:val="0"/>
      <w:marRight w:val="0"/>
      <w:marTop w:val="0"/>
      <w:marBottom w:val="0"/>
      <w:divBdr>
        <w:top w:val="none" w:sz="0" w:space="0" w:color="auto"/>
        <w:left w:val="none" w:sz="0" w:space="0" w:color="auto"/>
        <w:bottom w:val="none" w:sz="0" w:space="0" w:color="auto"/>
        <w:right w:val="none" w:sz="0" w:space="0" w:color="auto"/>
      </w:divBdr>
    </w:div>
    <w:div w:id="772748993">
      <w:bodyDiv w:val="1"/>
      <w:marLeft w:val="0"/>
      <w:marRight w:val="0"/>
      <w:marTop w:val="0"/>
      <w:marBottom w:val="0"/>
      <w:divBdr>
        <w:top w:val="none" w:sz="0" w:space="0" w:color="auto"/>
        <w:left w:val="none" w:sz="0" w:space="0" w:color="auto"/>
        <w:bottom w:val="none" w:sz="0" w:space="0" w:color="auto"/>
        <w:right w:val="none" w:sz="0" w:space="0" w:color="auto"/>
      </w:divBdr>
    </w:div>
    <w:div w:id="864900236">
      <w:bodyDiv w:val="1"/>
      <w:marLeft w:val="0"/>
      <w:marRight w:val="0"/>
      <w:marTop w:val="0"/>
      <w:marBottom w:val="0"/>
      <w:divBdr>
        <w:top w:val="none" w:sz="0" w:space="0" w:color="auto"/>
        <w:left w:val="none" w:sz="0" w:space="0" w:color="auto"/>
        <w:bottom w:val="none" w:sz="0" w:space="0" w:color="auto"/>
        <w:right w:val="none" w:sz="0" w:space="0" w:color="auto"/>
      </w:divBdr>
    </w:div>
    <w:div w:id="1072047615">
      <w:bodyDiv w:val="1"/>
      <w:marLeft w:val="0"/>
      <w:marRight w:val="0"/>
      <w:marTop w:val="0"/>
      <w:marBottom w:val="0"/>
      <w:divBdr>
        <w:top w:val="none" w:sz="0" w:space="0" w:color="auto"/>
        <w:left w:val="none" w:sz="0" w:space="0" w:color="auto"/>
        <w:bottom w:val="none" w:sz="0" w:space="0" w:color="auto"/>
        <w:right w:val="none" w:sz="0" w:space="0" w:color="auto"/>
      </w:divBdr>
    </w:div>
    <w:div w:id="1078750107">
      <w:bodyDiv w:val="1"/>
      <w:marLeft w:val="0"/>
      <w:marRight w:val="0"/>
      <w:marTop w:val="0"/>
      <w:marBottom w:val="0"/>
      <w:divBdr>
        <w:top w:val="none" w:sz="0" w:space="0" w:color="auto"/>
        <w:left w:val="none" w:sz="0" w:space="0" w:color="auto"/>
        <w:bottom w:val="none" w:sz="0" w:space="0" w:color="auto"/>
        <w:right w:val="none" w:sz="0" w:space="0" w:color="auto"/>
      </w:divBdr>
    </w:div>
    <w:div w:id="1172796241">
      <w:bodyDiv w:val="1"/>
      <w:marLeft w:val="0"/>
      <w:marRight w:val="0"/>
      <w:marTop w:val="0"/>
      <w:marBottom w:val="0"/>
      <w:divBdr>
        <w:top w:val="none" w:sz="0" w:space="0" w:color="auto"/>
        <w:left w:val="none" w:sz="0" w:space="0" w:color="auto"/>
        <w:bottom w:val="none" w:sz="0" w:space="0" w:color="auto"/>
        <w:right w:val="none" w:sz="0" w:space="0" w:color="auto"/>
      </w:divBdr>
    </w:div>
    <w:div w:id="1509634405">
      <w:bodyDiv w:val="1"/>
      <w:marLeft w:val="0"/>
      <w:marRight w:val="0"/>
      <w:marTop w:val="0"/>
      <w:marBottom w:val="0"/>
      <w:divBdr>
        <w:top w:val="none" w:sz="0" w:space="0" w:color="auto"/>
        <w:left w:val="none" w:sz="0" w:space="0" w:color="auto"/>
        <w:bottom w:val="none" w:sz="0" w:space="0" w:color="auto"/>
        <w:right w:val="none" w:sz="0" w:space="0" w:color="auto"/>
      </w:divBdr>
    </w:div>
    <w:div w:id="1520775905">
      <w:bodyDiv w:val="1"/>
      <w:marLeft w:val="0"/>
      <w:marRight w:val="0"/>
      <w:marTop w:val="0"/>
      <w:marBottom w:val="0"/>
      <w:divBdr>
        <w:top w:val="none" w:sz="0" w:space="0" w:color="auto"/>
        <w:left w:val="none" w:sz="0" w:space="0" w:color="auto"/>
        <w:bottom w:val="none" w:sz="0" w:space="0" w:color="auto"/>
        <w:right w:val="none" w:sz="0" w:space="0" w:color="auto"/>
      </w:divBdr>
    </w:div>
    <w:div w:id="1548296945">
      <w:bodyDiv w:val="1"/>
      <w:marLeft w:val="0"/>
      <w:marRight w:val="0"/>
      <w:marTop w:val="0"/>
      <w:marBottom w:val="0"/>
      <w:divBdr>
        <w:top w:val="none" w:sz="0" w:space="0" w:color="auto"/>
        <w:left w:val="none" w:sz="0" w:space="0" w:color="auto"/>
        <w:bottom w:val="none" w:sz="0" w:space="0" w:color="auto"/>
        <w:right w:val="none" w:sz="0" w:space="0" w:color="auto"/>
      </w:divBdr>
    </w:div>
    <w:div w:id="1592353871">
      <w:bodyDiv w:val="1"/>
      <w:marLeft w:val="0"/>
      <w:marRight w:val="0"/>
      <w:marTop w:val="0"/>
      <w:marBottom w:val="0"/>
      <w:divBdr>
        <w:top w:val="none" w:sz="0" w:space="0" w:color="auto"/>
        <w:left w:val="none" w:sz="0" w:space="0" w:color="auto"/>
        <w:bottom w:val="none" w:sz="0" w:space="0" w:color="auto"/>
        <w:right w:val="none" w:sz="0" w:space="0" w:color="auto"/>
      </w:divBdr>
    </w:div>
    <w:div w:id="1752969658">
      <w:bodyDiv w:val="1"/>
      <w:marLeft w:val="0"/>
      <w:marRight w:val="0"/>
      <w:marTop w:val="0"/>
      <w:marBottom w:val="0"/>
      <w:divBdr>
        <w:top w:val="none" w:sz="0" w:space="0" w:color="auto"/>
        <w:left w:val="none" w:sz="0" w:space="0" w:color="auto"/>
        <w:bottom w:val="none" w:sz="0" w:space="0" w:color="auto"/>
        <w:right w:val="none" w:sz="0" w:space="0" w:color="auto"/>
      </w:divBdr>
    </w:div>
    <w:div w:id="1871526889">
      <w:bodyDiv w:val="1"/>
      <w:marLeft w:val="0"/>
      <w:marRight w:val="0"/>
      <w:marTop w:val="0"/>
      <w:marBottom w:val="0"/>
      <w:divBdr>
        <w:top w:val="none" w:sz="0" w:space="0" w:color="auto"/>
        <w:left w:val="none" w:sz="0" w:space="0" w:color="auto"/>
        <w:bottom w:val="none" w:sz="0" w:space="0" w:color="auto"/>
        <w:right w:val="none" w:sz="0" w:space="0" w:color="auto"/>
      </w:divBdr>
    </w:div>
    <w:div w:id="2039577345">
      <w:bodyDiv w:val="1"/>
      <w:marLeft w:val="0"/>
      <w:marRight w:val="0"/>
      <w:marTop w:val="0"/>
      <w:marBottom w:val="0"/>
      <w:divBdr>
        <w:top w:val="none" w:sz="0" w:space="0" w:color="auto"/>
        <w:left w:val="none" w:sz="0" w:space="0" w:color="auto"/>
        <w:bottom w:val="none" w:sz="0" w:space="0" w:color="auto"/>
        <w:right w:val="none" w:sz="0" w:space="0" w:color="auto"/>
      </w:divBdr>
    </w:div>
    <w:div w:id="2111969821">
      <w:bodyDiv w:val="1"/>
      <w:marLeft w:val="0"/>
      <w:marRight w:val="0"/>
      <w:marTop w:val="0"/>
      <w:marBottom w:val="0"/>
      <w:divBdr>
        <w:top w:val="none" w:sz="0" w:space="0" w:color="auto"/>
        <w:left w:val="none" w:sz="0" w:space="0" w:color="auto"/>
        <w:bottom w:val="none" w:sz="0" w:space="0" w:color="auto"/>
        <w:right w:val="none" w:sz="0" w:space="0" w:color="auto"/>
      </w:divBdr>
    </w:div>
    <w:div w:id="21263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eui1-my.sharepoint.com/personal/helga_molbaek-steensig_eui_eu/Documents/Article%20on%20use%20of%20margin/HUDOC%20searches%20dataset/margin.over.tim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ui1-my.sharepoint.com/personal/helga_molbaek-steensig_eui_eu/Documents/Article%20on%20use%20of%20margin/HUDOC%20searches%20dataset/margin.over.tim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'per year'!$F$1</c:f>
              <c:strCache>
                <c:ptCount val="1"/>
                <c:pt idx="0">
                  <c:v>key.margin</c:v>
                </c:pt>
              </c:strCache>
            </c:strRef>
          </c:tx>
          <c:spPr>
            <a:ln w="28575" cap="rnd">
              <a:solidFill>
                <a:schemeClr val="accent3">
                  <a:shade val="76000"/>
                </a:schemeClr>
              </a:solidFill>
              <a:round/>
            </a:ln>
            <a:effectLst/>
          </c:spPr>
          <c:marker>
            <c:symbol val="none"/>
          </c:marker>
          <c:cat>
            <c:numRef>
              <c:f>'per year'!$A$2:$A$1048576</c:f>
              <c:numCache>
                <c:formatCode>General</c:formatCode>
                <c:ptCount val="1048575"/>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pt idx="58">
                  <c:v>2017</c:v>
                </c:pt>
                <c:pt idx="59">
                  <c:v>2018</c:v>
                </c:pt>
                <c:pt idx="60">
                  <c:v>2019</c:v>
                </c:pt>
                <c:pt idx="61">
                  <c:v>2020</c:v>
                </c:pt>
                <c:pt idx="62">
                  <c:v>2021</c:v>
                </c:pt>
              </c:numCache>
            </c:numRef>
          </c:cat>
          <c:val>
            <c:numRef>
              <c:f>'per year'!$F$3:$F$64</c:f>
              <c:numCache>
                <c:formatCode>General</c:formatCode>
                <c:ptCount val="62"/>
                <c:pt idx="0">
                  <c:v>0</c:v>
                </c:pt>
                <c:pt idx="1">
                  <c:v>0</c:v>
                </c:pt>
                <c:pt idx="2">
                  <c:v>0</c:v>
                </c:pt>
                <c:pt idx="3">
                  <c:v>0</c:v>
                </c:pt>
                <c:pt idx="4">
                  <c:v>0</c:v>
                </c:pt>
                <c:pt idx="5">
                  <c:v>0</c:v>
                </c:pt>
                <c:pt idx="6">
                  <c:v>0</c:v>
                </c:pt>
                <c:pt idx="7">
                  <c:v>0</c:v>
                </c:pt>
                <c:pt idx="8">
                  <c:v>1</c:v>
                </c:pt>
                <c:pt idx="9">
                  <c:v>0</c:v>
                </c:pt>
                <c:pt idx="10">
                  <c:v>0</c:v>
                </c:pt>
                <c:pt idx="11">
                  <c:v>0</c:v>
                </c:pt>
                <c:pt idx="12">
                  <c:v>0</c:v>
                </c:pt>
                <c:pt idx="13">
                  <c:v>0</c:v>
                </c:pt>
                <c:pt idx="14">
                  <c:v>0</c:v>
                </c:pt>
                <c:pt idx="15">
                  <c:v>1</c:v>
                </c:pt>
                <c:pt idx="16">
                  <c:v>0</c:v>
                </c:pt>
                <c:pt idx="17">
                  <c:v>0</c:v>
                </c:pt>
                <c:pt idx="18">
                  <c:v>0</c:v>
                </c:pt>
                <c:pt idx="19">
                  <c:v>1</c:v>
                </c:pt>
                <c:pt idx="20">
                  <c:v>0</c:v>
                </c:pt>
                <c:pt idx="21">
                  <c:v>0</c:v>
                </c:pt>
                <c:pt idx="22">
                  <c:v>0</c:v>
                </c:pt>
                <c:pt idx="23">
                  <c:v>0</c:v>
                </c:pt>
                <c:pt idx="24">
                  <c:v>0</c:v>
                </c:pt>
                <c:pt idx="25">
                  <c:v>0</c:v>
                </c:pt>
                <c:pt idx="26">
                  <c:v>0</c:v>
                </c:pt>
                <c:pt idx="27">
                  <c:v>0</c:v>
                </c:pt>
                <c:pt idx="28">
                  <c:v>0</c:v>
                </c:pt>
                <c:pt idx="29">
                  <c:v>0</c:v>
                </c:pt>
                <c:pt idx="30">
                  <c:v>0</c:v>
                </c:pt>
                <c:pt idx="31">
                  <c:v>2</c:v>
                </c:pt>
                <c:pt idx="32">
                  <c:v>0</c:v>
                </c:pt>
                <c:pt idx="33">
                  <c:v>0</c:v>
                </c:pt>
                <c:pt idx="34">
                  <c:v>2</c:v>
                </c:pt>
                <c:pt idx="35">
                  <c:v>10</c:v>
                </c:pt>
                <c:pt idx="36">
                  <c:v>16</c:v>
                </c:pt>
                <c:pt idx="37">
                  <c:v>14</c:v>
                </c:pt>
                <c:pt idx="38">
                  <c:v>27</c:v>
                </c:pt>
                <c:pt idx="39">
                  <c:v>50</c:v>
                </c:pt>
                <c:pt idx="40">
                  <c:v>25</c:v>
                </c:pt>
                <c:pt idx="41">
                  <c:v>67</c:v>
                </c:pt>
                <c:pt idx="42">
                  <c:v>33</c:v>
                </c:pt>
                <c:pt idx="43">
                  <c:v>8</c:v>
                </c:pt>
                <c:pt idx="44">
                  <c:v>16</c:v>
                </c:pt>
                <c:pt idx="45">
                  <c:v>12</c:v>
                </c:pt>
                <c:pt idx="46">
                  <c:v>24</c:v>
                </c:pt>
                <c:pt idx="47">
                  <c:v>43</c:v>
                </c:pt>
                <c:pt idx="48">
                  <c:v>53</c:v>
                </c:pt>
                <c:pt idx="49">
                  <c:v>69</c:v>
                </c:pt>
                <c:pt idx="50">
                  <c:v>54</c:v>
                </c:pt>
                <c:pt idx="51">
                  <c:v>49</c:v>
                </c:pt>
                <c:pt idx="52">
                  <c:v>76</c:v>
                </c:pt>
                <c:pt idx="53">
                  <c:v>56</c:v>
                </c:pt>
                <c:pt idx="54">
                  <c:v>61</c:v>
                </c:pt>
                <c:pt idx="55">
                  <c:v>45</c:v>
                </c:pt>
                <c:pt idx="56">
                  <c:v>48</c:v>
                </c:pt>
                <c:pt idx="57">
                  <c:v>45</c:v>
                </c:pt>
                <c:pt idx="58">
                  <c:v>44</c:v>
                </c:pt>
                <c:pt idx="59">
                  <c:v>24</c:v>
                </c:pt>
                <c:pt idx="60">
                  <c:v>57</c:v>
                </c:pt>
                <c:pt idx="61">
                  <c:v>64</c:v>
                </c:pt>
              </c:numCache>
              <c:extLst/>
            </c:numRef>
          </c:val>
          <c:smooth val="0"/>
          <c:extLst>
            <c:ext xmlns:c16="http://schemas.microsoft.com/office/drawing/2014/chart" uri="{C3380CC4-5D6E-409C-BE32-E72D297353CC}">
              <c16:uniqueId val="{00000000-36D9-4965-BF32-3F12302721B4}"/>
            </c:ext>
          </c:extLst>
        </c:ser>
        <c:ser>
          <c:idx val="1"/>
          <c:order val="1"/>
          <c:tx>
            <c:strRef>
              <c:f>'per year'!$J$1</c:f>
              <c:strCache>
                <c:ptCount val="1"/>
                <c:pt idx="0">
                  <c:v>text.margin.judg+dec</c:v>
                </c:pt>
              </c:strCache>
            </c:strRef>
          </c:tx>
          <c:spPr>
            <a:ln w="28575" cap="rnd">
              <a:solidFill>
                <a:schemeClr val="accent3">
                  <a:tint val="77000"/>
                </a:schemeClr>
              </a:solidFill>
              <a:round/>
            </a:ln>
            <a:effectLst/>
          </c:spPr>
          <c:marker>
            <c:symbol val="none"/>
          </c:marker>
          <c:cat>
            <c:numRef>
              <c:f>'per year'!$A$2:$A$1048576</c:f>
              <c:numCache>
                <c:formatCode>General</c:formatCode>
                <c:ptCount val="1048575"/>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pt idx="58">
                  <c:v>2017</c:v>
                </c:pt>
                <c:pt idx="59">
                  <c:v>2018</c:v>
                </c:pt>
                <c:pt idx="60">
                  <c:v>2019</c:v>
                </c:pt>
                <c:pt idx="61">
                  <c:v>2020</c:v>
                </c:pt>
                <c:pt idx="62">
                  <c:v>2021</c:v>
                </c:pt>
              </c:numCache>
            </c:numRef>
          </c:cat>
          <c:val>
            <c:numRef>
              <c:f>'per year'!$J$3:$J$64</c:f>
              <c:numCache>
                <c:formatCode>General</c:formatCode>
                <c:ptCount val="62"/>
                <c:pt idx="0">
                  <c:v>0</c:v>
                </c:pt>
                <c:pt idx="1">
                  <c:v>0</c:v>
                </c:pt>
                <c:pt idx="2">
                  <c:v>0</c:v>
                </c:pt>
                <c:pt idx="3">
                  <c:v>3</c:v>
                </c:pt>
                <c:pt idx="4">
                  <c:v>0</c:v>
                </c:pt>
                <c:pt idx="5">
                  <c:v>0</c:v>
                </c:pt>
                <c:pt idx="6">
                  <c:v>1</c:v>
                </c:pt>
                <c:pt idx="7">
                  <c:v>1</c:v>
                </c:pt>
                <c:pt idx="8">
                  <c:v>3</c:v>
                </c:pt>
                <c:pt idx="9">
                  <c:v>0</c:v>
                </c:pt>
                <c:pt idx="10">
                  <c:v>2</c:v>
                </c:pt>
                <c:pt idx="11">
                  <c:v>1</c:v>
                </c:pt>
                <c:pt idx="12">
                  <c:v>0</c:v>
                </c:pt>
                <c:pt idx="13">
                  <c:v>2</c:v>
                </c:pt>
                <c:pt idx="14">
                  <c:v>3</c:v>
                </c:pt>
                <c:pt idx="15">
                  <c:v>1</c:v>
                </c:pt>
                <c:pt idx="16">
                  <c:v>2</c:v>
                </c:pt>
                <c:pt idx="17">
                  <c:v>5</c:v>
                </c:pt>
                <c:pt idx="18">
                  <c:v>4</c:v>
                </c:pt>
                <c:pt idx="19">
                  <c:v>3</c:v>
                </c:pt>
                <c:pt idx="20">
                  <c:v>2</c:v>
                </c:pt>
                <c:pt idx="21">
                  <c:v>2</c:v>
                </c:pt>
                <c:pt idx="22">
                  <c:v>2</c:v>
                </c:pt>
                <c:pt idx="23">
                  <c:v>8</c:v>
                </c:pt>
                <c:pt idx="24">
                  <c:v>4</c:v>
                </c:pt>
                <c:pt idx="25">
                  <c:v>5</c:v>
                </c:pt>
                <c:pt idx="26">
                  <c:v>19</c:v>
                </c:pt>
                <c:pt idx="27">
                  <c:v>17</c:v>
                </c:pt>
                <c:pt idx="28">
                  <c:v>33</c:v>
                </c:pt>
                <c:pt idx="29">
                  <c:v>29</c:v>
                </c:pt>
                <c:pt idx="30">
                  <c:v>30</c:v>
                </c:pt>
                <c:pt idx="31">
                  <c:v>40</c:v>
                </c:pt>
                <c:pt idx="32">
                  <c:v>42</c:v>
                </c:pt>
                <c:pt idx="33">
                  <c:v>49</c:v>
                </c:pt>
                <c:pt idx="34">
                  <c:v>81</c:v>
                </c:pt>
                <c:pt idx="35">
                  <c:v>89</c:v>
                </c:pt>
                <c:pt idx="36">
                  <c:v>141</c:v>
                </c:pt>
                <c:pt idx="37">
                  <c:v>118</c:v>
                </c:pt>
                <c:pt idx="38">
                  <c:v>85</c:v>
                </c:pt>
                <c:pt idx="39">
                  <c:v>109</c:v>
                </c:pt>
                <c:pt idx="40">
                  <c:v>122</c:v>
                </c:pt>
                <c:pt idx="41">
                  <c:v>121</c:v>
                </c:pt>
                <c:pt idx="42">
                  <c:v>130</c:v>
                </c:pt>
                <c:pt idx="43">
                  <c:v>112</c:v>
                </c:pt>
                <c:pt idx="44">
                  <c:v>122</c:v>
                </c:pt>
                <c:pt idx="45">
                  <c:v>152</c:v>
                </c:pt>
                <c:pt idx="46">
                  <c:v>191</c:v>
                </c:pt>
                <c:pt idx="47">
                  <c:v>182</c:v>
                </c:pt>
                <c:pt idx="48">
                  <c:v>150</c:v>
                </c:pt>
                <c:pt idx="49">
                  <c:v>168</c:v>
                </c:pt>
                <c:pt idx="50">
                  <c:v>186</c:v>
                </c:pt>
                <c:pt idx="51">
                  <c:v>182</c:v>
                </c:pt>
                <c:pt idx="52">
                  <c:v>217</c:v>
                </c:pt>
                <c:pt idx="53">
                  <c:v>172</c:v>
                </c:pt>
                <c:pt idx="54">
                  <c:v>197</c:v>
                </c:pt>
                <c:pt idx="55">
                  <c:v>171</c:v>
                </c:pt>
                <c:pt idx="56">
                  <c:v>181</c:v>
                </c:pt>
                <c:pt idx="57">
                  <c:v>197</c:v>
                </c:pt>
                <c:pt idx="58">
                  <c:v>221</c:v>
                </c:pt>
                <c:pt idx="59">
                  <c:v>173</c:v>
                </c:pt>
                <c:pt idx="60">
                  <c:v>193</c:v>
                </c:pt>
                <c:pt idx="61">
                  <c:v>183</c:v>
                </c:pt>
              </c:numCache>
              <c:extLst/>
            </c:numRef>
          </c:val>
          <c:smooth val="0"/>
          <c:extLst>
            <c:ext xmlns:c16="http://schemas.microsoft.com/office/drawing/2014/chart" uri="{C3380CC4-5D6E-409C-BE32-E72D297353CC}">
              <c16:uniqueId val="{00000001-36D9-4965-BF32-3F12302721B4}"/>
            </c:ext>
          </c:extLst>
        </c:ser>
        <c:dLbls>
          <c:showLegendKey val="0"/>
          <c:showVal val="0"/>
          <c:showCatName val="0"/>
          <c:showSerName val="0"/>
          <c:showPercent val="0"/>
          <c:showBubbleSize val="0"/>
        </c:dLbls>
        <c:smooth val="0"/>
        <c:axId val="1276971872"/>
        <c:axId val="1276984352"/>
      </c:lineChart>
      <c:catAx>
        <c:axId val="127697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6984352"/>
        <c:crosses val="autoZero"/>
        <c:auto val="1"/>
        <c:lblAlgn val="ctr"/>
        <c:lblOffset val="100"/>
        <c:noMultiLvlLbl val="0"/>
      </c:catAx>
      <c:valAx>
        <c:axId val="1276984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6971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areaChart>
        <c:grouping val="stacked"/>
        <c:varyColors val="0"/>
        <c:ser>
          <c:idx val="0"/>
          <c:order val="0"/>
          <c:tx>
            <c:strRef>
              <c:f>'per year'!$C$1</c:f>
              <c:strCache>
                <c:ptCount val="1"/>
                <c:pt idx="0">
                  <c:v>judgments</c:v>
                </c:pt>
              </c:strCache>
            </c:strRef>
          </c:tx>
          <c:spPr>
            <a:solidFill>
              <a:schemeClr val="accent3">
                <a:shade val="58000"/>
              </a:schemeClr>
            </a:solidFill>
            <a:ln>
              <a:noFill/>
            </a:ln>
            <a:effectLst/>
          </c:spPr>
          <c:cat>
            <c:numRef>
              <c:f>'per year'!$A$2:$A$1048576</c:f>
              <c:numCache>
                <c:formatCode>General</c:formatCode>
                <c:ptCount val="1048575"/>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pt idx="58">
                  <c:v>2017</c:v>
                </c:pt>
                <c:pt idx="59">
                  <c:v>2018</c:v>
                </c:pt>
                <c:pt idx="60">
                  <c:v>2019</c:v>
                </c:pt>
                <c:pt idx="61">
                  <c:v>2020</c:v>
                </c:pt>
                <c:pt idx="62">
                  <c:v>2021</c:v>
                </c:pt>
              </c:numCache>
            </c:numRef>
          </c:cat>
          <c:val>
            <c:numRef>
              <c:f>'per year'!$C$3:$C$64</c:f>
              <c:numCache>
                <c:formatCode>General</c:formatCode>
                <c:ptCount val="62"/>
                <c:pt idx="0">
                  <c:v>1</c:v>
                </c:pt>
                <c:pt idx="1">
                  <c:v>2</c:v>
                </c:pt>
                <c:pt idx="2">
                  <c:v>1</c:v>
                </c:pt>
                <c:pt idx="3">
                  <c:v>0</c:v>
                </c:pt>
                <c:pt idx="4">
                  <c:v>0</c:v>
                </c:pt>
                <c:pt idx="5">
                  <c:v>0</c:v>
                </c:pt>
                <c:pt idx="6">
                  <c:v>0</c:v>
                </c:pt>
                <c:pt idx="7">
                  <c:v>1</c:v>
                </c:pt>
                <c:pt idx="8">
                  <c:v>3</c:v>
                </c:pt>
                <c:pt idx="9">
                  <c:v>2</c:v>
                </c:pt>
                <c:pt idx="10">
                  <c:v>2</c:v>
                </c:pt>
                <c:pt idx="11">
                  <c:v>2</c:v>
                </c:pt>
                <c:pt idx="12">
                  <c:v>2</c:v>
                </c:pt>
                <c:pt idx="13">
                  <c:v>1</c:v>
                </c:pt>
                <c:pt idx="14">
                  <c:v>1</c:v>
                </c:pt>
                <c:pt idx="15">
                  <c:v>2</c:v>
                </c:pt>
                <c:pt idx="16">
                  <c:v>6</c:v>
                </c:pt>
                <c:pt idx="17">
                  <c:v>0</c:v>
                </c:pt>
                <c:pt idx="18">
                  <c:v>5</c:v>
                </c:pt>
                <c:pt idx="19">
                  <c:v>5</c:v>
                </c:pt>
                <c:pt idx="20">
                  <c:v>7</c:v>
                </c:pt>
                <c:pt idx="21">
                  <c:v>7</c:v>
                </c:pt>
                <c:pt idx="22">
                  <c:v>11</c:v>
                </c:pt>
                <c:pt idx="23">
                  <c:v>15</c:v>
                </c:pt>
                <c:pt idx="24">
                  <c:v>18</c:v>
                </c:pt>
                <c:pt idx="25">
                  <c:v>11</c:v>
                </c:pt>
                <c:pt idx="26">
                  <c:v>17</c:v>
                </c:pt>
                <c:pt idx="27">
                  <c:v>32</c:v>
                </c:pt>
                <c:pt idx="28">
                  <c:v>26</c:v>
                </c:pt>
                <c:pt idx="29">
                  <c:v>25</c:v>
                </c:pt>
                <c:pt idx="30">
                  <c:v>30</c:v>
                </c:pt>
                <c:pt idx="31">
                  <c:v>72</c:v>
                </c:pt>
                <c:pt idx="32">
                  <c:v>81</c:v>
                </c:pt>
                <c:pt idx="33">
                  <c:v>60</c:v>
                </c:pt>
                <c:pt idx="34">
                  <c:v>50</c:v>
                </c:pt>
                <c:pt idx="35">
                  <c:v>56</c:v>
                </c:pt>
                <c:pt idx="36">
                  <c:v>72</c:v>
                </c:pt>
                <c:pt idx="37">
                  <c:v>105</c:v>
                </c:pt>
                <c:pt idx="38">
                  <c:v>106</c:v>
                </c:pt>
                <c:pt idx="39">
                  <c:v>177</c:v>
                </c:pt>
                <c:pt idx="40">
                  <c:v>695</c:v>
                </c:pt>
                <c:pt idx="41">
                  <c:v>888</c:v>
                </c:pt>
                <c:pt idx="42">
                  <c:v>844</c:v>
                </c:pt>
                <c:pt idx="43">
                  <c:v>704</c:v>
                </c:pt>
                <c:pt idx="44">
                  <c:v>718</c:v>
                </c:pt>
                <c:pt idx="45">
                  <c:v>1105</c:v>
                </c:pt>
                <c:pt idx="46">
                  <c:v>1560</c:v>
                </c:pt>
                <c:pt idx="47">
                  <c:v>1504</c:v>
                </c:pt>
                <c:pt idx="48">
                  <c:v>1542</c:v>
                </c:pt>
                <c:pt idx="49">
                  <c:v>1625</c:v>
                </c:pt>
                <c:pt idx="50">
                  <c:v>1499</c:v>
                </c:pt>
                <c:pt idx="51">
                  <c:v>1157</c:v>
                </c:pt>
                <c:pt idx="52">
                  <c:v>1093</c:v>
                </c:pt>
                <c:pt idx="53">
                  <c:v>916</c:v>
                </c:pt>
                <c:pt idx="54">
                  <c:v>891</c:v>
                </c:pt>
                <c:pt idx="55">
                  <c:v>823</c:v>
                </c:pt>
                <c:pt idx="56">
                  <c:v>993</c:v>
                </c:pt>
                <c:pt idx="57">
                  <c:v>1068</c:v>
                </c:pt>
                <c:pt idx="58">
                  <c:v>1014</c:v>
                </c:pt>
                <c:pt idx="59">
                  <c:v>884</c:v>
                </c:pt>
                <c:pt idx="60">
                  <c:v>871</c:v>
                </c:pt>
                <c:pt idx="61">
                  <c:v>1156</c:v>
                </c:pt>
              </c:numCache>
              <c:extLst/>
            </c:numRef>
          </c:val>
          <c:extLst>
            <c:ext xmlns:c16="http://schemas.microsoft.com/office/drawing/2014/chart" uri="{C3380CC4-5D6E-409C-BE32-E72D297353CC}">
              <c16:uniqueId val="{00000000-4F51-4DB2-B41F-10EE9C3A77BE}"/>
            </c:ext>
          </c:extLst>
        </c:ser>
        <c:ser>
          <c:idx val="1"/>
          <c:order val="1"/>
          <c:tx>
            <c:strRef>
              <c:f>'per year'!$D$1</c:f>
              <c:strCache>
                <c:ptCount val="1"/>
                <c:pt idx="0">
                  <c:v>decisions</c:v>
                </c:pt>
              </c:strCache>
            </c:strRef>
          </c:tx>
          <c:spPr>
            <a:solidFill>
              <a:schemeClr val="accent3">
                <a:shade val="86000"/>
              </a:schemeClr>
            </a:solidFill>
            <a:ln>
              <a:noFill/>
            </a:ln>
            <a:effectLst/>
          </c:spPr>
          <c:cat>
            <c:numRef>
              <c:f>'per year'!$A$2:$A$1048576</c:f>
              <c:numCache>
                <c:formatCode>General</c:formatCode>
                <c:ptCount val="1048575"/>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pt idx="58">
                  <c:v>2017</c:v>
                </c:pt>
                <c:pt idx="59">
                  <c:v>2018</c:v>
                </c:pt>
                <c:pt idx="60">
                  <c:v>2019</c:v>
                </c:pt>
                <c:pt idx="61">
                  <c:v>2020</c:v>
                </c:pt>
                <c:pt idx="62">
                  <c:v>2021</c:v>
                </c:pt>
              </c:numCache>
            </c:numRef>
          </c:cat>
          <c:val>
            <c:numRef>
              <c:f>'per year'!$D$3:$D$64</c:f>
              <c:numCache>
                <c:formatCode>General</c:formatCode>
                <c:ptCount val="62"/>
                <c:pt idx="0">
                  <c:v>0</c:v>
                </c:pt>
                <c:pt idx="1">
                  <c:v>7</c:v>
                </c:pt>
                <c:pt idx="2">
                  <c:v>7</c:v>
                </c:pt>
                <c:pt idx="3">
                  <c:v>7</c:v>
                </c:pt>
                <c:pt idx="4">
                  <c:v>11</c:v>
                </c:pt>
                <c:pt idx="5">
                  <c:v>11</c:v>
                </c:pt>
                <c:pt idx="6">
                  <c:v>11</c:v>
                </c:pt>
                <c:pt idx="7">
                  <c:v>46</c:v>
                </c:pt>
                <c:pt idx="8">
                  <c:v>23</c:v>
                </c:pt>
                <c:pt idx="9">
                  <c:v>22</c:v>
                </c:pt>
                <c:pt idx="10">
                  <c:v>41</c:v>
                </c:pt>
                <c:pt idx="11">
                  <c:v>23</c:v>
                </c:pt>
                <c:pt idx="12">
                  <c:v>24</c:v>
                </c:pt>
                <c:pt idx="13">
                  <c:v>23</c:v>
                </c:pt>
                <c:pt idx="14">
                  <c:v>35</c:v>
                </c:pt>
                <c:pt idx="15">
                  <c:v>44</c:v>
                </c:pt>
                <c:pt idx="16">
                  <c:v>72</c:v>
                </c:pt>
                <c:pt idx="17">
                  <c:v>76</c:v>
                </c:pt>
                <c:pt idx="18">
                  <c:v>62</c:v>
                </c:pt>
                <c:pt idx="19">
                  <c:v>49</c:v>
                </c:pt>
                <c:pt idx="20">
                  <c:v>50</c:v>
                </c:pt>
                <c:pt idx="21">
                  <c:v>68</c:v>
                </c:pt>
                <c:pt idx="22">
                  <c:v>59</c:v>
                </c:pt>
                <c:pt idx="23">
                  <c:v>77</c:v>
                </c:pt>
                <c:pt idx="24">
                  <c:v>89</c:v>
                </c:pt>
                <c:pt idx="25">
                  <c:v>90</c:v>
                </c:pt>
                <c:pt idx="26">
                  <c:v>193</c:v>
                </c:pt>
                <c:pt idx="27">
                  <c:v>183</c:v>
                </c:pt>
                <c:pt idx="28">
                  <c:v>197</c:v>
                </c:pt>
                <c:pt idx="29">
                  <c:v>201</c:v>
                </c:pt>
                <c:pt idx="30">
                  <c:v>220</c:v>
                </c:pt>
                <c:pt idx="31">
                  <c:v>275</c:v>
                </c:pt>
                <c:pt idx="32">
                  <c:v>270</c:v>
                </c:pt>
                <c:pt idx="33">
                  <c:v>332</c:v>
                </c:pt>
                <c:pt idx="34">
                  <c:v>401</c:v>
                </c:pt>
                <c:pt idx="35">
                  <c:v>550</c:v>
                </c:pt>
                <c:pt idx="36">
                  <c:v>599</c:v>
                </c:pt>
                <c:pt idx="37">
                  <c:v>710</c:v>
                </c:pt>
                <c:pt idx="38">
                  <c:v>533</c:v>
                </c:pt>
                <c:pt idx="39">
                  <c:v>507</c:v>
                </c:pt>
                <c:pt idx="40">
                  <c:v>685</c:v>
                </c:pt>
                <c:pt idx="41">
                  <c:v>608</c:v>
                </c:pt>
                <c:pt idx="42">
                  <c:v>809</c:v>
                </c:pt>
                <c:pt idx="43">
                  <c:v>675</c:v>
                </c:pt>
                <c:pt idx="44">
                  <c:v>703</c:v>
                </c:pt>
                <c:pt idx="45">
                  <c:v>823</c:v>
                </c:pt>
                <c:pt idx="46">
                  <c:v>892</c:v>
                </c:pt>
                <c:pt idx="47">
                  <c:v>925</c:v>
                </c:pt>
                <c:pt idx="48">
                  <c:v>1363</c:v>
                </c:pt>
                <c:pt idx="49">
                  <c:v>990</c:v>
                </c:pt>
                <c:pt idx="50">
                  <c:v>1182</c:v>
                </c:pt>
                <c:pt idx="51">
                  <c:v>1271</c:v>
                </c:pt>
                <c:pt idx="52">
                  <c:v>1319</c:v>
                </c:pt>
                <c:pt idx="53">
                  <c:v>1215</c:v>
                </c:pt>
                <c:pt idx="54">
                  <c:v>1292</c:v>
                </c:pt>
                <c:pt idx="55">
                  <c:v>1135</c:v>
                </c:pt>
                <c:pt idx="56">
                  <c:v>1207</c:v>
                </c:pt>
                <c:pt idx="57">
                  <c:v>1212</c:v>
                </c:pt>
                <c:pt idx="58">
                  <c:v>1214</c:v>
                </c:pt>
                <c:pt idx="59">
                  <c:v>1169</c:v>
                </c:pt>
                <c:pt idx="60">
                  <c:v>927</c:v>
                </c:pt>
                <c:pt idx="61">
                  <c:v>1051</c:v>
                </c:pt>
              </c:numCache>
              <c:extLst/>
            </c:numRef>
          </c:val>
          <c:extLst>
            <c:ext xmlns:c16="http://schemas.microsoft.com/office/drawing/2014/chart" uri="{C3380CC4-5D6E-409C-BE32-E72D297353CC}">
              <c16:uniqueId val="{00000001-4F51-4DB2-B41F-10EE9C3A77BE}"/>
            </c:ext>
          </c:extLst>
        </c:ser>
        <c:dLbls>
          <c:showLegendKey val="0"/>
          <c:showVal val="0"/>
          <c:showCatName val="0"/>
          <c:showSerName val="0"/>
          <c:showPercent val="0"/>
          <c:showBubbleSize val="0"/>
        </c:dLbls>
        <c:axId val="1302777248"/>
        <c:axId val="1302775584"/>
      </c:areaChart>
      <c:lineChart>
        <c:grouping val="standard"/>
        <c:varyColors val="0"/>
        <c:ser>
          <c:idx val="2"/>
          <c:order val="2"/>
          <c:tx>
            <c:strRef>
              <c:f>'per year'!$G$1</c:f>
              <c:strCache>
                <c:ptCount val="1"/>
                <c:pt idx="0">
                  <c:v>perc.key.margin.judg+dec</c:v>
                </c:pt>
              </c:strCache>
            </c:strRef>
          </c:tx>
          <c:spPr>
            <a:ln w="28575" cap="rnd">
              <a:solidFill>
                <a:schemeClr val="tx1">
                  <a:lumMod val="65000"/>
                  <a:lumOff val="35000"/>
                </a:schemeClr>
              </a:solidFill>
              <a:round/>
            </a:ln>
            <a:effectLst/>
          </c:spPr>
          <c:marker>
            <c:symbol val="none"/>
          </c:marker>
          <c:cat>
            <c:numRef>
              <c:f>'per year'!$A$2:$A$1048576</c:f>
              <c:numCache>
                <c:formatCode>General</c:formatCode>
                <c:ptCount val="1048575"/>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pt idx="58">
                  <c:v>2017</c:v>
                </c:pt>
                <c:pt idx="59">
                  <c:v>2018</c:v>
                </c:pt>
                <c:pt idx="60">
                  <c:v>2019</c:v>
                </c:pt>
                <c:pt idx="61">
                  <c:v>2020</c:v>
                </c:pt>
                <c:pt idx="62">
                  <c:v>2021</c:v>
                </c:pt>
              </c:numCache>
            </c:numRef>
          </c:cat>
          <c:val>
            <c:numRef>
              <c:f>'per year'!$G$3:$G$64</c:f>
              <c:numCache>
                <c:formatCode>General</c:formatCode>
                <c:ptCount val="62"/>
                <c:pt idx="0">
                  <c:v>0</c:v>
                </c:pt>
                <c:pt idx="1">
                  <c:v>0</c:v>
                </c:pt>
                <c:pt idx="2">
                  <c:v>0</c:v>
                </c:pt>
                <c:pt idx="3">
                  <c:v>0</c:v>
                </c:pt>
                <c:pt idx="4">
                  <c:v>0</c:v>
                </c:pt>
                <c:pt idx="5">
                  <c:v>0</c:v>
                </c:pt>
                <c:pt idx="6">
                  <c:v>0</c:v>
                </c:pt>
                <c:pt idx="7">
                  <c:v>0</c:v>
                </c:pt>
                <c:pt idx="8">
                  <c:v>3.8461538461538463</c:v>
                </c:pt>
                <c:pt idx="9">
                  <c:v>0</c:v>
                </c:pt>
                <c:pt idx="10">
                  <c:v>0</c:v>
                </c:pt>
                <c:pt idx="11">
                  <c:v>0</c:v>
                </c:pt>
                <c:pt idx="12">
                  <c:v>0</c:v>
                </c:pt>
                <c:pt idx="13">
                  <c:v>0</c:v>
                </c:pt>
                <c:pt idx="14">
                  <c:v>0</c:v>
                </c:pt>
                <c:pt idx="15">
                  <c:v>2.1739130434782608</c:v>
                </c:pt>
                <c:pt idx="16">
                  <c:v>0</c:v>
                </c:pt>
                <c:pt idx="17">
                  <c:v>0</c:v>
                </c:pt>
                <c:pt idx="18">
                  <c:v>0</c:v>
                </c:pt>
                <c:pt idx="19">
                  <c:v>1.8518518518518516</c:v>
                </c:pt>
                <c:pt idx="20">
                  <c:v>0</c:v>
                </c:pt>
                <c:pt idx="21">
                  <c:v>0</c:v>
                </c:pt>
                <c:pt idx="22">
                  <c:v>0</c:v>
                </c:pt>
                <c:pt idx="23">
                  <c:v>0</c:v>
                </c:pt>
                <c:pt idx="24">
                  <c:v>0</c:v>
                </c:pt>
                <c:pt idx="25">
                  <c:v>0</c:v>
                </c:pt>
                <c:pt idx="26">
                  <c:v>0</c:v>
                </c:pt>
                <c:pt idx="27">
                  <c:v>0</c:v>
                </c:pt>
                <c:pt idx="28">
                  <c:v>0</c:v>
                </c:pt>
                <c:pt idx="29">
                  <c:v>0</c:v>
                </c:pt>
                <c:pt idx="30">
                  <c:v>0</c:v>
                </c:pt>
                <c:pt idx="31">
                  <c:v>0.57636887608069165</c:v>
                </c:pt>
                <c:pt idx="32">
                  <c:v>0</c:v>
                </c:pt>
                <c:pt idx="33">
                  <c:v>0</c:v>
                </c:pt>
                <c:pt idx="34">
                  <c:v>0.44345898004434592</c:v>
                </c:pt>
                <c:pt idx="35">
                  <c:v>1.6501650165016499</c:v>
                </c:pt>
                <c:pt idx="36">
                  <c:v>2.3845007451564828</c:v>
                </c:pt>
                <c:pt idx="37">
                  <c:v>1.7177914110429449</c:v>
                </c:pt>
                <c:pt idx="38">
                  <c:v>4.225352112676056</c:v>
                </c:pt>
                <c:pt idx="39">
                  <c:v>7.3099415204678362</c:v>
                </c:pt>
                <c:pt idx="40">
                  <c:v>1.8115942028985508</c:v>
                </c:pt>
                <c:pt idx="41">
                  <c:v>4.4786096256684491</c:v>
                </c:pt>
                <c:pt idx="42">
                  <c:v>1.9963702359346642</c:v>
                </c:pt>
                <c:pt idx="43">
                  <c:v>0.58013052936910803</c:v>
                </c:pt>
                <c:pt idx="44">
                  <c:v>1.1259676284306825</c:v>
                </c:pt>
                <c:pt idx="45">
                  <c:v>0.62240663900414939</c:v>
                </c:pt>
                <c:pt idx="46">
                  <c:v>0.97879282218597052</c:v>
                </c:pt>
                <c:pt idx="47">
                  <c:v>1.7702758336764102</c:v>
                </c:pt>
                <c:pt idx="48">
                  <c:v>1.8244406196213425</c:v>
                </c:pt>
                <c:pt idx="49">
                  <c:v>2.6386233269598471</c:v>
                </c:pt>
                <c:pt idx="50">
                  <c:v>2.0141738157403952</c:v>
                </c:pt>
                <c:pt idx="51">
                  <c:v>2.0181219110378912</c:v>
                </c:pt>
                <c:pt idx="52">
                  <c:v>3.150912106135987</c:v>
                </c:pt>
                <c:pt idx="53">
                  <c:v>2.6278742374472079</c:v>
                </c:pt>
                <c:pt idx="54">
                  <c:v>2.7943197434722857</c:v>
                </c:pt>
                <c:pt idx="55">
                  <c:v>2.2982635342185902</c:v>
                </c:pt>
                <c:pt idx="56">
                  <c:v>2.1818181818181821</c:v>
                </c:pt>
                <c:pt idx="57">
                  <c:v>1.9736842105263157</c:v>
                </c:pt>
                <c:pt idx="58">
                  <c:v>1.9748653500897666</c:v>
                </c:pt>
                <c:pt idx="59">
                  <c:v>1.1690209449585971</c:v>
                </c:pt>
                <c:pt idx="60">
                  <c:v>3.1701890989988879</c:v>
                </c:pt>
                <c:pt idx="61">
                  <c:v>2.8998640688717718</c:v>
                </c:pt>
              </c:numCache>
              <c:extLst/>
            </c:numRef>
          </c:val>
          <c:smooth val="0"/>
          <c:extLst>
            <c:ext xmlns:c16="http://schemas.microsoft.com/office/drawing/2014/chart" uri="{C3380CC4-5D6E-409C-BE32-E72D297353CC}">
              <c16:uniqueId val="{00000002-4F51-4DB2-B41F-10EE9C3A77BE}"/>
            </c:ext>
          </c:extLst>
        </c:ser>
        <c:ser>
          <c:idx val="3"/>
          <c:order val="3"/>
          <c:tx>
            <c:strRef>
              <c:f>'per year'!$M$1</c:f>
              <c:strCache>
                <c:ptCount val="1"/>
                <c:pt idx="0">
                  <c:v>perc.text.margin.judg+dec</c:v>
                </c:pt>
              </c:strCache>
            </c:strRef>
          </c:tx>
          <c:spPr>
            <a:ln w="28575" cap="rnd">
              <a:solidFill>
                <a:schemeClr val="accent3">
                  <a:tint val="58000"/>
                </a:schemeClr>
              </a:solidFill>
              <a:round/>
            </a:ln>
            <a:effectLst/>
          </c:spPr>
          <c:marker>
            <c:symbol val="none"/>
          </c:marker>
          <c:cat>
            <c:numRef>
              <c:f>'per year'!$A$2:$A$1048576</c:f>
              <c:numCache>
                <c:formatCode>General</c:formatCode>
                <c:ptCount val="1048575"/>
                <c:pt idx="0">
                  <c:v>1959</c:v>
                </c:pt>
                <c:pt idx="1">
                  <c:v>1960</c:v>
                </c:pt>
                <c:pt idx="2">
                  <c:v>1961</c:v>
                </c:pt>
                <c:pt idx="3">
                  <c:v>1962</c:v>
                </c:pt>
                <c:pt idx="4">
                  <c:v>1963</c:v>
                </c:pt>
                <c:pt idx="5">
                  <c:v>1964</c:v>
                </c:pt>
                <c:pt idx="6">
                  <c:v>1965</c:v>
                </c:pt>
                <c:pt idx="7">
                  <c:v>1966</c:v>
                </c:pt>
                <c:pt idx="8">
                  <c:v>1967</c:v>
                </c:pt>
                <c:pt idx="9">
                  <c:v>1968</c:v>
                </c:pt>
                <c:pt idx="10">
                  <c:v>1969</c:v>
                </c:pt>
                <c:pt idx="11">
                  <c:v>1970</c:v>
                </c:pt>
                <c:pt idx="12">
                  <c:v>1971</c:v>
                </c:pt>
                <c:pt idx="13">
                  <c:v>1972</c:v>
                </c:pt>
                <c:pt idx="14">
                  <c:v>1973</c:v>
                </c:pt>
                <c:pt idx="15">
                  <c:v>1974</c:v>
                </c:pt>
                <c:pt idx="16">
                  <c:v>1975</c:v>
                </c:pt>
                <c:pt idx="17">
                  <c:v>1976</c:v>
                </c:pt>
                <c:pt idx="18">
                  <c:v>1977</c:v>
                </c:pt>
                <c:pt idx="19">
                  <c:v>1978</c:v>
                </c:pt>
                <c:pt idx="20">
                  <c:v>1979</c:v>
                </c:pt>
                <c:pt idx="21">
                  <c:v>1980</c:v>
                </c:pt>
                <c:pt idx="22">
                  <c:v>1981</c:v>
                </c:pt>
                <c:pt idx="23">
                  <c:v>1982</c:v>
                </c:pt>
                <c:pt idx="24">
                  <c:v>1983</c:v>
                </c:pt>
                <c:pt idx="25">
                  <c:v>1984</c:v>
                </c:pt>
                <c:pt idx="26">
                  <c:v>1985</c:v>
                </c:pt>
                <c:pt idx="27">
                  <c:v>1986</c:v>
                </c:pt>
                <c:pt idx="28">
                  <c:v>1987</c:v>
                </c:pt>
                <c:pt idx="29">
                  <c:v>1988</c:v>
                </c:pt>
                <c:pt idx="30">
                  <c:v>1989</c:v>
                </c:pt>
                <c:pt idx="31">
                  <c:v>1990</c:v>
                </c:pt>
                <c:pt idx="32">
                  <c:v>1991</c:v>
                </c:pt>
                <c:pt idx="33">
                  <c:v>1992</c:v>
                </c:pt>
                <c:pt idx="34">
                  <c:v>1993</c:v>
                </c:pt>
                <c:pt idx="35">
                  <c:v>1994</c:v>
                </c:pt>
                <c:pt idx="36">
                  <c:v>1995</c:v>
                </c:pt>
                <c:pt idx="37">
                  <c:v>1996</c:v>
                </c:pt>
                <c:pt idx="38">
                  <c:v>1997</c:v>
                </c:pt>
                <c:pt idx="39">
                  <c:v>1998</c:v>
                </c:pt>
                <c:pt idx="40">
                  <c:v>1999</c:v>
                </c:pt>
                <c:pt idx="41">
                  <c:v>2000</c:v>
                </c:pt>
                <c:pt idx="42">
                  <c:v>2001</c:v>
                </c:pt>
                <c:pt idx="43">
                  <c:v>2002</c:v>
                </c:pt>
                <c:pt idx="44">
                  <c:v>2003</c:v>
                </c:pt>
                <c:pt idx="45">
                  <c:v>2004</c:v>
                </c:pt>
                <c:pt idx="46">
                  <c:v>2005</c:v>
                </c:pt>
                <c:pt idx="47">
                  <c:v>2006</c:v>
                </c:pt>
                <c:pt idx="48">
                  <c:v>2007</c:v>
                </c:pt>
                <c:pt idx="49">
                  <c:v>2008</c:v>
                </c:pt>
                <c:pt idx="50">
                  <c:v>2009</c:v>
                </c:pt>
                <c:pt idx="51">
                  <c:v>2010</c:v>
                </c:pt>
                <c:pt idx="52">
                  <c:v>2011</c:v>
                </c:pt>
                <c:pt idx="53">
                  <c:v>2012</c:v>
                </c:pt>
                <c:pt idx="54">
                  <c:v>2013</c:v>
                </c:pt>
                <c:pt idx="55">
                  <c:v>2014</c:v>
                </c:pt>
                <c:pt idx="56">
                  <c:v>2015</c:v>
                </c:pt>
                <c:pt idx="57">
                  <c:v>2016</c:v>
                </c:pt>
                <c:pt idx="58">
                  <c:v>2017</c:v>
                </c:pt>
                <c:pt idx="59">
                  <c:v>2018</c:v>
                </c:pt>
                <c:pt idx="60">
                  <c:v>2019</c:v>
                </c:pt>
                <c:pt idx="61">
                  <c:v>2020</c:v>
                </c:pt>
                <c:pt idx="62">
                  <c:v>2021</c:v>
                </c:pt>
              </c:numCache>
            </c:numRef>
          </c:cat>
          <c:val>
            <c:numRef>
              <c:f>'per year'!$M$3:$M$64</c:f>
              <c:numCache>
                <c:formatCode>General</c:formatCode>
                <c:ptCount val="62"/>
                <c:pt idx="0">
                  <c:v>0</c:v>
                </c:pt>
                <c:pt idx="1">
                  <c:v>0</c:v>
                </c:pt>
                <c:pt idx="2">
                  <c:v>0</c:v>
                </c:pt>
                <c:pt idx="3">
                  <c:v>42.857142857142854</c:v>
                </c:pt>
                <c:pt idx="4">
                  <c:v>0</c:v>
                </c:pt>
                <c:pt idx="5">
                  <c:v>0</c:v>
                </c:pt>
                <c:pt idx="6">
                  <c:v>9.0909090909090917</c:v>
                </c:pt>
                <c:pt idx="7">
                  <c:v>2.1276595744680851</c:v>
                </c:pt>
                <c:pt idx="8">
                  <c:v>11.538461538461538</c:v>
                </c:pt>
                <c:pt idx="9">
                  <c:v>0</c:v>
                </c:pt>
                <c:pt idx="10">
                  <c:v>4.6511627906976747</c:v>
                </c:pt>
                <c:pt idx="11">
                  <c:v>4</c:v>
                </c:pt>
                <c:pt idx="12">
                  <c:v>0</c:v>
                </c:pt>
                <c:pt idx="13">
                  <c:v>8.3333333333333321</c:v>
                </c:pt>
                <c:pt idx="14">
                  <c:v>8.3333333333333321</c:v>
                </c:pt>
                <c:pt idx="15">
                  <c:v>2.1739130434782608</c:v>
                </c:pt>
                <c:pt idx="16">
                  <c:v>2.5641025641025639</c:v>
                </c:pt>
                <c:pt idx="17">
                  <c:v>6.5789473684210522</c:v>
                </c:pt>
                <c:pt idx="18">
                  <c:v>5.9701492537313428</c:v>
                </c:pt>
                <c:pt idx="19">
                  <c:v>5.5555555555555554</c:v>
                </c:pt>
                <c:pt idx="20">
                  <c:v>3.5087719298245612</c:v>
                </c:pt>
                <c:pt idx="21">
                  <c:v>2.666666666666667</c:v>
                </c:pt>
                <c:pt idx="22">
                  <c:v>2.8571428571428572</c:v>
                </c:pt>
                <c:pt idx="23">
                  <c:v>8.695652173913043</c:v>
                </c:pt>
                <c:pt idx="24">
                  <c:v>3.7383177570093453</c:v>
                </c:pt>
                <c:pt idx="25">
                  <c:v>4.9504950495049505</c:v>
                </c:pt>
                <c:pt idx="26">
                  <c:v>9.0476190476190474</c:v>
                </c:pt>
                <c:pt idx="27">
                  <c:v>7.9069767441860463</c:v>
                </c:pt>
                <c:pt idx="28">
                  <c:v>14.798206278026907</c:v>
                </c:pt>
                <c:pt idx="29">
                  <c:v>12.831858407079647</c:v>
                </c:pt>
                <c:pt idx="30">
                  <c:v>12</c:v>
                </c:pt>
                <c:pt idx="31">
                  <c:v>11.527377521613833</c:v>
                </c:pt>
                <c:pt idx="32">
                  <c:v>11.965811965811966</c:v>
                </c:pt>
                <c:pt idx="33">
                  <c:v>12.5</c:v>
                </c:pt>
                <c:pt idx="34">
                  <c:v>17.96008869179601</c:v>
                </c:pt>
                <c:pt idx="35">
                  <c:v>14.686468646864686</c:v>
                </c:pt>
                <c:pt idx="36">
                  <c:v>21.013412816691503</c:v>
                </c:pt>
                <c:pt idx="37">
                  <c:v>14.478527607361963</c:v>
                </c:pt>
                <c:pt idx="38">
                  <c:v>13.302034428794993</c:v>
                </c:pt>
                <c:pt idx="39">
                  <c:v>15.935672514619883</c:v>
                </c:pt>
                <c:pt idx="40">
                  <c:v>8.8405797101449277</c:v>
                </c:pt>
                <c:pt idx="41">
                  <c:v>8.0882352941176467</c:v>
                </c:pt>
                <c:pt idx="42">
                  <c:v>7.8644888082274651</c:v>
                </c:pt>
                <c:pt idx="43">
                  <c:v>8.1218274111675122</c:v>
                </c:pt>
                <c:pt idx="44">
                  <c:v>8.5855031667839548</c:v>
                </c:pt>
                <c:pt idx="45">
                  <c:v>7.8838174273858916</c:v>
                </c:pt>
                <c:pt idx="46">
                  <c:v>7.7895595432300162</c:v>
                </c:pt>
                <c:pt idx="47">
                  <c:v>7.4927953890489913</c:v>
                </c:pt>
                <c:pt idx="48">
                  <c:v>5.1635111876075728</c:v>
                </c:pt>
                <c:pt idx="49">
                  <c:v>6.4244741873804969</c:v>
                </c:pt>
                <c:pt idx="50">
                  <c:v>6.937709809772473</c:v>
                </c:pt>
                <c:pt idx="51">
                  <c:v>7.495881383855024</c:v>
                </c:pt>
                <c:pt idx="52">
                  <c:v>8.9966832504145948</c:v>
                </c:pt>
                <c:pt idx="53">
                  <c:v>8.0713280150164248</c:v>
                </c:pt>
                <c:pt idx="54">
                  <c:v>9.0242785158039389</c:v>
                </c:pt>
                <c:pt idx="55">
                  <c:v>8.7334014300306428</c:v>
                </c:pt>
                <c:pt idx="56">
                  <c:v>8.2272727272727266</c:v>
                </c:pt>
                <c:pt idx="57">
                  <c:v>8.6403508771929829</c:v>
                </c:pt>
                <c:pt idx="58">
                  <c:v>9.919210053859965</c:v>
                </c:pt>
                <c:pt idx="59">
                  <c:v>8.4266926449098882</c:v>
                </c:pt>
                <c:pt idx="60">
                  <c:v>10.734149054505005</c:v>
                </c:pt>
                <c:pt idx="61">
                  <c:v>8.2917988219302217</c:v>
                </c:pt>
              </c:numCache>
              <c:extLst/>
            </c:numRef>
          </c:val>
          <c:smooth val="0"/>
          <c:extLst>
            <c:ext xmlns:c16="http://schemas.microsoft.com/office/drawing/2014/chart" uri="{C3380CC4-5D6E-409C-BE32-E72D297353CC}">
              <c16:uniqueId val="{00000003-4F51-4DB2-B41F-10EE9C3A77BE}"/>
            </c:ext>
          </c:extLst>
        </c:ser>
        <c:dLbls>
          <c:showLegendKey val="0"/>
          <c:showVal val="0"/>
          <c:showCatName val="0"/>
          <c:showSerName val="0"/>
          <c:showPercent val="0"/>
          <c:showBubbleSize val="0"/>
        </c:dLbls>
        <c:marker val="1"/>
        <c:smooth val="0"/>
        <c:axId val="2036600032"/>
        <c:axId val="2036587552"/>
      </c:lineChart>
      <c:catAx>
        <c:axId val="203660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587552"/>
        <c:crosses val="autoZero"/>
        <c:auto val="1"/>
        <c:lblAlgn val="ctr"/>
        <c:lblOffset val="100"/>
        <c:noMultiLvlLbl val="0"/>
      </c:catAx>
      <c:valAx>
        <c:axId val="203658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600032"/>
        <c:crosses val="autoZero"/>
        <c:crossBetween val="between"/>
      </c:valAx>
      <c:valAx>
        <c:axId val="13027755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2777248"/>
        <c:crosses val="max"/>
        <c:crossBetween val="between"/>
      </c:valAx>
      <c:catAx>
        <c:axId val="1302777248"/>
        <c:scaling>
          <c:orientation val="minMax"/>
        </c:scaling>
        <c:delete val="1"/>
        <c:axPos val="b"/>
        <c:numFmt formatCode="General" sourceLinked="1"/>
        <c:majorTickMark val="out"/>
        <c:minorTickMark val="none"/>
        <c:tickLblPos val="nextTo"/>
        <c:crossAx val="13027755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83593-F516-4318-9100-8EB610F2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13</Pages>
  <Words>3247</Words>
  <Characters>18508</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Molbæk-Steensig, Helga</dc:creator>
  <cp:keywords/>
  <dc:description/>
  <cp:lastModifiedBy>Molbæk-Steensig, Helga</cp:lastModifiedBy>
  <cp:revision>3</cp:revision>
  <dcterms:created xsi:type="dcterms:W3CDTF">2022-06-17T16:12:00Z</dcterms:created>
  <dcterms:modified xsi:type="dcterms:W3CDTF">2022-06-19T09:46:00Z</dcterms:modified>
</cp:coreProperties>
</file>