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91" w:rsidRPr="00136FA0" w:rsidRDefault="00427591" w:rsidP="00427591">
      <w:pPr>
        <w:pStyle w:val="Heading1"/>
        <w:rPr>
          <w:lang w:val="en-US"/>
        </w:rPr>
      </w:pPr>
      <w:r w:rsidRPr="00FA089A">
        <w:rPr>
          <w:rFonts w:cstheme="minorHAnsi"/>
          <w:szCs w:val="24"/>
          <w:lang w:val="en-US"/>
        </w:rPr>
        <w:t>Brexpiprazole</w:t>
      </w:r>
      <w:r w:rsidRPr="00136FA0">
        <w:rPr>
          <w:lang w:val="en-US"/>
        </w:rPr>
        <w:t xml:space="preserve"> in patients with schizophrenia: </w:t>
      </w:r>
      <w:r w:rsidRPr="00FA089A">
        <w:rPr>
          <w:rFonts w:cstheme="minorHAnsi"/>
          <w:szCs w:val="24"/>
          <w:lang w:val="en-US"/>
        </w:rPr>
        <w:t>overview of short</w:t>
      </w:r>
      <w:r w:rsidRPr="00136FA0">
        <w:rPr>
          <w:lang w:val="en-US"/>
        </w:rPr>
        <w:t xml:space="preserve">- and long-term phase 3 </w:t>
      </w:r>
      <w:r w:rsidRPr="00FA089A">
        <w:rPr>
          <w:rFonts w:cs="Arial"/>
          <w:szCs w:val="20"/>
          <w:lang w:val="en-US"/>
        </w:rPr>
        <w:t xml:space="preserve">controlled </w:t>
      </w:r>
      <w:r w:rsidRPr="00FA089A">
        <w:rPr>
          <w:rFonts w:cstheme="minorHAnsi"/>
          <w:szCs w:val="24"/>
          <w:lang w:val="en-US"/>
        </w:rPr>
        <w:t>studies</w:t>
      </w:r>
      <w:r w:rsidRPr="00136FA0">
        <w:rPr>
          <w:lang w:val="en-US"/>
        </w:rPr>
        <w:t xml:space="preserve"> </w:t>
      </w:r>
    </w:p>
    <w:p w:rsidR="00427591" w:rsidRPr="009725A3" w:rsidRDefault="00427591" w:rsidP="00427591">
      <w:pPr>
        <w:pStyle w:val="Heading1"/>
        <w:rPr>
          <w:rFonts w:cs="Arial"/>
          <w:b w:val="0"/>
          <w:sz w:val="22"/>
          <w:lang w:val="en-US"/>
        </w:rPr>
      </w:pPr>
      <w:r w:rsidRPr="009725A3">
        <w:rPr>
          <w:rFonts w:cs="Arial"/>
          <w:b w:val="0"/>
          <w:sz w:val="22"/>
          <w:lang w:val="en-US"/>
        </w:rPr>
        <w:t>Stephen R Marder</w:t>
      </w:r>
      <w:r w:rsidRPr="009725A3">
        <w:rPr>
          <w:rFonts w:cs="Arial"/>
          <w:b w:val="0"/>
          <w:sz w:val="22"/>
          <w:vertAlign w:val="superscript"/>
          <w:lang w:val="en-US"/>
        </w:rPr>
        <w:t>1</w:t>
      </w:r>
      <w:r w:rsidRPr="009725A3">
        <w:rPr>
          <w:rFonts w:cs="Arial"/>
          <w:b w:val="0"/>
          <w:sz w:val="22"/>
          <w:lang w:val="en-US"/>
        </w:rPr>
        <w:t>, Mika Juhani Hakala</w:t>
      </w:r>
      <w:r w:rsidRPr="009725A3">
        <w:rPr>
          <w:rFonts w:cs="Arial"/>
          <w:b w:val="0"/>
          <w:sz w:val="22"/>
          <w:vertAlign w:val="superscript"/>
          <w:lang w:val="en-US"/>
        </w:rPr>
        <w:t xml:space="preserve">2, </w:t>
      </w:r>
      <w:r w:rsidRPr="009725A3">
        <w:rPr>
          <w:rFonts w:cs="Arial"/>
          <w:b w:val="0"/>
          <w:sz w:val="22"/>
          <w:lang w:val="en-US"/>
        </w:rPr>
        <w:t>Mette Krog Josiassen</w:t>
      </w:r>
      <w:r w:rsidRPr="009725A3">
        <w:rPr>
          <w:rFonts w:cs="Arial"/>
          <w:b w:val="0"/>
          <w:sz w:val="22"/>
          <w:vertAlign w:val="superscript"/>
          <w:lang w:val="en-US"/>
        </w:rPr>
        <w:t>2</w:t>
      </w:r>
      <w:r w:rsidRPr="009725A3">
        <w:rPr>
          <w:rFonts w:cs="Arial"/>
          <w:b w:val="0"/>
          <w:sz w:val="22"/>
          <w:lang w:val="en-US"/>
        </w:rPr>
        <w:t>,</w:t>
      </w:r>
      <w:r w:rsidRPr="009725A3">
        <w:rPr>
          <w:rFonts w:cs="Arial"/>
          <w:b w:val="0"/>
          <w:sz w:val="22"/>
          <w:vertAlign w:val="superscript"/>
          <w:lang w:val="en-US"/>
        </w:rPr>
        <w:t xml:space="preserve"> </w:t>
      </w:r>
      <w:r w:rsidRPr="009725A3">
        <w:rPr>
          <w:rFonts w:cs="Arial"/>
          <w:b w:val="0"/>
          <w:sz w:val="22"/>
          <w:lang w:val="en-US"/>
        </w:rPr>
        <w:t>Peter Zhang</w:t>
      </w:r>
      <w:r w:rsidRPr="009725A3">
        <w:rPr>
          <w:rFonts w:cs="Arial"/>
          <w:b w:val="0"/>
          <w:sz w:val="22"/>
          <w:vertAlign w:val="superscript"/>
          <w:lang w:val="en-US"/>
        </w:rPr>
        <w:t>3</w:t>
      </w:r>
      <w:r w:rsidRPr="009725A3">
        <w:rPr>
          <w:rFonts w:cs="Arial"/>
          <w:b w:val="0"/>
          <w:sz w:val="22"/>
          <w:lang w:val="en-US"/>
        </w:rPr>
        <w:t>, John Ouyang</w:t>
      </w:r>
      <w:r w:rsidRPr="009725A3">
        <w:rPr>
          <w:rFonts w:cs="Arial"/>
          <w:b w:val="0"/>
          <w:sz w:val="22"/>
          <w:vertAlign w:val="superscript"/>
          <w:lang w:val="en-US"/>
        </w:rPr>
        <w:t>3</w:t>
      </w:r>
      <w:r w:rsidRPr="009725A3">
        <w:rPr>
          <w:rFonts w:cs="Arial"/>
          <w:b w:val="0"/>
          <w:sz w:val="22"/>
          <w:lang w:val="en-US"/>
        </w:rPr>
        <w:t>, Emmanuelle Weiller</w:t>
      </w:r>
      <w:r w:rsidRPr="009725A3">
        <w:rPr>
          <w:rFonts w:cs="Arial"/>
          <w:b w:val="0"/>
          <w:sz w:val="22"/>
          <w:vertAlign w:val="superscript"/>
          <w:lang w:val="en-US"/>
        </w:rPr>
        <w:t>2</w:t>
      </w:r>
      <w:r w:rsidRPr="009725A3">
        <w:rPr>
          <w:rFonts w:cs="Arial"/>
          <w:b w:val="0"/>
          <w:sz w:val="22"/>
          <w:lang w:val="en-US"/>
        </w:rPr>
        <w:t>, Catherine Weiss</w:t>
      </w:r>
      <w:r w:rsidRPr="009725A3">
        <w:rPr>
          <w:rFonts w:cs="Arial"/>
          <w:b w:val="0"/>
          <w:sz w:val="22"/>
          <w:vertAlign w:val="superscript"/>
          <w:lang w:val="en-US"/>
        </w:rPr>
        <w:t>3</w:t>
      </w:r>
      <w:r w:rsidRPr="009725A3">
        <w:rPr>
          <w:rFonts w:cs="Arial"/>
          <w:b w:val="0"/>
          <w:sz w:val="22"/>
          <w:lang w:val="en-US"/>
        </w:rPr>
        <w:t xml:space="preserve">, </w:t>
      </w:r>
      <w:r w:rsidRPr="009725A3">
        <w:rPr>
          <w:rFonts w:cs="Arial"/>
          <w:b w:val="0"/>
          <w:sz w:val="22"/>
          <w:szCs w:val="20"/>
          <w:lang w:val="en-US"/>
        </w:rPr>
        <w:t>Mary Hobart</w:t>
      </w:r>
      <w:r w:rsidRPr="009725A3">
        <w:rPr>
          <w:rFonts w:cs="Arial"/>
          <w:b w:val="0"/>
          <w:sz w:val="22"/>
          <w:szCs w:val="20"/>
          <w:vertAlign w:val="superscript"/>
          <w:lang w:val="en-US"/>
        </w:rPr>
        <w:t>3</w:t>
      </w:r>
    </w:p>
    <w:p w:rsidR="00427591" w:rsidRPr="009725A3" w:rsidRDefault="00427591" w:rsidP="00427591">
      <w:pPr>
        <w:spacing w:line="480" w:lineRule="auto"/>
        <w:rPr>
          <w:rFonts w:ascii="Arial" w:eastAsia="Calibri" w:hAnsi="Arial" w:cs="Arial"/>
        </w:rPr>
      </w:pPr>
      <w:r w:rsidRPr="009725A3">
        <w:rPr>
          <w:rFonts w:ascii="Arial" w:eastAsia="Calibri" w:hAnsi="Arial" w:cs="Arial"/>
          <w:b/>
        </w:rPr>
        <w:t>Affiliations:</w:t>
      </w:r>
      <w:r w:rsidRPr="009725A3">
        <w:rPr>
          <w:rFonts w:ascii="Arial" w:eastAsia="Calibri" w:hAnsi="Arial" w:cs="Arial"/>
        </w:rPr>
        <w:t xml:space="preserve"> </w:t>
      </w:r>
      <w:r w:rsidRPr="009725A3">
        <w:rPr>
          <w:rFonts w:ascii="Arial" w:eastAsia="Calibri" w:hAnsi="Arial" w:cs="Arial"/>
          <w:vertAlign w:val="superscript"/>
        </w:rPr>
        <w:t>1</w:t>
      </w:r>
      <w:r w:rsidRPr="009725A3">
        <w:rPr>
          <w:rFonts w:ascii="Arial" w:eastAsia="Calibri" w:hAnsi="Arial" w:cs="Arial"/>
        </w:rPr>
        <w:t xml:space="preserve">Semel Institute for Neuroscience at University of California Los Angeles, CA, USA; </w:t>
      </w:r>
      <w:r w:rsidRPr="009725A3">
        <w:rPr>
          <w:rFonts w:ascii="Arial" w:eastAsia="Calibri" w:hAnsi="Arial" w:cs="Arial"/>
          <w:vertAlign w:val="superscript"/>
        </w:rPr>
        <w:t>2</w:t>
      </w:r>
      <w:r w:rsidRPr="009725A3">
        <w:rPr>
          <w:rFonts w:ascii="Arial" w:eastAsia="Calibri" w:hAnsi="Arial" w:cs="Arial"/>
        </w:rPr>
        <w:t xml:space="preserve">H. </w:t>
      </w:r>
      <w:proofErr w:type="spellStart"/>
      <w:r w:rsidRPr="009725A3">
        <w:rPr>
          <w:rFonts w:ascii="Arial" w:eastAsia="Calibri" w:hAnsi="Arial" w:cs="Arial"/>
        </w:rPr>
        <w:t>Lundbeck</w:t>
      </w:r>
      <w:proofErr w:type="spellEnd"/>
      <w:r w:rsidRPr="009725A3">
        <w:rPr>
          <w:rFonts w:ascii="Arial" w:eastAsia="Calibri" w:hAnsi="Arial" w:cs="Arial"/>
        </w:rPr>
        <w:t xml:space="preserve"> A/S, </w:t>
      </w:r>
      <w:proofErr w:type="spellStart"/>
      <w:r w:rsidRPr="009725A3">
        <w:rPr>
          <w:rFonts w:ascii="Arial" w:eastAsia="Calibri" w:hAnsi="Arial" w:cs="Arial"/>
        </w:rPr>
        <w:t>Valby</w:t>
      </w:r>
      <w:proofErr w:type="spellEnd"/>
      <w:r w:rsidRPr="009725A3">
        <w:rPr>
          <w:rFonts w:ascii="Arial" w:eastAsia="Calibri" w:hAnsi="Arial" w:cs="Arial"/>
        </w:rPr>
        <w:t>, Denmark;</w:t>
      </w:r>
      <w:r w:rsidRPr="009725A3">
        <w:rPr>
          <w:rFonts w:ascii="Arial" w:eastAsia="Calibri" w:hAnsi="Arial" w:cs="Arial"/>
          <w:vertAlign w:val="superscript"/>
        </w:rPr>
        <w:t xml:space="preserve"> 3</w:t>
      </w:r>
      <w:r w:rsidRPr="009725A3">
        <w:rPr>
          <w:rFonts w:ascii="Arial" w:hAnsi="Arial" w:cs="Arial"/>
        </w:rPr>
        <w:t>Otsuka Pharmaceutical Development &amp; Commercialization, Inc., Princeton, USA</w:t>
      </w:r>
    </w:p>
    <w:p w:rsidR="00427591" w:rsidRPr="009725A3" w:rsidRDefault="00427591" w:rsidP="00427591">
      <w:pPr>
        <w:spacing w:line="480" w:lineRule="auto"/>
        <w:rPr>
          <w:rFonts w:ascii="Arial" w:eastAsia="Calibri" w:hAnsi="Arial" w:cs="Arial"/>
          <w:b/>
        </w:rPr>
      </w:pPr>
    </w:p>
    <w:p w:rsidR="00427591" w:rsidRPr="009725A3" w:rsidRDefault="00427591" w:rsidP="00427591">
      <w:pPr>
        <w:spacing w:line="480" w:lineRule="auto"/>
        <w:rPr>
          <w:rFonts w:ascii="Arial" w:hAnsi="Arial" w:cs="Arial"/>
        </w:rPr>
      </w:pPr>
      <w:r w:rsidRPr="009725A3">
        <w:rPr>
          <w:rFonts w:ascii="Arial" w:eastAsia="Calibri" w:hAnsi="Arial" w:cs="Arial"/>
          <w:b/>
        </w:rPr>
        <w:t xml:space="preserve">Corresponding author: </w:t>
      </w:r>
      <w:proofErr w:type="spellStart"/>
      <w:r w:rsidRPr="009725A3">
        <w:rPr>
          <w:rFonts w:ascii="Arial" w:eastAsia="Calibri" w:hAnsi="Arial" w:cs="Arial"/>
        </w:rPr>
        <w:t>Dr</w:t>
      </w:r>
      <w:proofErr w:type="spellEnd"/>
      <w:r w:rsidRPr="009725A3">
        <w:rPr>
          <w:rFonts w:ascii="Arial" w:eastAsia="Calibri" w:hAnsi="Arial" w:cs="Arial"/>
        </w:rPr>
        <w:t xml:space="preserve"> S.R. Marder, </w:t>
      </w:r>
      <w:r w:rsidRPr="009725A3">
        <w:rPr>
          <w:rFonts w:ascii="Arial" w:hAnsi="Arial" w:cs="Arial"/>
        </w:rPr>
        <w:t>11301 Wilshire Blvd., MIRECC Building 210, Rm 130, Los Angeles, CA 90073, United States</w:t>
      </w:r>
    </w:p>
    <w:p w:rsidR="00427591" w:rsidRPr="00BC5AE5" w:rsidRDefault="00427591" w:rsidP="00427591">
      <w:pPr>
        <w:spacing w:line="480" w:lineRule="auto"/>
        <w:rPr>
          <w:rFonts w:ascii="Arial" w:hAnsi="Arial" w:cs="Arial"/>
          <w:lang w:val="fr-FR"/>
        </w:rPr>
      </w:pPr>
      <w:proofErr w:type="gramStart"/>
      <w:r w:rsidRPr="00BC5AE5">
        <w:rPr>
          <w:rFonts w:ascii="Arial" w:hAnsi="Arial" w:cs="Arial"/>
          <w:lang w:val="fr-FR"/>
        </w:rPr>
        <w:t>e-mail</w:t>
      </w:r>
      <w:proofErr w:type="gramEnd"/>
      <w:r w:rsidRPr="00BC5AE5">
        <w:rPr>
          <w:rFonts w:ascii="Arial" w:hAnsi="Arial" w:cs="Arial"/>
          <w:lang w:val="fr-FR"/>
        </w:rPr>
        <w:t>: marder@ucla.edu</w:t>
      </w:r>
    </w:p>
    <w:p w:rsidR="00427591" w:rsidRPr="00BC5AE5" w:rsidRDefault="00427591">
      <w:pPr>
        <w:spacing w:after="0" w:line="480" w:lineRule="auto"/>
        <w:rPr>
          <w:rFonts w:ascii="Arial" w:hAnsi="Arial" w:cs="Arial"/>
          <w:b/>
          <w:sz w:val="24"/>
        </w:rPr>
        <w:sectPr w:rsidR="00427591" w:rsidRPr="00BC5AE5" w:rsidSect="00427591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427591" w:rsidRPr="00BC5AE5" w:rsidRDefault="00427591" w:rsidP="00427591">
      <w:pPr>
        <w:rPr>
          <w:rFonts w:ascii="Arial" w:hAnsi="Arial" w:cs="Arial"/>
          <w:b/>
          <w:sz w:val="24"/>
        </w:rPr>
      </w:pPr>
      <w:r w:rsidRPr="00BC5AE5">
        <w:rPr>
          <w:rFonts w:ascii="Arial" w:hAnsi="Arial" w:cs="Arial"/>
          <w:b/>
          <w:sz w:val="24"/>
        </w:rPr>
        <w:lastRenderedPageBreak/>
        <w:t>Supplementary material</w:t>
      </w:r>
    </w:p>
    <w:p w:rsidR="00427591" w:rsidRPr="00BC5AE5" w:rsidRDefault="00427591" w:rsidP="00427591">
      <w:pPr>
        <w:rPr>
          <w:rFonts w:ascii="Arial" w:hAnsi="Arial" w:cs="Arial"/>
          <w:b/>
        </w:rPr>
      </w:pPr>
    </w:p>
    <w:p w:rsidR="00427591" w:rsidRPr="00BC5AE5" w:rsidRDefault="00427591" w:rsidP="00427591">
      <w:pPr>
        <w:spacing w:line="360" w:lineRule="auto"/>
        <w:rPr>
          <w:rFonts w:ascii="Arial" w:hAnsi="Arial" w:cs="Arial"/>
          <w:b/>
        </w:rPr>
      </w:pPr>
      <w:r w:rsidRPr="00BC5AE5">
        <w:rPr>
          <w:rFonts w:ascii="Arial" w:hAnsi="Arial" w:cs="Arial"/>
          <w:b/>
        </w:rPr>
        <w:t xml:space="preserve">Table S1: </w:t>
      </w:r>
      <w:r w:rsidRPr="00BC5AE5">
        <w:rPr>
          <w:rFonts w:ascii="Arial" w:hAnsi="Arial" w:cs="Arial"/>
        </w:rPr>
        <w:t>Mean (SD) change from baseline at last visit in extrapyramidal symptoms rating scales</w:t>
      </w:r>
      <w:r w:rsidRPr="00BC5AE5">
        <w:rPr>
          <w:rFonts w:ascii="Arial" w:hAnsi="Arial" w:cs="Arial"/>
          <w:b/>
        </w:rPr>
        <w:t xml:space="preserve"> </w:t>
      </w:r>
    </w:p>
    <w:tbl>
      <w:tblPr>
        <w:tblStyle w:val="TableGrid1"/>
        <w:tblW w:w="13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55"/>
        <w:gridCol w:w="2055"/>
        <w:gridCol w:w="6"/>
        <w:gridCol w:w="2050"/>
        <w:gridCol w:w="2055"/>
        <w:gridCol w:w="11"/>
        <w:gridCol w:w="2044"/>
        <w:gridCol w:w="2056"/>
        <w:gridCol w:w="16"/>
      </w:tblGrid>
      <w:tr w:rsidR="00427591" w:rsidRPr="00BC5AE5" w:rsidTr="004F5612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SHORT-TERM STUDIES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MAINTENANCE STUDY</w:t>
            </w:r>
            <w:r w:rsidRPr="00BC5AE5">
              <w:rPr>
                <w:rFonts w:ascii="Arial" w:hAnsi="Arial" w:cs="Arial"/>
                <w:b/>
                <w:sz w:val="20"/>
                <w:szCs w:val="20"/>
              </w:rPr>
              <w:br/>
              <w:t>(Double-blind maintenance phase)</w:t>
            </w:r>
          </w:p>
        </w:tc>
      </w:tr>
      <w:tr w:rsidR="00427591" w:rsidRPr="00BC5AE5" w:rsidTr="004F5612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Flexible-dose study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Meta-</w:t>
            </w:r>
            <w:proofErr w:type="spellStart"/>
            <w:r w:rsidRPr="00BC5AE5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BC5A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11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591" w:rsidRPr="00BC5AE5" w:rsidTr="004F5612">
        <w:trPr>
          <w:gridAfter w:val="1"/>
          <w:wAfter w:w="16" w:type="dxa"/>
          <w:trHeight w:val="7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Placebo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Brexpiprazole</w:t>
            </w:r>
            <w:r w:rsidRPr="00BC5AE5">
              <w:rPr>
                <w:rFonts w:ascii="Arial" w:hAnsi="Arial" w:cs="Arial"/>
                <w:b/>
                <w:sz w:val="20"/>
                <w:szCs w:val="20"/>
              </w:rPr>
              <w:br/>
              <w:t>2–4 mg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Placebo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Brexpiprazole</w:t>
            </w:r>
            <w:r w:rsidRPr="00BC5AE5">
              <w:rPr>
                <w:rFonts w:ascii="Arial" w:hAnsi="Arial" w:cs="Arial"/>
                <w:b/>
                <w:sz w:val="20"/>
                <w:szCs w:val="20"/>
              </w:rPr>
              <w:br/>
              <w:t>2–4 mg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Placebo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Brexpiprazole</w:t>
            </w:r>
            <w:r w:rsidRPr="00BC5AE5">
              <w:rPr>
                <w:rFonts w:ascii="Arial" w:hAnsi="Arial" w:cs="Arial"/>
                <w:b/>
                <w:sz w:val="20"/>
                <w:szCs w:val="20"/>
              </w:rPr>
              <w:br/>
              <w:t>1–4 mg</w:t>
            </w:r>
          </w:p>
        </w:tc>
      </w:tr>
      <w:tr w:rsidR="00427591" w:rsidRPr="00BC5AE5" w:rsidTr="004F5612">
        <w:trPr>
          <w:gridAfter w:val="1"/>
          <w:wAfter w:w="16" w:type="dxa"/>
          <w:trHeight w:val="567"/>
        </w:trPr>
        <w:tc>
          <w:tcPr>
            <w:tcW w:w="137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5AE5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</w:tc>
      </w:tr>
      <w:tr w:rsidR="00427591" w:rsidRPr="00BC5AE5" w:rsidTr="004F5612">
        <w:trPr>
          <w:gridAfter w:val="1"/>
          <w:wAfter w:w="16" w:type="dxa"/>
          <w:trHeight w:val="619"/>
        </w:trPr>
        <w:tc>
          <w:tcPr>
            <w:tcW w:w="1418" w:type="dxa"/>
            <w:tcBorders>
              <w:top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5AE5">
              <w:rPr>
                <w:rFonts w:ascii="Arial" w:hAnsi="Arial" w:cs="Arial"/>
                <w:sz w:val="20"/>
                <w:szCs w:val="20"/>
              </w:rPr>
              <w:t>SAS</w:t>
            </w:r>
          </w:p>
        </w:tc>
        <w:tc>
          <w:tcPr>
            <w:tcW w:w="2055" w:type="dxa"/>
          </w:tcPr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-0.2 (1.1)</w:t>
            </w:r>
          </w:p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AE5">
              <w:rPr>
                <w:rFonts w:ascii="Arial" w:hAnsi="Arial" w:cs="Arial"/>
                <w:sz w:val="20"/>
              </w:rPr>
              <w:t>(n=111)</w:t>
            </w:r>
          </w:p>
        </w:tc>
        <w:tc>
          <w:tcPr>
            <w:tcW w:w="2055" w:type="dxa"/>
          </w:tcPr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-0.3 (1.3)</w:t>
            </w:r>
          </w:p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(n=114)</w:t>
            </w:r>
          </w:p>
        </w:tc>
        <w:tc>
          <w:tcPr>
            <w:tcW w:w="2056" w:type="dxa"/>
            <w:gridSpan w:val="2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-0.1 (1.4)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(n=508)</w:t>
            </w:r>
          </w:p>
        </w:tc>
        <w:tc>
          <w:tcPr>
            <w:tcW w:w="2055" w:type="dxa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-0.1 (1.4)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(n=850)</w:t>
            </w:r>
          </w:p>
        </w:tc>
        <w:tc>
          <w:tcPr>
            <w:tcW w:w="2055" w:type="dxa"/>
            <w:gridSpan w:val="2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-0.1 (0.9)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(n=104)</w:t>
            </w:r>
          </w:p>
        </w:tc>
        <w:tc>
          <w:tcPr>
            <w:tcW w:w="2056" w:type="dxa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-0.01 (0.6)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(n=96)</w:t>
            </w:r>
          </w:p>
        </w:tc>
      </w:tr>
      <w:tr w:rsidR="00427591" w:rsidRPr="00BC5AE5" w:rsidTr="004F5612">
        <w:trPr>
          <w:gridAfter w:val="1"/>
          <w:wAfter w:w="16" w:type="dxa"/>
          <w:trHeight w:val="567"/>
        </w:trPr>
        <w:tc>
          <w:tcPr>
            <w:tcW w:w="1418" w:type="dxa"/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5AE5">
              <w:rPr>
                <w:rFonts w:ascii="Arial" w:hAnsi="Arial" w:cs="Arial"/>
                <w:sz w:val="20"/>
                <w:szCs w:val="20"/>
              </w:rPr>
              <w:t>BARS</w:t>
            </w:r>
          </w:p>
        </w:tc>
        <w:tc>
          <w:tcPr>
            <w:tcW w:w="2055" w:type="dxa"/>
          </w:tcPr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 xml:space="preserve">-0.02 (0.2) </w:t>
            </w:r>
          </w:p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(n=111)</w:t>
            </w:r>
          </w:p>
        </w:tc>
        <w:tc>
          <w:tcPr>
            <w:tcW w:w="2055" w:type="dxa"/>
          </w:tcPr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 xml:space="preserve">-0.1 (0.4) </w:t>
            </w:r>
          </w:p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(n=114)</w:t>
            </w:r>
          </w:p>
        </w:tc>
        <w:tc>
          <w:tcPr>
            <w:tcW w:w="2056" w:type="dxa"/>
            <w:gridSpan w:val="2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0.0 (0.5)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(n=521)</w:t>
            </w:r>
          </w:p>
        </w:tc>
        <w:tc>
          <w:tcPr>
            <w:tcW w:w="2055" w:type="dxa"/>
          </w:tcPr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0.0 (0.5)</w:t>
            </w:r>
          </w:p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(n=873)</w:t>
            </w:r>
          </w:p>
        </w:tc>
        <w:tc>
          <w:tcPr>
            <w:tcW w:w="2055" w:type="dxa"/>
            <w:gridSpan w:val="2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-0.1 (0.5)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(n=104)</w:t>
            </w:r>
          </w:p>
        </w:tc>
        <w:tc>
          <w:tcPr>
            <w:tcW w:w="2056" w:type="dxa"/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-0.1 (0.3)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(n=96)</w:t>
            </w:r>
          </w:p>
        </w:tc>
      </w:tr>
      <w:tr w:rsidR="00427591" w:rsidRPr="00BC5AE5" w:rsidTr="004F5612">
        <w:trPr>
          <w:gridAfter w:val="1"/>
          <w:wAfter w:w="16" w:type="dxa"/>
          <w:trHeight w:val="567"/>
        </w:trPr>
        <w:tc>
          <w:tcPr>
            <w:tcW w:w="1418" w:type="dxa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5AE5">
              <w:rPr>
                <w:rFonts w:ascii="Arial" w:hAnsi="Arial" w:cs="Arial"/>
                <w:sz w:val="20"/>
                <w:szCs w:val="20"/>
              </w:rPr>
              <w:t>AIMS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0.01 (0.6)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(n=111)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-0.2 (1.0)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(n=114)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  <w:szCs w:val="20"/>
              </w:rPr>
              <w:t>-</w:t>
            </w:r>
            <w:r w:rsidRPr="00BC5AE5">
              <w:rPr>
                <w:rFonts w:ascii="Arial" w:hAnsi="Arial" w:cs="Arial"/>
                <w:sz w:val="20"/>
              </w:rPr>
              <w:t>0.</w:t>
            </w:r>
            <w:r w:rsidRPr="00BC5AE5">
              <w:rPr>
                <w:rFonts w:ascii="Arial" w:hAnsi="Arial" w:cs="Arial"/>
                <w:sz w:val="20"/>
                <w:szCs w:val="20"/>
              </w:rPr>
              <w:t>03</w:t>
            </w:r>
            <w:r w:rsidRPr="00BC5AE5">
              <w:rPr>
                <w:rFonts w:ascii="Arial" w:hAnsi="Arial" w:cs="Arial"/>
                <w:sz w:val="20"/>
              </w:rPr>
              <w:t xml:space="preserve"> (0.8)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(n=520)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-0.1 (0.9)</w:t>
            </w:r>
          </w:p>
          <w:p w:rsidR="00427591" w:rsidRPr="00BC5AE5" w:rsidRDefault="00427591" w:rsidP="004F5612">
            <w:pPr>
              <w:tabs>
                <w:tab w:val="left" w:pos="510"/>
                <w:tab w:val="center" w:pos="816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(n=873)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0.1 (0.9)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(n=104)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-0.03 (0.6)</w:t>
            </w:r>
          </w:p>
          <w:p w:rsidR="00427591" w:rsidRPr="00BC5AE5" w:rsidRDefault="00427591" w:rsidP="004F561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C5AE5">
              <w:rPr>
                <w:rFonts w:ascii="Arial" w:hAnsi="Arial" w:cs="Arial"/>
                <w:sz w:val="20"/>
              </w:rPr>
              <w:t>(n=96)</w:t>
            </w:r>
          </w:p>
        </w:tc>
      </w:tr>
    </w:tbl>
    <w:p w:rsidR="00427591" w:rsidRPr="00BC5AE5" w:rsidRDefault="00427591" w:rsidP="00427591">
      <w:pPr>
        <w:spacing w:after="0"/>
        <w:rPr>
          <w:rFonts w:ascii="Arial" w:hAnsi="Arial" w:cs="Arial"/>
          <w:sz w:val="18"/>
        </w:rPr>
      </w:pPr>
      <w:proofErr w:type="spellStart"/>
      <w:r w:rsidRPr="00BC5AE5">
        <w:rPr>
          <w:rFonts w:ascii="Arial" w:hAnsi="Arial" w:cs="Arial"/>
          <w:sz w:val="18"/>
          <w:vertAlign w:val="superscript"/>
        </w:rPr>
        <w:t>a</w:t>
      </w:r>
      <w:r w:rsidRPr="00BC5AE5">
        <w:rPr>
          <w:rFonts w:ascii="Arial" w:hAnsi="Arial" w:cs="Arial"/>
          <w:sz w:val="18"/>
        </w:rPr>
        <w:t>Placebo</w:t>
      </w:r>
      <w:proofErr w:type="spellEnd"/>
      <w:r w:rsidRPr="00BC5AE5">
        <w:rPr>
          <w:rFonts w:ascii="Arial" w:hAnsi="Arial" w:cs="Arial"/>
          <w:sz w:val="18"/>
        </w:rPr>
        <w:t xml:space="preserve"> and brexpiprazole 2-4 mg groups from the two fixed-dose phase 3 studies and the one flexible-dose phase 3 study, were combined and analyzed using individual patient data meta-analysis</w:t>
      </w:r>
    </w:p>
    <w:p w:rsidR="00427591" w:rsidRPr="00BC5AE5" w:rsidRDefault="00427591" w:rsidP="00427591">
      <w:pPr>
        <w:spacing w:after="0"/>
        <w:rPr>
          <w:rFonts w:ascii="Arial" w:hAnsi="Arial" w:cs="Arial"/>
          <w:b/>
          <w:sz w:val="24"/>
        </w:rPr>
      </w:pPr>
      <w:r w:rsidRPr="00BC5AE5">
        <w:rPr>
          <w:rFonts w:ascii="Arial" w:hAnsi="Arial" w:cs="Arial"/>
          <w:sz w:val="18"/>
        </w:rPr>
        <w:t>AIMS, Abnormal Involuntary Movement Scale; BARS, Barnes Akathisia Rating Scale; SAS, Simpson Angus Scale; SD, standard deviation.</w:t>
      </w:r>
      <w:r w:rsidRPr="00BC5AE5">
        <w:rPr>
          <w:rFonts w:ascii="Arial" w:hAnsi="Arial" w:cs="Arial"/>
          <w:b/>
          <w:sz w:val="24"/>
          <w:highlight w:val="yellow"/>
        </w:rPr>
        <w:fldChar w:fldCharType="begin"/>
      </w:r>
      <w:r w:rsidRPr="00BC5AE5">
        <w:rPr>
          <w:rFonts w:ascii="Arial" w:hAnsi="Arial" w:cs="Arial"/>
          <w:b/>
          <w:sz w:val="24"/>
          <w:highlight w:val="yellow"/>
        </w:rPr>
        <w:instrText xml:space="preserve"> ADDIN </w:instrText>
      </w:r>
      <w:r w:rsidRPr="00BC5AE5">
        <w:rPr>
          <w:rFonts w:ascii="Arial" w:hAnsi="Arial" w:cs="Arial"/>
          <w:b/>
          <w:sz w:val="24"/>
          <w:highlight w:val="yellow"/>
        </w:rPr>
        <w:fldChar w:fldCharType="end"/>
      </w:r>
    </w:p>
    <w:p w:rsidR="001363D7" w:rsidRDefault="001363D7">
      <w:bookmarkStart w:id="0" w:name="_GoBack"/>
      <w:bookmarkEnd w:id="0"/>
    </w:p>
    <w:sectPr w:rsidR="001363D7" w:rsidSect="00FF3EEF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1"/>
    <w:rsid w:val="001363D7"/>
    <w:rsid w:val="00427591"/>
    <w:rsid w:val="009725A3"/>
    <w:rsid w:val="00B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611C-A59C-4E06-A2ED-74E3868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9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27591"/>
    <w:pPr>
      <w:keepNext/>
      <w:spacing w:after="240" w:line="36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275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75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27591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780B04E0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Healthcare Communications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Cicchelli</dc:creator>
  <cp:keywords/>
  <dc:description/>
  <cp:lastModifiedBy>Rachel Cicchelli</cp:lastModifiedBy>
  <cp:revision>3</cp:revision>
  <dcterms:created xsi:type="dcterms:W3CDTF">2016-07-26T08:19:00Z</dcterms:created>
  <dcterms:modified xsi:type="dcterms:W3CDTF">2016-07-27T13:06:00Z</dcterms:modified>
</cp:coreProperties>
</file>