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8F" w:rsidRDefault="004F148F" w:rsidP="004F148F">
      <w:pPr>
        <w:pStyle w:val="Heading2"/>
      </w:pPr>
      <w:r>
        <w:t>Supplementary append</w:t>
      </w:r>
      <w:bookmarkStart w:id="0" w:name="_GoBack"/>
      <w:bookmarkEnd w:id="0"/>
      <w:r>
        <w:t>ix</w:t>
      </w:r>
    </w:p>
    <w:p w:rsidR="004F148F" w:rsidRPr="00603CEC" w:rsidRDefault="004F148F" w:rsidP="004F148F"/>
    <w:p w:rsidR="004F148F" w:rsidRPr="00424932" w:rsidRDefault="004F148F" w:rsidP="004F148F">
      <w:r w:rsidRPr="00424932">
        <w:t>Table S1. Dose-titration schedule for antidepressant therapies (ADTs)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948"/>
        <w:gridCol w:w="1127"/>
        <w:gridCol w:w="1006"/>
        <w:gridCol w:w="1318"/>
        <w:gridCol w:w="1183"/>
        <w:gridCol w:w="1712"/>
      </w:tblGrid>
      <w:tr w:rsidR="004F148F" w:rsidRPr="00A02392" w:rsidTr="00370750">
        <w:trPr>
          <w:trHeight w:hRule="exact" w:val="340"/>
        </w:trPr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67" w:right="391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w w:val="99"/>
                <w:sz w:val="18"/>
                <w:szCs w:val="18"/>
              </w:rPr>
              <w:t>Day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9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z w:val="18"/>
                <w:szCs w:val="18"/>
              </w:rPr>
              <w:t>Dulo</w:t>
            </w:r>
            <w:r w:rsidRPr="00A02392">
              <w:rPr>
                <w:rFonts w:cs="Times New Roman"/>
                <w:b/>
                <w:bCs/>
                <w:spacing w:val="1"/>
                <w:sz w:val="18"/>
                <w:szCs w:val="18"/>
              </w:rPr>
              <w:t>x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etine</w:t>
            </w:r>
          </w:p>
        </w:tc>
        <w:tc>
          <w:tcPr>
            <w:tcW w:w="6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1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z w:val="18"/>
                <w:szCs w:val="18"/>
              </w:rPr>
              <w:t>Escit</w:t>
            </w:r>
            <w:r w:rsidRPr="00A02392">
              <w:rPr>
                <w:rFonts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lopram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pacing w:val="1"/>
                <w:sz w:val="18"/>
                <w:szCs w:val="18"/>
              </w:rPr>
              <w:t>F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luoxetine</w:t>
            </w:r>
          </w:p>
        </w:tc>
        <w:tc>
          <w:tcPr>
            <w:tcW w:w="7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9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z w:val="18"/>
                <w:szCs w:val="18"/>
              </w:rPr>
              <w:t>P</w:t>
            </w:r>
            <w:r w:rsidRPr="00A02392">
              <w:rPr>
                <w:rFonts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A02392">
              <w:rPr>
                <w:rFonts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A02392">
              <w:rPr>
                <w:rFonts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xetine</w:t>
            </w:r>
            <w:r w:rsidRPr="00A02392">
              <w:rPr>
                <w:rFonts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IR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2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z w:val="18"/>
                <w:szCs w:val="18"/>
              </w:rPr>
              <w:t>Sertraline</w:t>
            </w:r>
          </w:p>
        </w:tc>
        <w:tc>
          <w:tcPr>
            <w:tcW w:w="9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63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pacing w:val="-18"/>
                <w:sz w:val="18"/>
                <w:szCs w:val="18"/>
              </w:rPr>
              <w:t>V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enlafaxine</w:t>
            </w:r>
            <w:r w:rsidRPr="00A02392">
              <w:rPr>
                <w:rFonts w:cs="Times New Roman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XR</w:t>
            </w:r>
          </w:p>
        </w:tc>
      </w:tr>
      <w:tr w:rsidR="004F148F" w:rsidRPr="00A02392" w:rsidTr="00370750">
        <w:trPr>
          <w:trHeight w:hRule="exact" w:val="521"/>
        </w:trPr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Day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to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6</w:t>
            </w:r>
            <w:r w:rsidRPr="00A02392">
              <w:rPr>
                <w:rFonts w:cs="Times New Roman"/>
                <w:spacing w:val="17"/>
                <w:sz w:val="18"/>
                <w:szCs w:val="18"/>
              </w:rPr>
              <w:t>0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624" w:type="pc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7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3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730" w:type="pc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2</w:t>
            </w:r>
            <w:r w:rsidRPr="00A02392">
              <w:rPr>
                <w:rFonts w:cs="Times New Roman"/>
                <w:spacing w:val="17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5</w:t>
            </w:r>
            <w:r w:rsidRPr="00A02392">
              <w:rPr>
                <w:rFonts w:cs="Times New Roman"/>
                <w:spacing w:val="17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948" w:type="pc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7</w:t>
            </w:r>
            <w:r w:rsidRPr="00A02392">
              <w:rPr>
                <w:rFonts w:cs="Times New Roman"/>
                <w:spacing w:val="17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</w:tr>
      <w:tr w:rsidR="004F148F" w:rsidRPr="00A02392" w:rsidTr="00370750">
        <w:trPr>
          <w:trHeight w:hRule="exact" w:val="280"/>
        </w:trPr>
        <w:tc>
          <w:tcPr>
            <w:tcW w:w="960" w:type="pct"/>
            <w:tcBorders>
              <w:top w:val="single" w:sz="4" w:space="0" w:color="4C4C4C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Day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8</w:t>
            </w:r>
            <w:r w:rsidRPr="00A02392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t</w:t>
            </w:r>
            <w:r w:rsidRPr="00A02392">
              <w:rPr>
                <w:rFonts w:cs="Times New Roman"/>
                <w:sz w:val="18"/>
                <w:szCs w:val="18"/>
              </w:rPr>
              <w:t>o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1</w:t>
            </w:r>
            <w:r w:rsidRPr="00A0239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25" w:type="pct"/>
            <w:tcBorders>
              <w:top w:val="single" w:sz="4" w:space="0" w:color="4C4C4C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6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624" w:type="pct"/>
            <w:tcBorders>
              <w:top w:val="single" w:sz="4" w:space="0" w:color="4C4C4C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557" w:type="pct"/>
            <w:tcBorders>
              <w:top w:val="single" w:sz="4" w:space="0" w:color="4C4C4C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40</w:t>
            </w:r>
            <w:r w:rsidRPr="00A02392">
              <w:rPr>
                <w:rFonts w:cs="Times New Roman"/>
                <w:spacing w:val="-3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730" w:type="pct"/>
            <w:tcBorders>
              <w:top w:val="single" w:sz="4" w:space="0" w:color="4C4C4C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40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655" w:type="pct"/>
            <w:tcBorders>
              <w:top w:val="single" w:sz="4" w:space="0" w:color="4C4C4C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1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1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948" w:type="pct"/>
            <w:tcBorders>
              <w:top w:val="single" w:sz="4" w:space="0" w:color="4C4C4C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7</w:t>
            </w:r>
            <w:r w:rsidRPr="00A02392">
              <w:rPr>
                <w:rFonts w:cs="Times New Roman"/>
                <w:sz w:val="18"/>
                <w:szCs w:val="18"/>
              </w:rPr>
              <w:t>5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5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</w:tr>
      <w:tr w:rsidR="004F148F" w:rsidRPr="00A02392" w:rsidTr="00370750">
        <w:trPr>
          <w:trHeight w:hRule="exact" w:val="247"/>
        </w:trPr>
        <w:tc>
          <w:tcPr>
            <w:tcW w:w="960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Da</w:t>
            </w:r>
            <w:r w:rsidRPr="00A02392">
              <w:rPr>
                <w:rFonts w:cs="Times New Roman"/>
                <w:sz w:val="18"/>
                <w:szCs w:val="18"/>
              </w:rPr>
              <w:t>y</w:t>
            </w:r>
            <w:r w:rsidRPr="00A02392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15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to</w:t>
            </w:r>
            <w:r w:rsidRPr="00A02392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525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6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624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1</w:t>
            </w:r>
            <w:r w:rsidRPr="00A02392">
              <w:rPr>
                <w:rFonts w:cs="Times New Roman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557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4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730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20,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30,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</w:p>
        </w:tc>
        <w:tc>
          <w:tcPr>
            <w:tcW w:w="655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1</w:t>
            </w:r>
            <w:r w:rsidRPr="00A02392">
              <w:rPr>
                <w:rFonts w:cs="Times New Roman"/>
                <w:sz w:val="18"/>
                <w:szCs w:val="18"/>
              </w:rPr>
              <w:t>00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1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50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948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7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</w:p>
        </w:tc>
      </w:tr>
      <w:tr w:rsidR="004F148F" w:rsidRPr="00A02392" w:rsidTr="00370750">
        <w:trPr>
          <w:trHeight w:hRule="exact" w:val="273"/>
        </w:trPr>
        <w:tc>
          <w:tcPr>
            <w:tcW w:w="960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8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40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48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225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</w:tr>
      <w:tr w:rsidR="004F148F" w:rsidRPr="00A02392" w:rsidTr="00370750">
        <w:trPr>
          <w:trHeight w:hRule="exact" w:val="247"/>
        </w:trPr>
        <w:tc>
          <w:tcPr>
            <w:tcW w:w="960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Da</w:t>
            </w:r>
            <w:r w:rsidRPr="00A02392">
              <w:rPr>
                <w:rFonts w:cs="Times New Roman"/>
                <w:sz w:val="18"/>
                <w:szCs w:val="18"/>
              </w:rPr>
              <w:t>y</w:t>
            </w:r>
            <w:r w:rsidRPr="00A02392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22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to</w:t>
            </w:r>
            <w:r w:rsidRPr="00A02392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25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2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6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624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25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1</w:t>
            </w:r>
            <w:r w:rsidRPr="00A02392">
              <w:rPr>
                <w:rFonts w:cs="Times New Roman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557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4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730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4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20,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30,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</w:p>
        </w:tc>
        <w:tc>
          <w:tcPr>
            <w:tcW w:w="655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3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0</w:t>
            </w:r>
            <w:r w:rsidRPr="00A02392">
              <w:rPr>
                <w:rFonts w:cs="Times New Roman"/>
                <w:sz w:val="18"/>
                <w:szCs w:val="18"/>
              </w:rPr>
              <w:t>0,</w:t>
            </w:r>
            <w:r w:rsidRPr="00A02392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0,</w:t>
            </w:r>
            <w:r w:rsidRPr="00A02392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o</w:t>
            </w:r>
            <w:r w:rsidRPr="00A02392">
              <w:rPr>
                <w:rFonts w:cs="Times New Roman"/>
                <w:sz w:val="18"/>
                <w:szCs w:val="18"/>
              </w:rPr>
              <w:t>r</w:t>
            </w:r>
          </w:p>
        </w:tc>
        <w:tc>
          <w:tcPr>
            <w:tcW w:w="948" w:type="pct"/>
            <w:tcBorders>
              <w:top w:val="single" w:sz="4" w:space="0" w:color="4C4C4C"/>
              <w:left w:val="nil"/>
              <w:bottom w:val="nil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7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</w:p>
        </w:tc>
      </w:tr>
      <w:tr w:rsidR="004F148F" w:rsidRPr="00A02392" w:rsidTr="00370750">
        <w:trPr>
          <w:trHeight w:hRule="exact" w:val="274"/>
        </w:trPr>
        <w:tc>
          <w:tcPr>
            <w:tcW w:w="960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8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40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61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2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48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225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</w:tr>
      <w:tr w:rsidR="004F148F" w:rsidRPr="00A02392" w:rsidTr="00370750">
        <w:trPr>
          <w:trHeight w:hRule="exact" w:val="928"/>
        </w:trPr>
        <w:tc>
          <w:tcPr>
            <w:tcW w:w="960" w:type="pct"/>
            <w:tcBorders>
              <w:top w:val="single" w:sz="4" w:space="0" w:color="4C4C4C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7" w:after="0" w:line="205" w:lineRule="auto"/>
              <w:ind w:left="201" w:right="183" w:firstLine="83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Day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29 o</w:t>
            </w:r>
            <w:r w:rsidRPr="00A02392">
              <w:rPr>
                <w:rFonts w:cs="Times New Roman"/>
                <w:sz w:val="18"/>
                <w:szCs w:val="18"/>
              </w:rPr>
              <w:t>nwa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r</w:t>
            </w:r>
            <w:r w:rsidRPr="00A02392">
              <w:rPr>
                <w:rFonts w:cs="Times New Roman"/>
                <w:sz w:val="18"/>
                <w:szCs w:val="18"/>
              </w:rPr>
              <w:t>d</w:t>
            </w:r>
            <w:r w:rsidRPr="00A02392">
              <w:rPr>
                <w:rFonts w:cs="Times New Roman"/>
                <w:spacing w:val="-1"/>
                <w:sz w:val="18"/>
                <w:szCs w:val="18"/>
              </w:rPr>
              <w:t>s</w:t>
            </w:r>
            <w:r w:rsidRPr="00A02392">
              <w:rPr>
                <w:rFonts w:cs="Times New Roman"/>
                <w:position w:val="8"/>
                <w:sz w:val="18"/>
                <w:szCs w:val="18"/>
              </w:rPr>
              <w:t>a</w:t>
            </w:r>
          </w:p>
        </w:tc>
        <w:tc>
          <w:tcPr>
            <w:tcW w:w="525" w:type="pct"/>
            <w:tcBorders>
              <w:top w:val="single" w:sz="4" w:space="0" w:color="4C4C4C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6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624" w:type="pct"/>
            <w:tcBorders>
              <w:top w:val="single" w:sz="4" w:space="0" w:color="4C4C4C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sz w:val="18"/>
                <w:szCs w:val="18"/>
              </w:rPr>
              <w:t>1</w:t>
            </w:r>
            <w:r w:rsidRPr="00A02392">
              <w:rPr>
                <w:rFonts w:cs="Times New Roman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557" w:type="pct"/>
            <w:tcBorders>
              <w:top w:val="single" w:sz="4" w:space="0" w:color="4C4C4C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20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4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</w:tc>
        <w:tc>
          <w:tcPr>
            <w:tcW w:w="730" w:type="pct"/>
            <w:tcBorders>
              <w:top w:val="single" w:sz="4" w:space="0" w:color="4C4C4C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237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20,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30,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or</w:t>
            </w: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52" w:right="383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40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m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g</w:t>
            </w:r>
          </w:p>
        </w:tc>
        <w:tc>
          <w:tcPr>
            <w:tcW w:w="655" w:type="pct"/>
            <w:tcBorders>
              <w:top w:val="single" w:sz="4" w:space="0" w:color="4C4C4C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96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0</w:t>
            </w:r>
            <w:r w:rsidRPr="00A02392">
              <w:rPr>
                <w:rFonts w:cs="Times New Roman"/>
                <w:sz w:val="18"/>
                <w:szCs w:val="18"/>
              </w:rPr>
              <w:t>0,</w:t>
            </w:r>
            <w:r w:rsidRPr="00A02392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0,</w:t>
            </w:r>
            <w:r w:rsidRPr="00A02392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o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r</w:t>
            </w: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26" w:right="290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2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00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m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g</w:t>
            </w:r>
          </w:p>
        </w:tc>
        <w:tc>
          <w:tcPr>
            <w:tcW w:w="948" w:type="pct"/>
            <w:tcBorders>
              <w:top w:val="single" w:sz="4" w:space="0" w:color="4C4C4C"/>
              <w:left w:val="nil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229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7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5</w:t>
            </w:r>
            <w:r w:rsidRPr="00A02392">
              <w:rPr>
                <w:rFonts w:cs="Times New Roman"/>
                <w:sz w:val="18"/>
                <w:szCs w:val="18"/>
              </w:rPr>
              <w:t>0,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or</w:t>
            </w: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13" w:right="377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225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w w:val="99"/>
                <w:sz w:val="18"/>
                <w:szCs w:val="18"/>
              </w:rPr>
              <w:t>m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g</w:t>
            </w:r>
          </w:p>
        </w:tc>
      </w:tr>
    </w:tbl>
    <w:p w:rsidR="004F148F" w:rsidRPr="00326BA6" w:rsidRDefault="004F148F" w:rsidP="004F148F">
      <w:pPr>
        <w:rPr>
          <w:sz w:val="18"/>
          <w:szCs w:val="18"/>
        </w:rPr>
      </w:pPr>
      <w:r w:rsidRPr="00326BA6">
        <w:rPr>
          <w:sz w:val="18"/>
          <w:szCs w:val="18"/>
          <w:vertAlign w:val="superscript"/>
        </w:rPr>
        <w:t xml:space="preserve">a </w:t>
      </w:r>
      <w:r w:rsidRPr="00326BA6">
        <w:rPr>
          <w:sz w:val="18"/>
          <w:szCs w:val="18"/>
        </w:rPr>
        <w:t>Fixed dose; during the first 4 weeks, the dose could be decreased to the minimum dose indicated in case of tolerability issues.</w:t>
      </w:r>
    </w:p>
    <w:p w:rsidR="004F148F" w:rsidRPr="00424932" w:rsidRDefault="004F148F" w:rsidP="004F148F"/>
    <w:p w:rsidR="004F148F" w:rsidRPr="00A918C9" w:rsidRDefault="004F148F" w:rsidP="004F148F">
      <w:r w:rsidRPr="00A918C9">
        <w:t>Table S2</w:t>
      </w:r>
      <w:r>
        <w:t>.</w:t>
      </w:r>
      <w:r w:rsidRPr="00A918C9">
        <w:t xml:space="preserve"> Dose-titration schedule for study medication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617"/>
      </w:tblGrid>
      <w:tr w:rsidR="004F148F" w:rsidRPr="00A02392" w:rsidTr="00370750">
        <w:trPr>
          <w:trHeight w:hRule="exact" w:val="1370"/>
        </w:trPr>
        <w:tc>
          <w:tcPr>
            <w:tcW w:w="628" w:type="pct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pacing w:val="-14"/>
                <w:sz w:val="18"/>
                <w:szCs w:val="18"/>
              </w:rPr>
              <w:t>T</w:t>
            </w:r>
            <w:r w:rsidRPr="00A02392">
              <w:rPr>
                <w:rFonts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eatment</w:t>
            </w: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pacing w:val="1"/>
                <w:sz w:val="18"/>
                <w:szCs w:val="18"/>
              </w:rPr>
              <w:t>G</w:t>
            </w:r>
            <w:r w:rsidRPr="00A02392">
              <w:rPr>
                <w:rFonts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oup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-1" w:right="-21"/>
              <w:jc w:val="center"/>
              <w:rPr>
                <w:rFonts w:cs="Times New Roman"/>
                <w:b/>
                <w:bCs/>
                <w:w w:val="99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z w:val="18"/>
                <w:szCs w:val="18"/>
              </w:rPr>
              <w:t>Day</w:t>
            </w:r>
            <w:r w:rsidRPr="00A02392">
              <w:rPr>
                <w:rFonts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1 to</w:t>
            </w:r>
            <w:r w:rsidRPr="00A02392">
              <w:rPr>
                <w:rFonts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pacing w:val="-10"/>
                <w:sz w:val="18"/>
                <w:szCs w:val="18"/>
              </w:rPr>
              <w:t>W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eek</w:t>
            </w:r>
            <w:r w:rsidRPr="00A02392">
              <w:rPr>
                <w:rFonts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w w:val="99"/>
                <w:sz w:val="18"/>
                <w:szCs w:val="18"/>
              </w:rPr>
              <w:t>8</w:t>
            </w: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-1" w:right="-21"/>
              <w:jc w:val="center"/>
              <w:rPr>
                <w:rFonts w:cs="Times New Roman"/>
                <w:b/>
                <w:bCs/>
                <w:w w:val="99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z w:val="18"/>
                <w:szCs w:val="18"/>
              </w:rPr>
              <w:t>Prospective treatment period</w:t>
            </w: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-1" w:right="-21"/>
              <w:jc w:val="center"/>
              <w:rPr>
                <w:sz w:val="18"/>
                <w:szCs w:val="18"/>
              </w:rPr>
            </w:pP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-1" w:right="-21"/>
              <w:jc w:val="center"/>
              <w:rPr>
                <w:rFonts w:cs="Times New Roman"/>
                <w:sz w:val="18"/>
                <w:szCs w:val="18"/>
              </w:rPr>
            </w:pP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-1" w:right="-21"/>
              <w:jc w:val="center"/>
              <w:rPr>
                <w:rFonts w:cs="Times New Roman"/>
                <w:sz w:val="18"/>
                <w:szCs w:val="18"/>
              </w:rPr>
            </w:pP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cs="Times New Roman"/>
                <w:sz w:val="18"/>
                <w:szCs w:val="18"/>
              </w:rPr>
            </w:pP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 w:right="295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z w:val="18"/>
                <w:szCs w:val="18"/>
              </w:rPr>
              <w:t>Period</w:t>
            </w:r>
            <w:r w:rsidRPr="00A02392">
              <w:rPr>
                <w:rFonts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w w:val="99"/>
                <w:sz w:val="18"/>
                <w:szCs w:val="18"/>
              </w:rPr>
              <w:t>A</w:t>
            </w:r>
          </w:p>
        </w:tc>
        <w:tc>
          <w:tcPr>
            <w:tcW w:w="3665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tabs>
                <w:tab w:val="left" w:pos="2020"/>
                <w:tab w:val="left" w:pos="3320"/>
                <w:tab w:val="left" w:pos="4920"/>
              </w:tabs>
              <w:autoSpaceDE w:val="0"/>
              <w:autoSpaceDN w:val="0"/>
              <w:adjustRightInd w:val="0"/>
              <w:spacing w:before="23" w:after="0" w:line="240" w:lineRule="auto"/>
              <w:ind w:left="450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pacing w:val="-10"/>
                <w:sz w:val="18"/>
                <w:szCs w:val="18"/>
              </w:rPr>
              <w:t>W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eek</w:t>
            </w:r>
            <w:r w:rsidRPr="00A02392">
              <w:rPr>
                <w:rFonts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ab/>
            </w:r>
            <w:r w:rsidRPr="00A02392">
              <w:rPr>
                <w:rFonts w:cs="Times New Roman"/>
                <w:b/>
                <w:bCs/>
                <w:spacing w:val="-10"/>
                <w:sz w:val="18"/>
                <w:szCs w:val="18"/>
              </w:rPr>
              <w:t>W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eek</w:t>
            </w:r>
            <w:r w:rsidRPr="00A02392">
              <w:rPr>
                <w:rFonts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ab/>
            </w:r>
            <w:r w:rsidRPr="00A02392">
              <w:rPr>
                <w:rFonts w:cs="Times New Roman"/>
                <w:b/>
                <w:bCs/>
                <w:spacing w:val="-11"/>
                <w:sz w:val="18"/>
                <w:szCs w:val="18"/>
              </w:rPr>
              <w:t>W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eek</w:t>
            </w:r>
            <w:r w:rsidRPr="00A02392">
              <w:rPr>
                <w:rFonts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02392">
              <w:rPr>
                <w:rFonts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to</w:t>
            </w:r>
            <w:r w:rsidRPr="00A02392">
              <w:rPr>
                <w:rFonts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7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ab/>
            </w:r>
            <w:r w:rsidRPr="00A02392">
              <w:rPr>
                <w:rFonts w:cs="Times New Roman"/>
                <w:b/>
                <w:bCs/>
                <w:spacing w:val="-10"/>
                <w:sz w:val="18"/>
                <w:szCs w:val="18"/>
              </w:rPr>
              <w:t>W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eek</w:t>
            </w:r>
            <w:r w:rsidRPr="00A02392">
              <w:rPr>
                <w:rFonts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7</w:t>
            </w:r>
            <w:r w:rsidRPr="00A02392">
              <w:rPr>
                <w:rFonts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to</w:t>
            </w:r>
            <w:r w:rsidRPr="00A02392">
              <w:rPr>
                <w:rFonts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cs="Times New Roman"/>
                <w:sz w:val="18"/>
                <w:szCs w:val="18"/>
              </w:rPr>
            </w:pPr>
          </w:p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3" w:right="2740"/>
              <w:jc w:val="center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b/>
                <w:bCs/>
                <w:spacing w:val="1"/>
                <w:sz w:val="18"/>
                <w:szCs w:val="18"/>
              </w:rPr>
              <w:t>Randomized treatment period</w:t>
            </w:r>
          </w:p>
        </w:tc>
      </w:tr>
      <w:tr w:rsidR="004F148F" w:rsidRPr="00A02392" w:rsidTr="00370750">
        <w:trPr>
          <w:trHeight w:hRule="exact" w:val="673"/>
        </w:trPr>
        <w:tc>
          <w:tcPr>
            <w:tcW w:w="628" w:type="pct"/>
            <w:tcBorders>
              <w:top w:val="single" w:sz="4" w:space="0" w:color="000000"/>
              <w:left w:val="nil"/>
              <w:bottom w:val="single" w:sz="4" w:space="0" w:color="4C4C4C"/>
              <w:right w:val="single" w:sz="4" w:space="0" w:color="000000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Brexpiprazole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single" w:sz="4" w:space="0" w:color="000000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placebo</w:t>
            </w:r>
          </w:p>
        </w:tc>
        <w:tc>
          <w:tcPr>
            <w:tcW w:w="3665" w:type="pct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nil"/>
            </w:tcBorders>
          </w:tcPr>
          <w:p w:rsidR="004F148F" w:rsidRPr="00A02392" w:rsidRDefault="004F148F" w:rsidP="00370750">
            <w:pPr>
              <w:widowControl w:val="0"/>
              <w:tabs>
                <w:tab w:val="left" w:pos="2140"/>
                <w:tab w:val="left" w:pos="3420"/>
                <w:tab w:val="left" w:pos="5020"/>
              </w:tabs>
              <w:autoSpaceDE w:val="0"/>
              <w:autoSpaceDN w:val="0"/>
              <w:adjustRightInd w:val="0"/>
              <w:spacing w:after="0" w:line="240" w:lineRule="auto"/>
              <w:ind w:left="57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w w:val="99"/>
                <w:sz w:val="18"/>
                <w:szCs w:val="18"/>
              </w:rPr>
              <w:t>1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  <w:r w:rsidRPr="00A02392">
              <w:rPr>
                <w:rFonts w:cs="Times New Roman"/>
                <w:sz w:val="18"/>
                <w:szCs w:val="18"/>
              </w:rPr>
              <w:tab/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2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  <w:r w:rsidRPr="00A02392">
              <w:rPr>
                <w:rFonts w:cs="Times New Roman"/>
                <w:sz w:val="18"/>
                <w:szCs w:val="18"/>
              </w:rPr>
              <w:tab/>
              <w:t>1,</w:t>
            </w:r>
            <w:r w:rsidRPr="00A02392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2, or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3</w:t>
            </w:r>
            <w:r w:rsidRPr="00A02392">
              <w:rPr>
                <w:rFonts w:cs="Times New Roman"/>
                <w:spacing w:val="-3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m</w:t>
            </w:r>
            <w:r w:rsidRPr="00A02392">
              <w:rPr>
                <w:rFonts w:cs="Times New Roman"/>
                <w:sz w:val="18"/>
                <w:szCs w:val="18"/>
              </w:rPr>
              <w:t>g</w:t>
            </w:r>
            <w:r w:rsidRPr="00A02392">
              <w:rPr>
                <w:rFonts w:cs="Times New Roman"/>
                <w:sz w:val="18"/>
                <w:szCs w:val="18"/>
              </w:rPr>
              <w:tab/>
              <w:t>1,</w:t>
            </w:r>
            <w:r w:rsidRPr="00A02392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2</w:t>
            </w:r>
            <w:r w:rsidRPr="00A02392">
              <w:rPr>
                <w:rFonts w:cs="Times New Roman"/>
                <w:sz w:val="18"/>
                <w:szCs w:val="18"/>
              </w:rPr>
              <w:t>,</w:t>
            </w:r>
            <w:r w:rsidRPr="00A02392">
              <w:rPr>
                <w:rFonts w:cs="Times New Roman"/>
                <w:spacing w:val="-1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or</w:t>
            </w:r>
            <w:r w:rsidRPr="00A02392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w w:val="99"/>
                <w:sz w:val="18"/>
                <w:szCs w:val="18"/>
              </w:rPr>
              <w:t>3</w:t>
            </w:r>
            <w:r w:rsidRPr="00A02392">
              <w:rPr>
                <w:rFonts w:cs="Times New Roman"/>
                <w:spacing w:val="-32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mg</w:t>
            </w:r>
          </w:p>
          <w:p w:rsidR="004F148F" w:rsidRPr="00A02392" w:rsidRDefault="004F148F" w:rsidP="00370750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0" w:after="0" w:line="240" w:lineRule="auto"/>
              <w:ind w:left="3341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(fle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x</w:t>
            </w:r>
            <w:r w:rsidRPr="00A02392">
              <w:rPr>
                <w:rFonts w:cs="Times New Roman"/>
                <w:sz w:val="18"/>
                <w:szCs w:val="18"/>
              </w:rPr>
              <w:t>ible</w:t>
            </w:r>
            <w:r w:rsidRPr="00A02392">
              <w:rPr>
                <w:rFonts w:cs="Times New Roman"/>
                <w:spacing w:val="-6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d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o</w:t>
            </w:r>
            <w:r w:rsidRPr="00A02392">
              <w:rPr>
                <w:rFonts w:cs="Times New Roman"/>
                <w:sz w:val="18"/>
                <w:szCs w:val="18"/>
              </w:rPr>
              <w:t>se)</w:t>
            </w:r>
            <w:r w:rsidRPr="00A02392">
              <w:rPr>
                <w:rFonts w:cs="Times New Roman"/>
                <w:sz w:val="18"/>
                <w:szCs w:val="18"/>
              </w:rPr>
              <w:tab/>
              <w:t>(f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i</w:t>
            </w:r>
            <w:r w:rsidRPr="00A02392">
              <w:rPr>
                <w:rFonts w:cs="Times New Roman"/>
                <w:sz w:val="18"/>
                <w:szCs w:val="18"/>
              </w:rPr>
              <w:t>xed</w:t>
            </w:r>
            <w:r w:rsidRPr="00A02392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Pr="00A02392">
              <w:rPr>
                <w:rFonts w:cs="Times New Roman"/>
                <w:sz w:val="18"/>
                <w:szCs w:val="18"/>
              </w:rPr>
              <w:t>d</w:t>
            </w:r>
            <w:r w:rsidRPr="00A02392">
              <w:rPr>
                <w:rFonts w:cs="Times New Roman"/>
                <w:spacing w:val="1"/>
                <w:sz w:val="18"/>
                <w:szCs w:val="18"/>
              </w:rPr>
              <w:t>o</w:t>
            </w:r>
            <w:r w:rsidRPr="00A02392">
              <w:rPr>
                <w:rFonts w:cs="Times New Roman"/>
                <w:sz w:val="18"/>
                <w:szCs w:val="18"/>
              </w:rPr>
              <w:t>se)</w:t>
            </w:r>
          </w:p>
        </w:tc>
      </w:tr>
      <w:tr w:rsidR="004F148F" w:rsidRPr="00A02392" w:rsidTr="00370750">
        <w:trPr>
          <w:trHeight w:hRule="exact" w:val="280"/>
        </w:trPr>
        <w:tc>
          <w:tcPr>
            <w:tcW w:w="628" w:type="pct"/>
            <w:tcBorders>
              <w:top w:val="single" w:sz="4" w:space="0" w:color="4C4C4C"/>
              <w:left w:val="nil"/>
              <w:bottom w:val="single" w:sz="4" w:space="0" w:color="000000"/>
              <w:right w:val="single" w:sz="4" w:space="0" w:color="000000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Placebo</w:t>
            </w:r>
          </w:p>
        </w:tc>
        <w:tc>
          <w:tcPr>
            <w:tcW w:w="707" w:type="pct"/>
            <w:tcBorders>
              <w:top w:val="single" w:sz="4" w:space="0" w:color="4C4C4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8F" w:rsidRPr="00A02392" w:rsidRDefault="004F148F" w:rsidP="00370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placebo</w:t>
            </w:r>
          </w:p>
        </w:tc>
        <w:tc>
          <w:tcPr>
            <w:tcW w:w="3665" w:type="pct"/>
            <w:tcBorders>
              <w:top w:val="single" w:sz="4" w:space="0" w:color="4C4C4C"/>
              <w:left w:val="single" w:sz="4" w:space="0" w:color="000000"/>
              <w:bottom w:val="single" w:sz="4" w:space="0" w:color="000000"/>
              <w:right w:val="nil"/>
            </w:tcBorders>
          </w:tcPr>
          <w:p w:rsidR="004F148F" w:rsidRPr="00A02392" w:rsidRDefault="004F148F" w:rsidP="00370750">
            <w:pPr>
              <w:widowControl w:val="0"/>
              <w:tabs>
                <w:tab w:val="left" w:pos="2020"/>
                <w:tab w:val="left" w:pos="3600"/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cs="Times New Roman"/>
                <w:sz w:val="18"/>
                <w:szCs w:val="18"/>
              </w:rPr>
            </w:pPr>
            <w:r w:rsidRPr="00A02392">
              <w:rPr>
                <w:rFonts w:cs="Times New Roman"/>
                <w:sz w:val="18"/>
                <w:szCs w:val="18"/>
              </w:rPr>
              <w:t>placebo</w:t>
            </w:r>
            <w:r w:rsidRPr="00A02392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A02392">
              <w:rPr>
                <w:rFonts w:cs="Times New Roman"/>
                <w:sz w:val="18"/>
                <w:szCs w:val="18"/>
              </w:rPr>
              <w:t>placebo</w:t>
            </w:r>
            <w:proofErr w:type="spellEnd"/>
            <w:r w:rsidRPr="00A02392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A02392">
              <w:rPr>
                <w:rFonts w:cs="Times New Roman"/>
                <w:spacing w:val="1"/>
                <w:sz w:val="18"/>
                <w:szCs w:val="18"/>
              </w:rPr>
              <w:t>p</w:t>
            </w:r>
            <w:r w:rsidRPr="00A02392">
              <w:rPr>
                <w:rFonts w:cs="Times New Roman"/>
                <w:sz w:val="18"/>
                <w:szCs w:val="18"/>
              </w:rPr>
              <w:t>lacebo</w:t>
            </w:r>
            <w:proofErr w:type="spellEnd"/>
            <w:r w:rsidRPr="00A02392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A02392">
              <w:rPr>
                <w:rFonts w:cs="Times New Roman"/>
                <w:sz w:val="18"/>
                <w:szCs w:val="18"/>
              </w:rPr>
              <w:t>placebo</w:t>
            </w:r>
            <w:proofErr w:type="spellEnd"/>
          </w:p>
        </w:tc>
      </w:tr>
    </w:tbl>
    <w:p w:rsidR="004F148F" w:rsidRPr="00326BA6" w:rsidRDefault="004F148F" w:rsidP="004F148F">
      <w:pPr>
        <w:rPr>
          <w:sz w:val="18"/>
          <w:szCs w:val="18"/>
        </w:rPr>
      </w:pPr>
      <w:r w:rsidRPr="00326BA6">
        <w:rPr>
          <w:sz w:val="18"/>
          <w:szCs w:val="18"/>
        </w:rPr>
        <w:t>The investigator could indicate a need for dose adjustments (increase or decrease) for brexpiprazole/placebo at scheduled or unscheduled visits between Week 2 in the prospective treatment period and Week 7 in the randomized treatment period to keep the masking. Requested dose adjustments were only implemented via the IVRS/IWRS in the brexpiprazole group after the patient had reached the 2mg/day dose.</w:t>
      </w:r>
    </w:p>
    <w:p w:rsidR="004F148F" w:rsidRPr="00065409" w:rsidRDefault="004F148F" w:rsidP="004F148F"/>
    <w:p w:rsidR="004F148F" w:rsidRPr="00603CEC" w:rsidRDefault="004F148F" w:rsidP="004F148F"/>
    <w:p w:rsidR="0090192A" w:rsidRDefault="0090192A"/>
    <w:sectPr w:rsidR="0090192A" w:rsidSect="00A33D3B">
      <w:foot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8F" w:rsidRDefault="004F148F" w:rsidP="004F148F">
      <w:pPr>
        <w:spacing w:after="0" w:line="240" w:lineRule="auto"/>
      </w:pPr>
      <w:r>
        <w:separator/>
      </w:r>
    </w:p>
  </w:endnote>
  <w:endnote w:type="continuationSeparator" w:id="0">
    <w:p w:rsidR="004F148F" w:rsidRDefault="004F148F" w:rsidP="004F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165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225" w:rsidRDefault="004F14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225" w:rsidRDefault="004F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8F" w:rsidRDefault="004F148F" w:rsidP="004F148F">
      <w:pPr>
        <w:spacing w:after="0" w:line="240" w:lineRule="auto"/>
      </w:pPr>
      <w:r>
        <w:separator/>
      </w:r>
    </w:p>
  </w:footnote>
  <w:footnote w:type="continuationSeparator" w:id="0">
    <w:p w:rsidR="004F148F" w:rsidRDefault="004F148F" w:rsidP="004F1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8F"/>
    <w:rsid w:val="004F148F"/>
    <w:rsid w:val="0090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A44"/>
  <w15:chartTrackingRefBased/>
  <w15:docId w15:val="{2E45C633-9104-472B-8229-FA767CCD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48F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8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8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Hellsten</dc:creator>
  <cp:keywords/>
  <dc:description/>
  <cp:lastModifiedBy>Johan Hellsten</cp:lastModifiedBy>
  <cp:revision>1</cp:revision>
  <dcterms:created xsi:type="dcterms:W3CDTF">2018-04-18T11:19:00Z</dcterms:created>
  <dcterms:modified xsi:type="dcterms:W3CDTF">2018-04-18T11:20:00Z</dcterms:modified>
</cp:coreProperties>
</file>