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263" w:rsidRPr="0033612B" w:rsidRDefault="002E3263" w:rsidP="002E3263">
      <w:pPr>
        <w:outlineLvl w:val="0"/>
        <w:rPr>
          <w:b/>
          <w:sz w:val="32"/>
          <w:szCs w:val="32"/>
          <w:lang w:val="en-US"/>
        </w:rPr>
      </w:pPr>
      <w:r w:rsidRPr="0033612B">
        <w:rPr>
          <w:b/>
          <w:sz w:val="32"/>
          <w:szCs w:val="32"/>
          <w:lang w:val="en-US"/>
        </w:rPr>
        <w:t>Supplementary material</w:t>
      </w:r>
    </w:p>
    <w:p w:rsidR="002E3263" w:rsidRDefault="002E3263" w:rsidP="002E3263">
      <w:pPr>
        <w:outlineLvl w:val="0"/>
        <w:rPr>
          <w:b/>
          <w:lang w:val="en-US"/>
        </w:rPr>
      </w:pPr>
    </w:p>
    <w:p w:rsidR="002E3263" w:rsidRDefault="002E3263" w:rsidP="002E3263">
      <w:pPr>
        <w:tabs>
          <w:tab w:val="left" w:pos="7713"/>
        </w:tabs>
        <w:rPr>
          <w:b/>
          <w:lang w:val="en-US"/>
        </w:rPr>
      </w:pPr>
    </w:p>
    <w:p w:rsidR="002E3263" w:rsidRDefault="002E3263" w:rsidP="002E3263">
      <w:pPr>
        <w:tabs>
          <w:tab w:val="left" w:pos="7713"/>
        </w:tabs>
        <w:rPr>
          <w:b/>
          <w:lang w:val="en-US"/>
        </w:rPr>
      </w:pPr>
      <w:r>
        <w:rPr>
          <w:b/>
          <w:lang w:val="en-US"/>
        </w:rPr>
        <w:t xml:space="preserve">Supplementary Figures 1 a-b: </w:t>
      </w:r>
      <w:r>
        <w:rPr>
          <w:b/>
          <w:lang w:val="en-US"/>
        </w:rPr>
        <w:t>Associations</w:t>
      </w:r>
      <w:r>
        <w:rPr>
          <w:b/>
          <w:lang w:val="en-US"/>
        </w:rPr>
        <w:t xml:space="preserve"> between s-alpha-tocopherol and PUFA in acute and stable phases</w:t>
      </w:r>
    </w:p>
    <w:p w:rsidR="002E3263" w:rsidRDefault="002E3263" w:rsidP="002E3263">
      <w:pPr>
        <w:tabs>
          <w:tab w:val="left" w:pos="7713"/>
        </w:tabs>
        <w:rPr>
          <w:b/>
          <w:lang w:val="en-US"/>
        </w:rPr>
      </w:pPr>
      <w:r>
        <w:rPr>
          <w:b/>
          <w:lang w:val="en-US"/>
        </w:rPr>
        <w:tab/>
      </w:r>
    </w:p>
    <w:p w:rsidR="002E3263" w:rsidRDefault="002E3263" w:rsidP="002E3263">
      <w:pPr>
        <w:rPr>
          <w:lang w:val="en-US"/>
        </w:rPr>
      </w:pPr>
    </w:p>
    <w:p w:rsidR="002E3263" w:rsidRPr="00655439" w:rsidRDefault="002E3263" w:rsidP="002E3263">
      <w:pPr>
        <w:outlineLvl w:val="0"/>
        <w:rPr>
          <w:b/>
          <w:lang w:val="en-US"/>
        </w:rPr>
      </w:pPr>
      <w:r w:rsidRPr="00655439">
        <w:rPr>
          <w:b/>
          <w:lang w:val="en-US"/>
        </w:rPr>
        <w:t>Suppl. Fig. 1a: Acute phase</w:t>
      </w:r>
    </w:p>
    <w:p w:rsidR="002E3263" w:rsidRDefault="002E3263" w:rsidP="002E3263">
      <w:pPr>
        <w:outlineLvl w:val="0"/>
        <w:rPr>
          <w:lang w:val="en-US"/>
        </w:rPr>
      </w:pPr>
    </w:p>
    <w:p w:rsidR="002E3263" w:rsidRDefault="002E3263" w:rsidP="002E3263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13B91EAA" wp14:editId="3FDA0A78">
            <wp:extent cx="5762625" cy="4610100"/>
            <wp:effectExtent l="0" t="0" r="9525" b="0"/>
            <wp:docPr id="3" name="Bilde 3" descr="Fig 1 a_SIRS 20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7" descr="Fig 1 a_SIRS 201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263" w:rsidRDefault="002E3263" w:rsidP="002E3263">
      <w:pPr>
        <w:rPr>
          <w:lang w:val="en-US"/>
        </w:rPr>
      </w:pPr>
    </w:p>
    <w:p w:rsidR="002E3263" w:rsidRDefault="002E3263" w:rsidP="002E3263">
      <w:pPr>
        <w:rPr>
          <w:lang w:val="en-US"/>
        </w:rPr>
      </w:pPr>
      <w:r>
        <w:rPr>
          <w:lang w:val="en-US"/>
        </w:rPr>
        <w:t>T1: acute phase.</w:t>
      </w:r>
    </w:p>
    <w:p w:rsidR="002E3263" w:rsidRDefault="002E3263" w:rsidP="002E3263">
      <w:pPr>
        <w:rPr>
          <w:lang w:val="en-US"/>
        </w:rPr>
      </w:pPr>
      <w:r>
        <w:rPr>
          <w:lang w:val="en-US"/>
        </w:rPr>
        <w:t>PUFA: omega-3 + omega-6 polyunsaturated fatty acids in red blood cells (RBC)</w:t>
      </w:r>
    </w:p>
    <w:p w:rsidR="002E3263" w:rsidRDefault="002E3263" w:rsidP="002E3263">
      <w:pPr>
        <w:rPr>
          <w:lang w:val="en-US"/>
        </w:rPr>
      </w:pPr>
      <w:r>
        <w:rPr>
          <w:lang w:val="en-US"/>
        </w:rPr>
        <w:t>ALPHA-TOC/(</w:t>
      </w:r>
      <w:proofErr w:type="spellStart"/>
      <w:proofErr w:type="gramStart"/>
      <w:r>
        <w:rPr>
          <w:lang w:val="en-US"/>
        </w:rPr>
        <w:t>TRIG.+</w:t>
      </w:r>
      <w:proofErr w:type="gramEnd"/>
      <w:r>
        <w:rPr>
          <w:lang w:val="en-US"/>
        </w:rPr>
        <w:t>CHOL</w:t>
      </w:r>
      <w:proofErr w:type="spellEnd"/>
      <w:r>
        <w:rPr>
          <w:lang w:val="en-US"/>
        </w:rPr>
        <w:t>.): alpha-tocopherol / (s-triglycerides + s-cholesterol)</w:t>
      </w:r>
    </w:p>
    <w:p w:rsidR="002E3263" w:rsidRDefault="002E3263" w:rsidP="002E3263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Each circle represents one patient. The horizontal line separates Low PUFA patients (≤183 µg/g RBC, acute phase, red circles) from High PUFA patients (&gt;183 µg/g RBC, acute phase, green circles) (1). The vertical lines </w:t>
      </w:r>
      <w:proofErr w:type="spellStart"/>
      <w:r>
        <w:rPr>
          <w:lang w:val="en-US"/>
        </w:rPr>
        <w:t>deliminate</w:t>
      </w:r>
      <w:proofErr w:type="spellEnd"/>
      <w:r>
        <w:rPr>
          <w:lang w:val="en-US"/>
        </w:rPr>
        <w:t xml:space="preserve"> the reference interval for alpha-tocopherol/(</w:t>
      </w:r>
      <w:proofErr w:type="spellStart"/>
      <w:r>
        <w:rPr>
          <w:lang w:val="en-US"/>
        </w:rPr>
        <w:t>triglycerides+cholesterol</w:t>
      </w:r>
      <w:proofErr w:type="spellEnd"/>
      <w:r>
        <w:rPr>
          <w:lang w:val="en-US"/>
        </w:rPr>
        <w:t>) in Norwegian healthy controls (3.5-6.4 µ</w:t>
      </w:r>
      <w:proofErr w:type="spellStart"/>
      <w:r>
        <w:rPr>
          <w:lang w:val="en-US"/>
        </w:rPr>
        <w:t>mol</w:t>
      </w:r>
      <w:proofErr w:type="spellEnd"/>
      <w:r>
        <w:rPr>
          <w:lang w:val="en-US"/>
        </w:rPr>
        <w:t xml:space="preserve">/mmol) (2). </w:t>
      </w:r>
      <w:bookmarkStart w:id="0" w:name="_GoBack"/>
      <w:bookmarkEnd w:id="0"/>
    </w:p>
    <w:p w:rsidR="002E3263" w:rsidRDefault="002E3263" w:rsidP="002E3263">
      <w:pPr>
        <w:rPr>
          <w:lang w:val="en-US"/>
        </w:rPr>
      </w:pPr>
    </w:p>
    <w:p w:rsidR="002E3263" w:rsidRDefault="002E3263" w:rsidP="002E3263">
      <w:pPr>
        <w:rPr>
          <w:lang w:val="en-US"/>
        </w:rPr>
      </w:pPr>
    </w:p>
    <w:p w:rsidR="002E3263" w:rsidRDefault="002E3263" w:rsidP="002E3263">
      <w:pPr>
        <w:rPr>
          <w:lang w:val="en-US"/>
        </w:rPr>
      </w:pPr>
      <w:r>
        <w:rPr>
          <w:lang w:val="en-US"/>
        </w:rPr>
        <w:br w:type="page"/>
      </w:r>
    </w:p>
    <w:p w:rsidR="002E3263" w:rsidRPr="00655439" w:rsidRDefault="002E3263" w:rsidP="002E3263">
      <w:pPr>
        <w:outlineLvl w:val="0"/>
        <w:rPr>
          <w:b/>
          <w:lang w:val="en-US"/>
        </w:rPr>
      </w:pPr>
      <w:r w:rsidRPr="00655439">
        <w:rPr>
          <w:b/>
          <w:lang w:val="en-US"/>
        </w:rPr>
        <w:lastRenderedPageBreak/>
        <w:t>Suppl. Fig. 1b: Stable phase</w:t>
      </w:r>
    </w:p>
    <w:p w:rsidR="002E3263" w:rsidRDefault="002E3263" w:rsidP="002E3263">
      <w:pPr>
        <w:outlineLvl w:val="0"/>
        <w:rPr>
          <w:lang w:val="en-US"/>
        </w:rPr>
      </w:pPr>
    </w:p>
    <w:p w:rsidR="002E3263" w:rsidRDefault="002E3263" w:rsidP="002E3263">
      <w:pPr>
        <w:outlineLvl w:val="0"/>
      </w:pPr>
      <w:r>
        <w:rPr>
          <w:noProof/>
          <w:lang w:val="en-US" w:eastAsia="en-US"/>
        </w:rPr>
        <w:drawing>
          <wp:inline distT="0" distB="0" distL="0" distR="0" wp14:anchorId="2AD0659A" wp14:editId="17D68DC7">
            <wp:extent cx="5762625" cy="4610100"/>
            <wp:effectExtent l="0" t="0" r="9525" b="0"/>
            <wp:docPr id="2" name="Bilde 2" descr="Fig 1 b_SIRS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Fig 1 b_SIRS 20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263" w:rsidRDefault="002E3263" w:rsidP="002E3263">
      <w:pPr>
        <w:rPr>
          <w:lang w:val="en-US"/>
        </w:rPr>
      </w:pPr>
    </w:p>
    <w:p w:rsidR="002E3263" w:rsidRDefault="002E3263" w:rsidP="002E3263">
      <w:pPr>
        <w:outlineLvl w:val="0"/>
        <w:rPr>
          <w:lang w:val="en-US"/>
        </w:rPr>
      </w:pPr>
      <w:r>
        <w:rPr>
          <w:lang w:val="en-US"/>
        </w:rPr>
        <w:t>T2: stable phase. PUFA: omega-3 + omega-6 polyunsaturated fatty acids in red blood cells (RBC</w:t>
      </w:r>
      <w:proofErr w:type="gramStart"/>
      <w:r>
        <w:rPr>
          <w:lang w:val="en-US"/>
        </w:rPr>
        <w:t>) .ALPHA</w:t>
      </w:r>
      <w:proofErr w:type="gramEnd"/>
      <w:r>
        <w:rPr>
          <w:lang w:val="en-US"/>
        </w:rPr>
        <w:t>-TOC/(</w:t>
      </w:r>
      <w:proofErr w:type="spellStart"/>
      <w:r>
        <w:rPr>
          <w:lang w:val="en-US"/>
        </w:rPr>
        <w:t>TRIG.+CHOL</w:t>
      </w:r>
      <w:proofErr w:type="spellEnd"/>
      <w:r>
        <w:rPr>
          <w:lang w:val="en-US"/>
        </w:rPr>
        <w:t>.): alpha-tocopherol / (s-triglycerides + s-cholesterol)</w:t>
      </w:r>
    </w:p>
    <w:p w:rsidR="002E3263" w:rsidRPr="00A5129D" w:rsidRDefault="002E3263" w:rsidP="002E3263">
      <w:pPr>
        <w:rPr>
          <w:lang w:val="en-US"/>
        </w:rPr>
      </w:pPr>
      <w:r>
        <w:rPr>
          <w:lang w:val="en-US"/>
        </w:rPr>
        <w:t xml:space="preserve">Lines and circles are defined as for Suppl. </w:t>
      </w:r>
      <w:r w:rsidRPr="00A5129D">
        <w:rPr>
          <w:lang w:val="en-US"/>
        </w:rPr>
        <w:t>Fig 1a.</w:t>
      </w:r>
    </w:p>
    <w:p w:rsidR="002E3263" w:rsidRPr="00A5129D" w:rsidRDefault="002E3263" w:rsidP="002E3263">
      <w:pPr>
        <w:rPr>
          <w:lang w:val="en-US"/>
        </w:rPr>
      </w:pPr>
    </w:p>
    <w:p w:rsidR="002E3263" w:rsidRPr="00A5129D" w:rsidRDefault="002E3263" w:rsidP="002E3263">
      <w:pPr>
        <w:rPr>
          <w:lang w:val="en-US"/>
        </w:rPr>
      </w:pPr>
    </w:p>
    <w:p w:rsidR="002E3263" w:rsidRPr="00A5129D" w:rsidRDefault="002E3263" w:rsidP="002E3263">
      <w:pPr>
        <w:rPr>
          <w:lang w:val="en-US"/>
        </w:rPr>
      </w:pPr>
    </w:p>
    <w:p w:rsidR="002E3263" w:rsidRPr="00A5129D" w:rsidRDefault="002E3263" w:rsidP="002E3263">
      <w:pPr>
        <w:outlineLvl w:val="0"/>
        <w:rPr>
          <w:b/>
          <w:lang w:val="en-US"/>
        </w:rPr>
      </w:pPr>
      <w:r w:rsidRPr="00A5129D">
        <w:rPr>
          <w:b/>
          <w:lang w:val="en-US"/>
        </w:rPr>
        <w:t>References (supplement only)</w:t>
      </w:r>
    </w:p>
    <w:p w:rsidR="002E3263" w:rsidRPr="00A5129D" w:rsidRDefault="002E3263" w:rsidP="002E3263">
      <w:pPr>
        <w:rPr>
          <w:b/>
          <w:lang w:val="en-US"/>
        </w:rPr>
      </w:pPr>
    </w:p>
    <w:p w:rsidR="002E3263" w:rsidRPr="00273AA1" w:rsidRDefault="002E3263" w:rsidP="002E3263">
      <w:pPr>
        <w:rPr>
          <w:lang w:val="en-US"/>
        </w:rPr>
      </w:pPr>
      <w:r w:rsidRPr="002E60CD">
        <w:rPr>
          <w:noProof/>
          <w:lang w:val="en-US"/>
        </w:rPr>
        <w:t xml:space="preserve">1.Bentsen H, Solberg DK, Refsum H, Gran JM, Bohmer T, Torjesen PA, et al. </w:t>
      </w:r>
      <w:r w:rsidRPr="00273AA1">
        <w:rPr>
          <w:noProof/>
          <w:lang w:val="en-US"/>
        </w:rPr>
        <w:t>Bimodal distribution of polyunsaturated fatty acids in schizophrenia suggests two endophenotypes of the disorder. Biol Psychiatry. 2011;70(1):97-105</w:t>
      </w:r>
      <w:r w:rsidRPr="00273AA1" w:rsidDel="00EF00DD">
        <w:rPr>
          <w:lang w:val="en-US"/>
        </w:rPr>
        <w:t xml:space="preserve"> </w:t>
      </w:r>
    </w:p>
    <w:p w:rsidR="002E3263" w:rsidRPr="00273AA1" w:rsidRDefault="002E3263" w:rsidP="002E3263">
      <w:pPr>
        <w:autoSpaceDE w:val="0"/>
        <w:autoSpaceDN w:val="0"/>
        <w:adjustRightInd w:val="0"/>
        <w:rPr>
          <w:b/>
          <w:lang w:val="en-US"/>
        </w:rPr>
      </w:pPr>
      <w:r>
        <w:rPr>
          <w:lang w:val="en-US"/>
        </w:rPr>
        <w:t xml:space="preserve">2. </w:t>
      </w:r>
      <w:proofErr w:type="spellStart"/>
      <w:r w:rsidRPr="00A309FA">
        <w:rPr>
          <w:lang w:val="en-US"/>
        </w:rPr>
        <w:t>Aasheim</w:t>
      </w:r>
      <w:proofErr w:type="spellEnd"/>
      <w:r w:rsidRPr="00A309FA">
        <w:rPr>
          <w:lang w:val="en-US"/>
        </w:rPr>
        <w:t xml:space="preserve"> ET, </w:t>
      </w:r>
      <w:proofErr w:type="spellStart"/>
      <w:r w:rsidRPr="00A309FA">
        <w:rPr>
          <w:lang w:val="en-US"/>
        </w:rPr>
        <w:t>Hofso</w:t>
      </w:r>
      <w:proofErr w:type="spellEnd"/>
      <w:r w:rsidRPr="00A309FA">
        <w:rPr>
          <w:lang w:val="en-US"/>
        </w:rPr>
        <w:t xml:space="preserve"> D, </w:t>
      </w:r>
      <w:proofErr w:type="spellStart"/>
      <w:r w:rsidRPr="00A309FA">
        <w:rPr>
          <w:lang w:val="en-US"/>
        </w:rPr>
        <w:t>Hjelmesaeth</w:t>
      </w:r>
      <w:proofErr w:type="spellEnd"/>
      <w:r w:rsidRPr="00A309FA">
        <w:rPr>
          <w:lang w:val="en-US"/>
        </w:rPr>
        <w:t xml:space="preserve"> J, </w:t>
      </w:r>
      <w:proofErr w:type="spellStart"/>
      <w:r w:rsidRPr="00A309FA">
        <w:rPr>
          <w:lang w:val="en-US"/>
        </w:rPr>
        <w:t>Birkeland</w:t>
      </w:r>
      <w:proofErr w:type="spellEnd"/>
      <w:r w:rsidRPr="00A309FA">
        <w:rPr>
          <w:lang w:val="en-US"/>
        </w:rPr>
        <w:t xml:space="preserve"> KI, </w:t>
      </w:r>
      <w:proofErr w:type="spellStart"/>
      <w:r w:rsidRPr="00A309FA">
        <w:rPr>
          <w:lang w:val="en-US"/>
        </w:rPr>
        <w:t>Bohmer</w:t>
      </w:r>
      <w:proofErr w:type="spellEnd"/>
      <w:r w:rsidRPr="00A309FA">
        <w:rPr>
          <w:lang w:val="en-US"/>
        </w:rPr>
        <w:t xml:space="preserve"> T (2008): Vitamin status in</w:t>
      </w:r>
      <w:r w:rsidRPr="00273AA1">
        <w:rPr>
          <w:lang w:val="en-US"/>
        </w:rPr>
        <w:t xml:space="preserve"> morbidly obese patients: A cross-sectional study. </w:t>
      </w:r>
      <w:r w:rsidRPr="00273AA1">
        <w:rPr>
          <w:iCs/>
          <w:lang w:val="en-US"/>
        </w:rPr>
        <w:t xml:space="preserve">Am J </w:t>
      </w:r>
      <w:proofErr w:type="spellStart"/>
      <w:r w:rsidRPr="00273AA1">
        <w:rPr>
          <w:iCs/>
          <w:lang w:val="en-US"/>
        </w:rPr>
        <w:t>Clin</w:t>
      </w:r>
      <w:proofErr w:type="spellEnd"/>
      <w:r w:rsidRPr="00273AA1">
        <w:rPr>
          <w:iCs/>
          <w:lang w:val="en-US"/>
        </w:rPr>
        <w:t xml:space="preserve"> </w:t>
      </w:r>
      <w:proofErr w:type="spellStart"/>
      <w:r w:rsidRPr="00273AA1">
        <w:rPr>
          <w:iCs/>
          <w:lang w:val="en-US"/>
        </w:rPr>
        <w:t>Nutr</w:t>
      </w:r>
      <w:proofErr w:type="spellEnd"/>
      <w:r w:rsidRPr="00273AA1">
        <w:rPr>
          <w:iCs/>
          <w:lang w:val="en-US"/>
        </w:rPr>
        <w:t xml:space="preserve"> </w:t>
      </w:r>
      <w:r w:rsidRPr="00273AA1">
        <w:rPr>
          <w:lang w:val="en-US"/>
        </w:rPr>
        <w:t xml:space="preserve">87:362–369. </w:t>
      </w:r>
    </w:p>
    <w:p w:rsidR="002E3263" w:rsidRPr="00320607" w:rsidRDefault="002E3263" w:rsidP="002E3263">
      <w:pPr>
        <w:rPr>
          <w:lang w:val="en-US"/>
        </w:rPr>
      </w:pPr>
    </w:p>
    <w:p w:rsidR="00D62FA7" w:rsidRDefault="002E3263"/>
    <w:sectPr w:rsidR="00D62FA7" w:rsidSect="002E326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ED1" w:rsidRDefault="002E3263" w:rsidP="00D7034A">
    <w:pPr>
      <w:pStyle w:val="Bunnteks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63"/>
    <w:rsid w:val="000174F5"/>
    <w:rsid w:val="0002528A"/>
    <w:rsid w:val="000E44B2"/>
    <w:rsid w:val="001D3F4F"/>
    <w:rsid w:val="002E3263"/>
    <w:rsid w:val="003C24B4"/>
    <w:rsid w:val="004A3D66"/>
    <w:rsid w:val="00544A4C"/>
    <w:rsid w:val="0066155B"/>
    <w:rsid w:val="007278D9"/>
    <w:rsid w:val="0073658C"/>
    <w:rsid w:val="007B1AED"/>
    <w:rsid w:val="007B1C47"/>
    <w:rsid w:val="007C339F"/>
    <w:rsid w:val="00832C02"/>
    <w:rsid w:val="0083679A"/>
    <w:rsid w:val="00865AD8"/>
    <w:rsid w:val="008D4BAF"/>
    <w:rsid w:val="00980A3F"/>
    <w:rsid w:val="009E14E8"/>
    <w:rsid w:val="00BA692D"/>
    <w:rsid w:val="00BE2711"/>
    <w:rsid w:val="00C8548A"/>
    <w:rsid w:val="00D421A0"/>
    <w:rsid w:val="00D46DC2"/>
    <w:rsid w:val="00E03C40"/>
    <w:rsid w:val="00E522A1"/>
    <w:rsid w:val="00E6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D568B7D-92E8-3B42-BCB0-E6F144FC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263"/>
    <w:rPr>
      <w:rFonts w:ascii="Times New Roman" w:eastAsia="Times New Roman" w:hAnsi="Times New Roman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2E32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E3263"/>
    <w:rPr>
      <w:rFonts w:ascii="Times New Roman" w:eastAsia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2018-11-14T19:32:00Z</dcterms:created>
  <dcterms:modified xsi:type="dcterms:W3CDTF">2018-11-14T19:33:00Z</dcterms:modified>
</cp:coreProperties>
</file>