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F4" w:rsidRPr="007730F4" w:rsidRDefault="007730F4" w:rsidP="007730F4">
      <w:pPr>
        <w:rPr>
          <w:rFonts w:ascii="Times New Roman" w:hAnsi="Times New Roman" w:cs="Times New Roman"/>
        </w:rPr>
      </w:pPr>
      <w:r w:rsidRPr="007730F4">
        <w:rPr>
          <w:rFonts w:ascii="Times New Roman" w:hAnsi="Times New Roman" w:cs="Times New Roman"/>
          <w:b/>
        </w:rPr>
        <w:t>Table S</w:t>
      </w:r>
      <w:r w:rsidR="00954182">
        <w:rPr>
          <w:rFonts w:ascii="Times New Roman" w:hAnsi="Times New Roman" w:cs="Times New Roman"/>
          <w:b/>
        </w:rPr>
        <w:t>1</w:t>
      </w:r>
      <w:r w:rsidRPr="007730F4">
        <w:rPr>
          <w:rFonts w:ascii="Times New Roman" w:hAnsi="Times New Roman" w:cs="Times New Roman"/>
          <w:b/>
        </w:rPr>
        <w:t>.</w:t>
      </w:r>
      <w:r w:rsidRPr="007730F4">
        <w:rPr>
          <w:rFonts w:ascii="Times New Roman" w:hAnsi="Times New Roman" w:cs="Times New Roman"/>
        </w:rPr>
        <w:t xml:space="preserve"> Results of the logistic regression models to assess the impact of 1) time spent in lockdown, 2) living alone and 3) frequency of socialising on patients’ symptoms</w:t>
      </w:r>
      <w:r w:rsidR="00135EB9">
        <w:rPr>
          <w:rFonts w:ascii="Times New Roman" w:hAnsi="Times New Roman" w:cs="Times New Roman"/>
        </w:rPr>
        <w:t xml:space="preserve"> (odds ratios and 95% CI)</w:t>
      </w:r>
      <w:r w:rsidRPr="007730F4"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001"/>
        <w:gridCol w:w="1847"/>
        <w:gridCol w:w="2006"/>
        <w:gridCol w:w="1847"/>
      </w:tblGrid>
      <w:tr w:rsidR="007730F4" w:rsidRPr="007730F4" w:rsidTr="00185AA5"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sz w:val="20"/>
              </w:rPr>
              <w:t>Predictor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sz w:val="20"/>
              </w:rPr>
              <w:t>Behaviour change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sz w:val="20"/>
              </w:rPr>
              <w:t>New behaviours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sz w:val="20"/>
              </w:rPr>
              <w:t>Movement change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sz w:val="20"/>
              </w:rPr>
              <w:t>Cognition change</w:t>
            </w:r>
          </w:p>
        </w:tc>
      </w:tr>
      <w:tr w:rsidR="007730F4" w:rsidRPr="007730F4" w:rsidTr="00185AA5">
        <w:tc>
          <w:tcPr>
            <w:tcW w:w="1093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i/>
                <w:sz w:val="20"/>
              </w:rPr>
              <w:t>Model 1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Time in lockdown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1.01 (1.00-1.02)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1.01 (0.99-1.02)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(0.99-1.01)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(0.99-1.02)</w:t>
            </w: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Age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0.98 (0.91-1.06)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0.96 (0.88-1.03)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1.10 (1.00-1.22)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1.08 (0.99-1.19)</w:t>
            </w: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Education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0.97 (0.78-1.21)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0.89 (0.67-1.17)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0.88 (0.67-1.16)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0.95 (0.75-1.20)</w:t>
            </w: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Last MMSE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1.03 (0.84-1.25)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1.06 (0.85-1.34)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1.04 (0.83-1.31)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1.07 (0.86-1.35)</w:t>
            </w:r>
          </w:p>
        </w:tc>
      </w:tr>
      <w:tr w:rsidR="007730F4" w:rsidRPr="007730F4" w:rsidTr="00185AA5">
        <w:tc>
          <w:tcPr>
            <w:tcW w:w="1093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Time MMSE-baseline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(0.99-1.00)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(0.99-1.01)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0.99 (0.99-1.00)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(0.99-1.01)</w:t>
            </w:r>
          </w:p>
        </w:tc>
      </w:tr>
      <w:tr w:rsidR="007730F4" w:rsidRPr="007730F4" w:rsidTr="00185AA5">
        <w:tc>
          <w:tcPr>
            <w:tcW w:w="1093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i/>
                <w:sz w:val="20"/>
              </w:rPr>
              <w:t>Model 2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Living alone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1.17 (0.18-7.45)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0.48 (0.06-3.68)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1.21 (0.18-8.43)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1.16 (0.94-14.31)</w:t>
            </w: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Age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1.02 (0.95-1.09)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0.97 (0.90-1.05)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1.12 (1-02-1.</w:t>
            </w:r>
            <w:proofErr w:type="gramStart"/>
            <w:r w:rsidRPr="007730F4">
              <w:rPr>
                <w:rFonts w:ascii="Times New Roman" w:hAnsi="Times New Roman" w:cs="Times New Roman"/>
                <w:sz w:val="20"/>
              </w:rPr>
              <w:t>23)</w:t>
            </w:r>
            <w:r w:rsidRPr="0080796C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  <w:proofErr w:type="gramEnd"/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1.10 (1.00-1.</w:t>
            </w:r>
            <w:proofErr w:type="gramStart"/>
            <w:r w:rsidRPr="007730F4">
              <w:rPr>
                <w:rFonts w:ascii="Times New Roman" w:hAnsi="Times New Roman" w:cs="Times New Roman"/>
                <w:sz w:val="20"/>
              </w:rPr>
              <w:t>20)</w:t>
            </w:r>
            <w:r w:rsidR="0080796C" w:rsidRPr="0080796C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  <w:proofErr w:type="gramEnd"/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Education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0.97 (0.79-1.20)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0.89 (0.67-1.16)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0.88 (0.67-1.16)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0.95 (0.75-1.21)</w:t>
            </w: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Last MMSE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1.03 (0.85-1.24)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1.06 (0.85-1.32)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1.04 (0.83-1.31)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1.07 (0.86-1.35)</w:t>
            </w:r>
          </w:p>
        </w:tc>
      </w:tr>
      <w:tr w:rsidR="007730F4" w:rsidRPr="007730F4" w:rsidTr="00185AA5">
        <w:tc>
          <w:tcPr>
            <w:tcW w:w="1093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Time MMSE-baseline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(1.00-1.01)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(1.00-1.01)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(0.99-1.00)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(0.99-1.01)</w:t>
            </w:r>
          </w:p>
        </w:tc>
      </w:tr>
      <w:tr w:rsidR="007730F4" w:rsidRPr="007730F4" w:rsidTr="00185AA5">
        <w:tc>
          <w:tcPr>
            <w:tcW w:w="1093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b/>
                <w:i/>
                <w:sz w:val="20"/>
              </w:rPr>
              <w:t>Model 3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Socialising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1.01 (0.95-1.08)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1.01 (0.94-1.09)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0.95 (0.86-1.05)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0.97 (0.91-1.04)</w:t>
            </w: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Age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1.02 (0.96-1.09)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0.99 (0.21-1.06)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1.12 (1.02-1.</w:t>
            </w:r>
            <w:proofErr w:type="gramStart"/>
            <w:r w:rsidRPr="007730F4">
              <w:rPr>
                <w:rFonts w:ascii="Times New Roman" w:hAnsi="Times New Roman" w:cs="Times New Roman"/>
                <w:sz w:val="20"/>
              </w:rPr>
              <w:t>23)</w:t>
            </w:r>
            <w:r w:rsidR="0080796C" w:rsidRPr="0080796C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  <w:proofErr w:type="gramEnd"/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1.09 (1.00-1.</w:t>
            </w:r>
            <w:proofErr w:type="gramStart"/>
            <w:r w:rsidRPr="007730F4">
              <w:rPr>
                <w:rFonts w:ascii="Times New Roman" w:hAnsi="Times New Roman" w:cs="Times New Roman"/>
                <w:sz w:val="20"/>
              </w:rPr>
              <w:t>18)</w:t>
            </w:r>
            <w:r w:rsidR="0080796C" w:rsidRPr="0080796C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  <w:proofErr w:type="gramEnd"/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Education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0.97 (0.79-1.21)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0.90 (0.69-1.16)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0.88 (0.67-1.16)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0.96 (0.76-1.23)</w:t>
            </w:r>
          </w:p>
        </w:tc>
      </w:tr>
      <w:tr w:rsidR="007730F4" w:rsidRPr="007730F4" w:rsidTr="00185AA5">
        <w:tc>
          <w:tcPr>
            <w:tcW w:w="1093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Last MMSE</w:t>
            </w:r>
          </w:p>
        </w:tc>
        <w:tc>
          <w:tcPr>
            <w:tcW w:w="1015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1.04 (0.85-1.26)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1.08 (0.86-1.35)</w:t>
            </w:r>
          </w:p>
        </w:tc>
        <w:tc>
          <w:tcPr>
            <w:tcW w:w="1018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1.02 (0.80-1.30)</w:t>
            </w:r>
          </w:p>
        </w:tc>
        <w:tc>
          <w:tcPr>
            <w:tcW w:w="937" w:type="pct"/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1.06 (0.85-1.33)</w:t>
            </w:r>
          </w:p>
        </w:tc>
      </w:tr>
      <w:tr w:rsidR="007730F4" w:rsidRPr="007730F4" w:rsidTr="00185AA5">
        <w:tc>
          <w:tcPr>
            <w:tcW w:w="1093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730F4">
              <w:rPr>
                <w:rFonts w:ascii="Times New Roman" w:hAnsi="Times New Roman" w:cs="Times New Roman"/>
                <w:i/>
                <w:sz w:val="20"/>
              </w:rPr>
              <w:t>Time MMSE-baseline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(0.99-1.01)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(0.99-1.01)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(0.99-1.00)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7730F4" w:rsidRPr="007730F4" w:rsidRDefault="007730F4" w:rsidP="001F163C">
            <w:pPr>
              <w:rPr>
                <w:rFonts w:ascii="Times New Roman" w:hAnsi="Times New Roman" w:cs="Times New Roman"/>
                <w:sz w:val="20"/>
              </w:rPr>
            </w:pPr>
            <w:r w:rsidRPr="007730F4">
              <w:rPr>
                <w:rFonts w:ascii="Times New Roman" w:hAnsi="Times New Roman" w:cs="Times New Roman"/>
                <w:sz w:val="20"/>
              </w:rPr>
              <w:t>1.00 (0.99 1.01)</w:t>
            </w:r>
          </w:p>
        </w:tc>
      </w:tr>
    </w:tbl>
    <w:p w:rsidR="007730F4" w:rsidRPr="007730F4" w:rsidRDefault="007730F4" w:rsidP="007730F4">
      <w:pPr>
        <w:rPr>
          <w:rFonts w:ascii="Times New Roman" w:hAnsi="Times New Roman" w:cs="Times New Roman"/>
          <w:sz w:val="20"/>
          <w:szCs w:val="20"/>
        </w:rPr>
      </w:pPr>
      <w:r w:rsidRPr="0080796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730F4">
        <w:rPr>
          <w:rFonts w:ascii="Times New Roman" w:hAnsi="Times New Roman" w:cs="Times New Roman"/>
          <w:sz w:val="20"/>
          <w:szCs w:val="20"/>
        </w:rPr>
        <w:t xml:space="preserve"> p &lt; 0.05, not s</w:t>
      </w:r>
      <w:r w:rsidR="00A12066">
        <w:rPr>
          <w:rFonts w:ascii="Times New Roman" w:hAnsi="Times New Roman" w:cs="Times New Roman"/>
          <w:sz w:val="20"/>
          <w:szCs w:val="20"/>
        </w:rPr>
        <w:t>ignificant after</w:t>
      </w:r>
      <w:bookmarkStart w:id="0" w:name="_GoBack"/>
      <w:bookmarkEnd w:id="0"/>
      <w:r w:rsidRPr="007730F4">
        <w:rPr>
          <w:rFonts w:ascii="Times New Roman" w:hAnsi="Times New Roman" w:cs="Times New Roman"/>
          <w:sz w:val="20"/>
          <w:szCs w:val="20"/>
        </w:rPr>
        <w:t xml:space="preserve"> correction for multiple comparisons</w:t>
      </w:r>
    </w:p>
    <w:p w:rsidR="007730F4" w:rsidRDefault="007730F4" w:rsidP="007730F4">
      <w:pPr>
        <w:rPr>
          <w:sz w:val="20"/>
          <w:szCs w:val="20"/>
        </w:rPr>
      </w:pPr>
    </w:p>
    <w:p w:rsidR="007730F4" w:rsidRPr="007730F4" w:rsidRDefault="007730F4" w:rsidP="007730F4">
      <w:pPr>
        <w:spacing w:after="0" w:line="480" w:lineRule="auto"/>
        <w:rPr>
          <w:rFonts w:ascii="Times New Roman" w:hAnsi="Times New Roman" w:cs="Times New Roman"/>
          <w:lang w:val="en-GB"/>
        </w:rPr>
      </w:pPr>
    </w:p>
    <w:sectPr w:rsidR="007730F4" w:rsidRPr="007730F4" w:rsidSect="001A6FCC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65" w:rsidRDefault="00C36065" w:rsidP="00A86FDC">
      <w:pPr>
        <w:spacing w:after="0" w:line="240" w:lineRule="auto"/>
      </w:pPr>
      <w:r>
        <w:separator/>
      </w:r>
    </w:p>
  </w:endnote>
  <w:endnote w:type="continuationSeparator" w:id="0">
    <w:p w:rsidR="00C36065" w:rsidRDefault="00C36065" w:rsidP="00A8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65" w:rsidRDefault="00C36065" w:rsidP="00A86FDC">
      <w:pPr>
        <w:spacing w:after="0" w:line="240" w:lineRule="auto"/>
      </w:pPr>
      <w:r>
        <w:separator/>
      </w:r>
    </w:p>
  </w:footnote>
  <w:footnote w:type="continuationSeparator" w:id="0">
    <w:p w:rsidR="00C36065" w:rsidRDefault="00C36065" w:rsidP="00A8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EFA"/>
    <w:multiLevelType w:val="hybridMultilevel"/>
    <w:tmpl w:val="E7542F50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5342FD"/>
    <w:multiLevelType w:val="hybridMultilevel"/>
    <w:tmpl w:val="34D2DD1E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072AAA"/>
    <w:multiLevelType w:val="hybridMultilevel"/>
    <w:tmpl w:val="7D4642DE"/>
    <w:lvl w:ilvl="0" w:tplc="552E2370">
      <w:start w:val="1"/>
      <w:numFmt w:val="bullet"/>
      <w:lvlText w:val="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167071"/>
    <w:multiLevelType w:val="hybridMultilevel"/>
    <w:tmpl w:val="FAEAA70C"/>
    <w:lvl w:ilvl="0" w:tplc="552E2370">
      <w:start w:val="1"/>
      <w:numFmt w:val="bullet"/>
      <w:lvlText w:val="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DE71FB"/>
    <w:multiLevelType w:val="hybridMultilevel"/>
    <w:tmpl w:val="4B487660"/>
    <w:lvl w:ilvl="0" w:tplc="822068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4A1"/>
    <w:multiLevelType w:val="hybridMultilevel"/>
    <w:tmpl w:val="6C6CC9A4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FD5D98"/>
    <w:multiLevelType w:val="hybridMultilevel"/>
    <w:tmpl w:val="797CEFC2"/>
    <w:lvl w:ilvl="0" w:tplc="756669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6A01"/>
    <w:multiLevelType w:val="hybridMultilevel"/>
    <w:tmpl w:val="D75440DA"/>
    <w:lvl w:ilvl="0" w:tplc="552E2370">
      <w:start w:val="1"/>
      <w:numFmt w:val="bullet"/>
      <w:lvlText w:val="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9712029"/>
    <w:multiLevelType w:val="hybridMultilevel"/>
    <w:tmpl w:val="10C006D2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BC67E47"/>
    <w:multiLevelType w:val="hybridMultilevel"/>
    <w:tmpl w:val="6FEC4BFC"/>
    <w:lvl w:ilvl="0" w:tplc="674E786E">
      <w:start w:val="2"/>
      <w:numFmt w:val="upp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013A96"/>
    <w:multiLevelType w:val="hybridMultilevel"/>
    <w:tmpl w:val="49E09ABA"/>
    <w:lvl w:ilvl="0" w:tplc="5658F2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52F1"/>
    <w:multiLevelType w:val="hybridMultilevel"/>
    <w:tmpl w:val="ECC6078A"/>
    <w:lvl w:ilvl="0" w:tplc="1E1C8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25F89"/>
    <w:multiLevelType w:val="hybridMultilevel"/>
    <w:tmpl w:val="9A16C3DE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4E6079"/>
    <w:multiLevelType w:val="hybridMultilevel"/>
    <w:tmpl w:val="878222FE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6F65DAA"/>
    <w:multiLevelType w:val="hybridMultilevel"/>
    <w:tmpl w:val="1DC0A7C8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096011"/>
    <w:multiLevelType w:val="hybridMultilevel"/>
    <w:tmpl w:val="8746FBA8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C7729B"/>
    <w:multiLevelType w:val="hybridMultilevel"/>
    <w:tmpl w:val="D27099E8"/>
    <w:lvl w:ilvl="0" w:tplc="438475A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85A559A"/>
    <w:multiLevelType w:val="hybridMultilevel"/>
    <w:tmpl w:val="61266A10"/>
    <w:lvl w:ilvl="0" w:tplc="552E2370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0"/>
  </w:num>
  <w:num w:numId="16">
    <w:abstractNumId w:val="6"/>
  </w:num>
  <w:num w:numId="17">
    <w:abstractNumId w:val="17"/>
  </w:num>
  <w:num w:numId="18">
    <w:abstractNumId w:val="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BD"/>
    <w:rsid w:val="00005249"/>
    <w:rsid w:val="00050C30"/>
    <w:rsid w:val="000B4CC7"/>
    <w:rsid w:val="000C3EBE"/>
    <w:rsid w:val="000E5807"/>
    <w:rsid w:val="000F0322"/>
    <w:rsid w:val="000F5D13"/>
    <w:rsid w:val="00120FB1"/>
    <w:rsid w:val="00135EB9"/>
    <w:rsid w:val="001450FC"/>
    <w:rsid w:val="00181B25"/>
    <w:rsid w:val="00185AA5"/>
    <w:rsid w:val="00185B20"/>
    <w:rsid w:val="001A6FCC"/>
    <w:rsid w:val="001C5BED"/>
    <w:rsid w:val="001C6105"/>
    <w:rsid w:val="0029746C"/>
    <w:rsid w:val="00332F25"/>
    <w:rsid w:val="003638D8"/>
    <w:rsid w:val="00391575"/>
    <w:rsid w:val="003A3D70"/>
    <w:rsid w:val="003B0ECA"/>
    <w:rsid w:val="003F33BA"/>
    <w:rsid w:val="00444427"/>
    <w:rsid w:val="00454865"/>
    <w:rsid w:val="00494309"/>
    <w:rsid w:val="004F7022"/>
    <w:rsid w:val="0053700C"/>
    <w:rsid w:val="00551530"/>
    <w:rsid w:val="0058750E"/>
    <w:rsid w:val="005C4AE4"/>
    <w:rsid w:val="005D35BD"/>
    <w:rsid w:val="005E507A"/>
    <w:rsid w:val="005F7423"/>
    <w:rsid w:val="00676FEB"/>
    <w:rsid w:val="006A4C20"/>
    <w:rsid w:val="006B6DBD"/>
    <w:rsid w:val="006C2459"/>
    <w:rsid w:val="006F69FB"/>
    <w:rsid w:val="00711F54"/>
    <w:rsid w:val="007730F4"/>
    <w:rsid w:val="00784FBD"/>
    <w:rsid w:val="00787796"/>
    <w:rsid w:val="0079403F"/>
    <w:rsid w:val="007C09E9"/>
    <w:rsid w:val="0080796C"/>
    <w:rsid w:val="0082277B"/>
    <w:rsid w:val="008940C0"/>
    <w:rsid w:val="00954182"/>
    <w:rsid w:val="009571C0"/>
    <w:rsid w:val="00A12066"/>
    <w:rsid w:val="00A65CCC"/>
    <w:rsid w:val="00A72ADB"/>
    <w:rsid w:val="00A74A3C"/>
    <w:rsid w:val="00A86FDC"/>
    <w:rsid w:val="00A95434"/>
    <w:rsid w:val="00AA3043"/>
    <w:rsid w:val="00AA78D8"/>
    <w:rsid w:val="00AF20C7"/>
    <w:rsid w:val="00B54B12"/>
    <w:rsid w:val="00BE6812"/>
    <w:rsid w:val="00BF20B3"/>
    <w:rsid w:val="00C36065"/>
    <w:rsid w:val="00CA4783"/>
    <w:rsid w:val="00DB4178"/>
    <w:rsid w:val="00DE4809"/>
    <w:rsid w:val="00E047E3"/>
    <w:rsid w:val="00E04D63"/>
    <w:rsid w:val="00E14629"/>
    <w:rsid w:val="00E45BDA"/>
    <w:rsid w:val="00E56599"/>
    <w:rsid w:val="00EB39FC"/>
    <w:rsid w:val="00F72F6B"/>
    <w:rsid w:val="00F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8B4D"/>
  <w15:docId w15:val="{1435FAF9-6CCA-4245-B7F0-CD31ACA7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86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FD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86F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6FD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DC"/>
  </w:style>
  <w:style w:type="paragraph" w:styleId="Footer">
    <w:name w:val="footer"/>
    <w:basedOn w:val="Normal"/>
    <w:link w:val="FooterChar"/>
    <w:uiPriority w:val="99"/>
    <w:unhideWhenUsed/>
    <w:rsid w:val="00A86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DC"/>
  </w:style>
  <w:style w:type="table" w:styleId="TableGrid">
    <w:name w:val="Table Grid"/>
    <w:basedOn w:val="TableNormal"/>
    <w:uiPriority w:val="39"/>
    <w:rsid w:val="007730F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423F-FC5C-4A96-823E-34785FD1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Manca</dc:creator>
  <cp:keywords/>
  <dc:description/>
  <cp:lastModifiedBy>Riccardo Manca (Staff)</cp:lastModifiedBy>
  <cp:revision>65</cp:revision>
  <dcterms:created xsi:type="dcterms:W3CDTF">2020-08-14T10:29:00Z</dcterms:created>
  <dcterms:modified xsi:type="dcterms:W3CDTF">2021-07-11T13:25:00Z</dcterms:modified>
</cp:coreProperties>
</file>