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8F" w:rsidRPr="00137D87" w:rsidRDefault="00E307D4" w:rsidP="000E7B8F">
      <w:pPr>
        <w:spacing w:after="0"/>
        <w:rPr>
          <w:rFonts w:ascii="Times New Roman" w:hAnsi="Times New Roman" w:cs="Times New Roman"/>
          <w:b/>
          <w:sz w:val="24"/>
          <w:szCs w:val="24"/>
        </w:rPr>
      </w:pPr>
      <w:r w:rsidRPr="00137D87">
        <w:rPr>
          <w:rFonts w:ascii="Times New Roman" w:hAnsi="Times New Roman" w:cs="Times New Roman"/>
          <w:b/>
          <w:sz w:val="24"/>
          <w:szCs w:val="24"/>
        </w:rPr>
        <w:t>Supplementary Table 1: Trials of antidepressant augmentation of clozapine</w:t>
      </w:r>
    </w:p>
    <w:tbl>
      <w:tblPr>
        <w:tblStyle w:val="TableGrid"/>
        <w:tblW w:w="14709" w:type="dxa"/>
        <w:tblLayout w:type="fixed"/>
        <w:tblLook w:val="04A0"/>
      </w:tblPr>
      <w:tblGrid>
        <w:gridCol w:w="1468"/>
        <w:gridCol w:w="1475"/>
        <w:gridCol w:w="943"/>
        <w:gridCol w:w="1073"/>
        <w:gridCol w:w="1073"/>
        <w:gridCol w:w="2440"/>
        <w:gridCol w:w="1134"/>
        <w:gridCol w:w="1275"/>
        <w:gridCol w:w="851"/>
        <w:gridCol w:w="992"/>
        <w:gridCol w:w="1985"/>
      </w:tblGrid>
      <w:tr w:rsidR="007372A4" w:rsidRPr="00137D87" w:rsidTr="00A9169F">
        <w:tc>
          <w:tcPr>
            <w:tcW w:w="1468"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Author, year</w:t>
            </w:r>
          </w:p>
        </w:tc>
        <w:tc>
          <w:tcPr>
            <w:tcW w:w="1475" w:type="dxa"/>
            <w:tcBorders>
              <w:top w:val="single" w:sz="4" w:space="0" w:color="auto"/>
              <w:left w:val="single" w:sz="4" w:space="0" w:color="auto"/>
              <w:bottom w:val="single" w:sz="4" w:space="0" w:color="auto"/>
              <w:right w:val="single" w:sz="4" w:space="0" w:color="auto"/>
            </w:tcBorders>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Intervention</w:t>
            </w:r>
          </w:p>
        </w:tc>
        <w:tc>
          <w:tcPr>
            <w:tcW w:w="943"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Sample size</w:t>
            </w:r>
          </w:p>
        </w:tc>
        <w:tc>
          <w:tcPr>
            <w:tcW w:w="1073" w:type="dxa"/>
            <w:tcBorders>
              <w:top w:val="single" w:sz="4" w:space="0" w:color="auto"/>
              <w:left w:val="single" w:sz="4" w:space="0" w:color="auto"/>
              <w:bottom w:val="single" w:sz="4" w:space="0" w:color="auto"/>
              <w:right w:val="single" w:sz="4" w:space="0" w:color="auto"/>
            </w:tcBorders>
          </w:tcPr>
          <w:p w:rsidR="00A9169F" w:rsidRPr="00137D87" w:rsidRDefault="00E307D4" w:rsidP="00644725">
            <w:pPr>
              <w:jc w:val="both"/>
              <w:rPr>
                <w:rFonts w:ascii="Times New Roman" w:hAnsi="Times New Roman"/>
                <w:b/>
                <w:bCs/>
                <w:sz w:val="22"/>
                <w:szCs w:val="22"/>
              </w:rPr>
            </w:pPr>
            <w:r w:rsidRPr="00137D87">
              <w:rPr>
                <w:rFonts w:ascii="Times New Roman" w:hAnsi="Times New Roman"/>
                <w:b/>
                <w:bCs/>
                <w:sz w:val="22"/>
                <w:szCs w:val="22"/>
              </w:rPr>
              <w:t>Mean age in years</w:t>
            </w:r>
          </w:p>
        </w:tc>
        <w:tc>
          <w:tcPr>
            <w:tcW w:w="1073" w:type="dxa"/>
            <w:tcBorders>
              <w:top w:val="single" w:sz="4" w:space="0" w:color="auto"/>
              <w:left w:val="single" w:sz="4" w:space="0" w:color="auto"/>
              <w:bottom w:val="single" w:sz="4" w:space="0" w:color="auto"/>
              <w:right w:val="single" w:sz="4" w:space="0" w:color="auto"/>
            </w:tcBorders>
          </w:tcPr>
          <w:p w:rsidR="00A9169F" w:rsidRPr="00137D87" w:rsidRDefault="00E307D4" w:rsidP="00644725">
            <w:pPr>
              <w:jc w:val="both"/>
              <w:rPr>
                <w:rFonts w:ascii="Times New Roman" w:hAnsi="Times New Roman"/>
                <w:b/>
                <w:bCs/>
                <w:sz w:val="22"/>
                <w:szCs w:val="22"/>
              </w:rPr>
            </w:pPr>
            <w:r w:rsidRPr="00137D87">
              <w:rPr>
                <w:rFonts w:ascii="Times New Roman" w:hAnsi="Times New Roman"/>
                <w:b/>
                <w:bCs/>
                <w:sz w:val="22"/>
                <w:szCs w:val="22"/>
              </w:rPr>
              <w:t>Gender distribution</w:t>
            </w:r>
          </w:p>
        </w:tc>
        <w:tc>
          <w:tcPr>
            <w:tcW w:w="2440" w:type="dxa"/>
            <w:tcBorders>
              <w:top w:val="single" w:sz="4" w:space="0" w:color="auto"/>
              <w:left w:val="single" w:sz="4" w:space="0" w:color="auto"/>
              <w:bottom w:val="single" w:sz="4" w:space="0" w:color="auto"/>
              <w:right w:val="single" w:sz="4" w:space="0" w:color="auto"/>
            </w:tcBorders>
          </w:tcPr>
          <w:p w:rsidR="00A9169F" w:rsidRPr="00137D87" w:rsidRDefault="00E307D4" w:rsidP="00644725">
            <w:pPr>
              <w:jc w:val="both"/>
              <w:rPr>
                <w:rFonts w:ascii="Times New Roman" w:hAnsi="Times New Roman"/>
                <w:b/>
                <w:bCs/>
                <w:sz w:val="22"/>
                <w:szCs w:val="22"/>
              </w:rPr>
            </w:pPr>
            <w:r w:rsidRPr="00137D87">
              <w:rPr>
                <w:rFonts w:ascii="Times New Roman" w:hAnsi="Times New Roman"/>
                <w:b/>
                <w:bCs/>
                <w:sz w:val="22"/>
                <w:szCs w:val="22"/>
              </w:rPr>
              <w:t>Definition of clozapine resistance used</w:t>
            </w:r>
          </w:p>
        </w:tc>
        <w:tc>
          <w:tcPr>
            <w:tcW w:w="1134"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 xml:space="preserve">Duration in weeks </w:t>
            </w:r>
          </w:p>
        </w:tc>
        <w:tc>
          <w:tcPr>
            <w:tcW w:w="1275"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Outcome measure</w:t>
            </w:r>
          </w:p>
        </w:tc>
        <w:tc>
          <w:tcPr>
            <w:tcW w:w="851"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Effect size</w:t>
            </w:r>
          </w:p>
        </w:tc>
        <w:tc>
          <w:tcPr>
            <w:tcW w:w="992"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Confidence intervals Lower</w:t>
            </w:r>
          </w:p>
        </w:tc>
        <w:tc>
          <w:tcPr>
            <w:tcW w:w="1985" w:type="dxa"/>
            <w:tcBorders>
              <w:top w:val="single" w:sz="4" w:space="0" w:color="auto"/>
              <w:left w:val="single" w:sz="4" w:space="0" w:color="auto"/>
              <w:bottom w:val="single" w:sz="4" w:space="0" w:color="auto"/>
              <w:right w:val="single" w:sz="4" w:space="0" w:color="auto"/>
            </w:tcBorders>
            <w:hideMark/>
          </w:tcPr>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Confidence intervals Upper</w:t>
            </w:r>
          </w:p>
        </w:tc>
      </w:tr>
      <w:tr w:rsidR="007372A4" w:rsidRPr="00137D87" w:rsidTr="00A9169F">
        <w:tc>
          <w:tcPr>
            <w:tcW w:w="1468" w:type="dxa"/>
            <w:tcBorders>
              <w:top w:val="single" w:sz="4" w:space="0" w:color="auto"/>
              <w:left w:val="single" w:sz="4" w:space="0" w:color="auto"/>
              <w:bottom w:val="single" w:sz="4" w:space="0" w:color="auto"/>
              <w:right w:val="single" w:sz="4" w:space="0" w:color="auto"/>
            </w:tcBorders>
            <w:hideMark/>
          </w:tcPr>
          <w:p w:rsidR="00641D7D" w:rsidRPr="00137D87" w:rsidRDefault="00A62B74" w:rsidP="008761E0">
            <w:pPr>
              <w:widowControl w:val="0"/>
              <w:autoSpaceDE w:val="0"/>
              <w:autoSpaceDN w:val="0"/>
              <w:adjustRightInd w:val="0"/>
              <w:jc w:val="both"/>
              <w:rPr>
                <w:rFonts w:ascii="Times New Roman" w:hAnsi="Times New Roman"/>
                <w:bCs/>
                <w:sz w:val="22"/>
                <w:szCs w:val="22"/>
              </w:rPr>
            </w:pPr>
            <w:r w:rsidRPr="00137D87">
              <w:rPr>
                <w:rFonts w:ascii="Times New Roman" w:hAnsi="Times New Roman"/>
                <w:szCs w:val="22"/>
              </w:rPr>
              <w:fldChar w:fldCharType="begin"/>
            </w:r>
            <w:r w:rsidR="00E307D4" w:rsidRPr="00137D87">
              <w:rPr>
                <w:rFonts w:ascii="Times New Roman" w:eastAsiaTheme="minorHAnsi" w:hAnsi="Times New Roman"/>
                <w:sz w:val="22"/>
                <w:szCs w:val="22"/>
                <w:lang w:eastAsia="en-US"/>
              </w:rPr>
              <w:instrText xml:space="preserve"> ADDIN ZOTERO_ITEM CSL_CITATION {"citationID":"mYCCbFSK","properties":{"formattedCitation":"(Buchanan et al. 1996)","plainCitation":"(Buchanan et al. 1996)","noteIndex":0},"citationItems":[{"id":"icAKTbcq/hnC5CRLg","uris":["http://zotero.org/users/local/6AAULdbe/items/4EHVWBHY"],"uri":["http://zotero.org/users/local/6AAULdbe/items/4EHVWBHY"],"itemData":{"id":170,"type":"article-journal","abstract":"OBJECTIVE: The authors examined the efficacy of fluoxetine augmentation of clozapine treatment response in schizophrenic outpatients who, despite adequate treatment with clozapine, continued to exhibit persistent positive or negative symptoms.\nMETHOD: Thirty-three patients completed on 8-week, double-blind, parallel-groups comparison of adjunctive fluoxetine and placebo.\nRESULTS: There were no significant differences in positive, negative, depressive, or obsessive-compulsive symptoms between patients given adjunctive fluoxetine or placebo.\nCONCLUSIONS: These results suggest that fluoxetine is not effective in augmenting clozapine treatment response.","container-title":"The American Journal of Psychiatry","DOI":"10.1176/ajp.153.12.1625","ISSN":"0002-953X","issue":"12","journalAbbreviation":"Am J Psychiatry","language":"eng","note":"PMID: 8942462","page":"1625-1627","source":"PubMed","title":"Fluoxetine augmentation of clozapine treatment in patients with schizophrenia","volume":"153","author":[{"family":"Buchanan","given":"R. W."},{"family":"Kirkpatrick","given":"B."},{"family":"Bryant","given":"N."},{"family":"Ball","given":"P."},{"family":"Breier","given":"A."}],"issued":{"date-parts":[["1996",12]]}}}],"schema":"https://github.com/citation-style-language/schema/raw/master/csl-citation.json"} </w:instrText>
            </w:r>
            <w:r w:rsidRPr="00137D87">
              <w:rPr>
                <w:rFonts w:ascii="Times New Roman" w:hAnsi="Times New Roman"/>
                <w:szCs w:val="22"/>
              </w:rPr>
              <w:fldChar w:fldCharType="separate"/>
            </w:r>
            <w:r w:rsidR="00E307D4" w:rsidRPr="00137D87">
              <w:rPr>
                <w:rFonts w:ascii="Times New Roman" w:hAnsi="Times New Roman"/>
                <w:sz w:val="22"/>
                <w:szCs w:val="22"/>
              </w:rPr>
              <w:t>Buchanan et al. 1996</w:t>
            </w:r>
            <w:r w:rsidRPr="00137D87">
              <w:rPr>
                <w:rFonts w:ascii="Times New Roman" w:hAnsi="Times New Roman"/>
                <w:szCs w:val="22"/>
              </w:rPr>
              <w:fldChar w:fldCharType="end"/>
            </w:r>
          </w:p>
        </w:tc>
        <w:tc>
          <w:tcPr>
            <w:tcW w:w="1475" w:type="dxa"/>
            <w:tcBorders>
              <w:top w:val="single" w:sz="4" w:space="0" w:color="auto"/>
              <w:left w:val="single" w:sz="4" w:space="0" w:color="auto"/>
              <w:bottom w:val="single" w:sz="4" w:space="0" w:color="auto"/>
              <w:right w:val="single" w:sz="4" w:space="0" w:color="auto"/>
            </w:tcBorders>
          </w:tcPr>
          <w:p w:rsidR="00641D7D" w:rsidRPr="00137D87" w:rsidRDefault="00E307D4" w:rsidP="00A20CAF">
            <w:pPr>
              <w:rPr>
                <w:rFonts w:ascii="Times New Roman" w:hAnsi="Times New Roman"/>
                <w:sz w:val="22"/>
                <w:szCs w:val="22"/>
              </w:rPr>
            </w:pPr>
            <w:r w:rsidRPr="00137D87">
              <w:rPr>
                <w:rFonts w:ascii="Times New Roman" w:hAnsi="Times New Roman"/>
                <w:sz w:val="22"/>
                <w:szCs w:val="22"/>
              </w:rPr>
              <w:t>Fluoxetine</w:t>
            </w:r>
          </w:p>
        </w:tc>
        <w:tc>
          <w:tcPr>
            <w:tcW w:w="943"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33</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Flu- 36.8 ±6.4</w:t>
            </w:r>
          </w:p>
          <w:p w:rsidR="00A9169F" w:rsidRPr="00137D87" w:rsidRDefault="00E307D4" w:rsidP="00A20CAF">
            <w:pPr>
              <w:jc w:val="both"/>
              <w:rPr>
                <w:rFonts w:ascii="Times New Roman" w:hAnsi="Times New Roman"/>
                <w:sz w:val="22"/>
                <w:szCs w:val="22"/>
              </w:rPr>
            </w:pPr>
            <w:r w:rsidRPr="00137D87">
              <w:rPr>
                <w:rFonts w:ascii="Times New Roman" w:hAnsi="Times New Roman"/>
                <w:sz w:val="22"/>
                <w:szCs w:val="22"/>
              </w:rPr>
              <w:t>P- 32.8±6.0</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Flu- M- 15, F-3; P- M-8, F-7</w:t>
            </w:r>
          </w:p>
        </w:tc>
        <w:tc>
          <w:tcPr>
            <w:tcW w:w="2440" w:type="dxa"/>
            <w:tcBorders>
              <w:top w:val="single" w:sz="4" w:space="0" w:color="auto"/>
              <w:left w:val="single" w:sz="4" w:space="0" w:color="auto"/>
              <w:bottom w:val="single" w:sz="4" w:space="0" w:color="auto"/>
              <w:right w:val="single" w:sz="4" w:space="0" w:color="auto"/>
            </w:tcBorders>
          </w:tcPr>
          <w:p w:rsidR="00641D7D" w:rsidRPr="00137D87" w:rsidRDefault="00FB744A" w:rsidP="00FB744A">
            <w:pPr>
              <w:autoSpaceDE w:val="0"/>
              <w:autoSpaceDN w:val="0"/>
              <w:adjustRightInd w:val="0"/>
              <w:rPr>
                <w:rFonts w:ascii="Times New Roman" w:hAnsi="Times New Roman"/>
                <w:sz w:val="22"/>
                <w:szCs w:val="22"/>
                <w:lang w:val="en-US"/>
              </w:rPr>
            </w:pPr>
            <w:r w:rsidRPr="00137D87">
              <w:rPr>
                <w:rFonts w:ascii="Times New Roman" w:hAnsi="Times New Roman"/>
                <w:sz w:val="22"/>
                <w:szCs w:val="22"/>
                <w:shd w:val="clear" w:color="auto" w:fill="FFFFFF"/>
              </w:rPr>
              <w:t>Despite adequate treatment with clozapine</w:t>
            </w:r>
            <w:r w:rsidR="00BF116B" w:rsidRPr="00137D87">
              <w:rPr>
                <w:rFonts w:ascii="Times New Roman" w:hAnsi="Times New Roman"/>
                <w:sz w:val="22"/>
                <w:szCs w:val="22"/>
                <w:shd w:val="clear" w:color="auto" w:fill="FFFFFF"/>
              </w:rPr>
              <w:t xml:space="preserve"> (300 mg/day for at least 6 months)</w:t>
            </w:r>
            <w:r w:rsidRPr="00137D87">
              <w:rPr>
                <w:rFonts w:ascii="Times New Roman" w:hAnsi="Times New Roman"/>
                <w:sz w:val="22"/>
                <w:szCs w:val="22"/>
                <w:shd w:val="clear" w:color="auto" w:fill="FFFFFF"/>
              </w:rPr>
              <w:t>, continued to exhibit persistent positive or negative symptoms</w:t>
            </w:r>
          </w:p>
        </w:tc>
        <w:tc>
          <w:tcPr>
            <w:tcW w:w="1134"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 xml:space="preserve">8 </w:t>
            </w:r>
          </w:p>
        </w:tc>
        <w:tc>
          <w:tcPr>
            <w:tcW w:w="1275"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BPRS-P</w:t>
            </w:r>
          </w:p>
        </w:tc>
        <w:tc>
          <w:tcPr>
            <w:tcW w:w="851"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0.111</w:t>
            </w:r>
          </w:p>
        </w:tc>
        <w:tc>
          <w:tcPr>
            <w:tcW w:w="992"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-0.574</w:t>
            </w:r>
          </w:p>
        </w:tc>
        <w:tc>
          <w:tcPr>
            <w:tcW w:w="1985"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0.797</w:t>
            </w:r>
          </w:p>
        </w:tc>
      </w:tr>
      <w:tr w:rsidR="007372A4" w:rsidRPr="00137D87" w:rsidTr="00A9169F">
        <w:tc>
          <w:tcPr>
            <w:tcW w:w="1468" w:type="dxa"/>
            <w:tcBorders>
              <w:top w:val="single" w:sz="4" w:space="0" w:color="auto"/>
              <w:left w:val="single" w:sz="4" w:space="0" w:color="auto"/>
              <w:bottom w:val="single" w:sz="4" w:space="0" w:color="auto"/>
              <w:right w:val="single" w:sz="4" w:space="0" w:color="auto"/>
            </w:tcBorders>
            <w:hideMark/>
          </w:tcPr>
          <w:p w:rsidR="00641D7D" w:rsidRPr="00137D87" w:rsidRDefault="00A62B74" w:rsidP="008761E0">
            <w:pPr>
              <w:widowControl w:val="0"/>
              <w:autoSpaceDE w:val="0"/>
              <w:autoSpaceDN w:val="0"/>
              <w:adjustRightInd w:val="0"/>
              <w:jc w:val="both"/>
              <w:rPr>
                <w:rFonts w:ascii="Times New Roman" w:hAnsi="Times New Roman"/>
                <w:bCs/>
                <w:sz w:val="22"/>
                <w:szCs w:val="22"/>
              </w:rPr>
            </w:pPr>
            <w:r w:rsidRPr="00137D87">
              <w:rPr>
                <w:rFonts w:ascii="Times New Roman" w:hAnsi="Times New Roman"/>
                <w:szCs w:val="22"/>
              </w:rPr>
              <w:fldChar w:fldCharType="begin"/>
            </w:r>
            <w:r w:rsidR="00E307D4" w:rsidRPr="00137D87">
              <w:rPr>
                <w:rFonts w:ascii="Times New Roman" w:eastAsiaTheme="minorHAnsi" w:hAnsi="Times New Roman"/>
                <w:sz w:val="22"/>
                <w:szCs w:val="22"/>
                <w:lang w:eastAsia="en-US"/>
              </w:rPr>
              <w:instrText xml:space="preserve"> ADDIN ZOTERO_ITEM CSL_CITATION {"citationID":"4KBsBauK","properties":{"formattedCitation":"(Zoccali et al. 2004)","plainCitation":"(Zoccali et al. 2004)","noteIndex":0},"citationItems":[{"id":"icAKTbcq/5Tsurjth","uris":["http://zotero.org/users/local/6AAULdbe/items/HSVRA5NP"],"uri":["http://zotero.org/users/local/6AAULdbe/items/HSVRA5NP"],"itemData":{"id":226,"type":"article-journal","abstract":"The development of therapeutic strategies to effectively treat negative symptoms remains one of the primary goals in the treatment of schizophrenia. Mirtazapine is the first of a new class of dual action compounds, the noradrenergic and specific serotonergic antidepressants (NaSSa), whose activity is related to the enhancement of noradrenergic and serotonergic transmission by a presynaptic alpha2 antagonism and postsynaptic 5-HT2 and 5-HT3 antagonism, respectively. This study was a 8-week double-blind, randomized, placebo-controlled trial of 30 mg adjunctive mirtazapine to clozapine therapy in 24 patients with DSM-IV schizophrenia. The main finding at the end of the trial was a significant reduction on the Scale for the Assessment of Negative Symptoms (SANS) total scores in the mirtazapine group compared to placebo (P&lt;0.01) with a significant improvement on the SANS subscales avolition/apathy and anhedonia/asociality. The Brief Psychiatric Rating Scale total score at week 8 showed superiority of mirtazapine over placebo. These findings suggest a potential role for mirtazapine as an augmentation strategy in the treatment of negative symptoms of schizophrenia.","container-title":"International Clinical Psychopharmacology","DOI":"10.1097/00004850-200403000-00003","ISSN":"0268-1315","issue":"2","journalAbbreviation":"Int Clin Psychopharmacol","language":"eng","note":"PMID: 15076014","page":"71-76","source":"PubMed","title":"The effect of mirtazapine augmentation of clozapine in the treatment of negative symptoms of schizophrenia: a double-blind, placebo-controlled study","title-short":"The effect of mirtazapine augmentation of clozapine in the treatment of negative symptoms of schizophrenia","volume":"19","author":[{"family":"Zoccali","given":"Rocco"},{"family":"Muscatello","given":"Maria Rosaria"},{"family":"Cedro","given":"Clemente"},{"family":"Neri","given":"Pietro"},{"family":"La Torre","given":"Diletta"},{"family":"Spina","given":"Edoardo"},{"family":"Di Rosa","given":"Antonio Enrico"},{"family":"Meduri","given":"Mario"}],"issued":{"date-parts":[["2004",3]]}}}],"schema":"https://github.com/citation-style-language/schema/raw/master/csl-citation.json"} </w:instrText>
            </w:r>
            <w:r w:rsidRPr="00137D87">
              <w:rPr>
                <w:rFonts w:ascii="Times New Roman" w:hAnsi="Times New Roman"/>
                <w:szCs w:val="22"/>
              </w:rPr>
              <w:fldChar w:fldCharType="separate"/>
            </w:r>
            <w:r w:rsidR="00E307D4" w:rsidRPr="00137D87">
              <w:rPr>
                <w:rFonts w:ascii="Times New Roman" w:hAnsi="Times New Roman"/>
                <w:sz w:val="22"/>
                <w:szCs w:val="22"/>
              </w:rPr>
              <w:t>Zoccali et al. 2004</w:t>
            </w:r>
            <w:r w:rsidRPr="00137D87">
              <w:rPr>
                <w:rFonts w:ascii="Times New Roman" w:hAnsi="Times New Roman"/>
                <w:szCs w:val="22"/>
              </w:rPr>
              <w:fldChar w:fldCharType="end"/>
            </w:r>
          </w:p>
        </w:tc>
        <w:tc>
          <w:tcPr>
            <w:tcW w:w="1475" w:type="dxa"/>
            <w:tcBorders>
              <w:top w:val="single" w:sz="4" w:space="0" w:color="auto"/>
              <w:left w:val="single" w:sz="4" w:space="0" w:color="auto"/>
              <w:bottom w:val="single" w:sz="4" w:space="0" w:color="auto"/>
              <w:right w:val="single" w:sz="4" w:space="0" w:color="auto"/>
            </w:tcBorders>
          </w:tcPr>
          <w:p w:rsidR="00641D7D" w:rsidRPr="00137D87" w:rsidRDefault="00E307D4" w:rsidP="00A20CAF">
            <w:pPr>
              <w:rPr>
                <w:rFonts w:ascii="Times New Roman" w:hAnsi="Times New Roman"/>
                <w:sz w:val="22"/>
                <w:szCs w:val="22"/>
              </w:rPr>
            </w:pPr>
            <w:r w:rsidRPr="00137D87">
              <w:rPr>
                <w:rFonts w:ascii="Times New Roman" w:eastAsiaTheme="minorHAnsi" w:hAnsi="Times New Roman"/>
                <w:sz w:val="22"/>
                <w:szCs w:val="22"/>
                <w:lang w:eastAsia="en-US"/>
              </w:rPr>
              <w:t>Mirtazapine</w:t>
            </w:r>
          </w:p>
        </w:tc>
        <w:tc>
          <w:tcPr>
            <w:tcW w:w="943"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24</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Mir- 30.7±6.5; P- 33.4±9.0</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Mir- M- 6, F-4;</w:t>
            </w:r>
          </w:p>
          <w:p w:rsidR="00E33980" w:rsidRPr="00137D87" w:rsidRDefault="00E307D4" w:rsidP="00A20CAF">
            <w:pPr>
              <w:jc w:val="both"/>
              <w:rPr>
                <w:rFonts w:ascii="Times New Roman" w:hAnsi="Times New Roman"/>
                <w:sz w:val="22"/>
                <w:szCs w:val="22"/>
              </w:rPr>
            </w:pPr>
            <w:r w:rsidRPr="00137D87">
              <w:rPr>
                <w:rFonts w:ascii="Times New Roman" w:hAnsi="Times New Roman"/>
                <w:sz w:val="22"/>
                <w:szCs w:val="22"/>
              </w:rPr>
              <w:t>P- M- 7, F-3</w:t>
            </w:r>
          </w:p>
        </w:tc>
        <w:tc>
          <w:tcPr>
            <w:tcW w:w="2440" w:type="dxa"/>
            <w:tcBorders>
              <w:top w:val="single" w:sz="4" w:space="0" w:color="auto"/>
              <w:left w:val="single" w:sz="4" w:space="0" w:color="auto"/>
              <w:bottom w:val="single" w:sz="4" w:space="0" w:color="auto"/>
              <w:right w:val="single" w:sz="4" w:space="0" w:color="auto"/>
            </w:tcBorders>
          </w:tcPr>
          <w:p w:rsidR="00E33980" w:rsidRPr="00137D87" w:rsidRDefault="008761E0" w:rsidP="00E33980">
            <w:pPr>
              <w:autoSpaceDE w:val="0"/>
              <w:autoSpaceDN w:val="0"/>
              <w:adjustRightInd w:val="0"/>
              <w:rPr>
                <w:rFonts w:ascii="Times New Roman" w:hAnsi="Times New Roman"/>
                <w:sz w:val="22"/>
                <w:szCs w:val="22"/>
                <w:lang w:val="en-US"/>
              </w:rPr>
            </w:pPr>
            <w:r w:rsidRPr="00137D87">
              <w:rPr>
                <w:rFonts w:ascii="Times New Roman" w:hAnsi="Times New Roman"/>
                <w:sz w:val="22"/>
                <w:szCs w:val="22"/>
                <w:lang w:val="en-US"/>
              </w:rPr>
              <w:t>Presence of</w:t>
            </w:r>
            <w:r w:rsidR="00E307D4" w:rsidRPr="00137D87">
              <w:rPr>
                <w:rFonts w:ascii="Times New Roman" w:hAnsi="Times New Roman"/>
                <w:sz w:val="22"/>
                <w:szCs w:val="22"/>
                <w:lang w:val="en-US"/>
              </w:rPr>
              <w:t xml:space="preserve"> persistent negative symptoms despite</w:t>
            </w:r>
            <w:r w:rsidRPr="00137D87">
              <w:rPr>
                <w:rFonts w:ascii="Times New Roman" w:hAnsi="Times New Roman"/>
                <w:sz w:val="22"/>
                <w:szCs w:val="22"/>
                <w:lang w:val="en-US"/>
              </w:rPr>
              <w:t xml:space="preserve"> receiving </w:t>
            </w:r>
          </w:p>
          <w:p w:rsidR="00641D7D" w:rsidRPr="00137D87" w:rsidRDefault="00E307D4" w:rsidP="008761E0">
            <w:pPr>
              <w:jc w:val="both"/>
              <w:rPr>
                <w:rFonts w:ascii="Times New Roman" w:hAnsi="Times New Roman"/>
                <w:sz w:val="22"/>
                <w:szCs w:val="22"/>
              </w:rPr>
            </w:pPr>
            <w:r w:rsidRPr="00137D87">
              <w:rPr>
                <w:rFonts w:ascii="Times New Roman" w:hAnsi="Times New Roman"/>
                <w:sz w:val="22"/>
                <w:szCs w:val="22"/>
                <w:lang w:val="en-US"/>
              </w:rPr>
              <w:t xml:space="preserve">an adequate trial of clozapine </w:t>
            </w:r>
          </w:p>
        </w:tc>
        <w:tc>
          <w:tcPr>
            <w:tcW w:w="1134"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 xml:space="preserve">8 </w:t>
            </w:r>
          </w:p>
        </w:tc>
        <w:tc>
          <w:tcPr>
            <w:tcW w:w="1275"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 xml:space="preserve">BPRS </w:t>
            </w:r>
          </w:p>
        </w:tc>
        <w:tc>
          <w:tcPr>
            <w:tcW w:w="851"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5.265</w:t>
            </w:r>
          </w:p>
        </w:tc>
        <w:tc>
          <w:tcPr>
            <w:tcW w:w="992"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3.574</w:t>
            </w:r>
          </w:p>
        </w:tc>
        <w:tc>
          <w:tcPr>
            <w:tcW w:w="1985" w:type="dxa"/>
            <w:tcBorders>
              <w:top w:val="single" w:sz="4" w:space="0" w:color="auto"/>
              <w:left w:val="single" w:sz="4" w:space="0" w:color="auto"/>
              <w:bottom w:val="single" w:sz="4" w:space="0" w:color="auto"/>
              <w:right w:val="single" w:sz="4" w:space="0" w:color="auto"/>
            </w:tcBorders>
            <w:hideMark/>
          </w:tcPr>
          <w:p w:rsidR="00641D7D" w:rsidRPr="00137D87" w:rsidRDefault="00E307D4" w:rsidP="00A20CAF">
            <w:pPr>
              <w:jc w:val="both"/>
              <w:rPr>
                <w:rFonts w:ascii="Times New Roman" w:hAnsi="Times New Roman"/>
                <w:sz w:val="22"/>
                <w:szCs w:val="22"/>
              </w:rPr>
            </w:pPr>
            <w:r w:rsidRPr="00137D87">
              <w:rPr>
                <w:rFonts w:ascii="Times New Roman" w:hAnsi="Times New Roman"/>
                <w:sz w:val="22"/>
                <w:szCs w:val="22"/>
              </w:rPr>
              <w:t>6.956</w:t>
            </w:r>
          </w:p>
        </w:tc>
      </w:tr>
      <w:tr w:rsidR="007372A4" w:rsidRPr="00137D87" w:rsidTr="00A9169F">
        <w:tc>
          <w:tcPr>
            <w:tcW w:w="1468"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widowControl w:val="0"/>
              <w:autoSpaceDE w:val="0"/>
              <w:autoSpaceDN w:val="0"/>
              <w:adjustRightInd w:val="0"/>
              <w:jc w:val="both"/>
              <w:rPr>
                <w:rFonts w:ascii="Times New Roman" w:eastAsiaTheme="minorHAnsi" w:hAnsi="Times New Roman"/>
                <w:sz w:val="22"/>
                <w:szCs w:val="22"/>
                <w:lang w:eastAsia="en-US"/>
              </w:rPr>
            </w:pPr>
            <w:r w:rsidRPr="00137D87">
              <w:rPr>
                <w:rFonts w:ascii="Times New Roman" w:eastAsiaTheme="minorHAnsi" w:hAnsi="Times New Roman"/>
                <w:sz w:val="22"/>
                <w:szCs w:val="22"/>
                <w:lang w:eastAsia="en-US"/>
              </w:rPr>
              <w:t>Berk et al., 2009</w:t>
            </w:r>
          </w:p>
        </w:tc>
        <w:tc>
          <w:tcPr>
            <w:tcW w:w="1475"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rPr>
                <w:rFonts w:ascii="Times New Roman" w:hAnsi="Times New Roman"/>
                <w:sz w:val="22"/>
                <w:szCs w:val="22"/>
              </w:rPr>
            </w:pPr>
            <w:r w:rsidRPr="00137D87">
              <w:rPr>
                <w:rFonts w:ascii="Times New Roman" w:eastAsiaTheme="minorHAnsi" w:hAnsi="Times New Roman"/>
                <w:sz w:val="22"/>
                <w:szCs w:val="22"/>
                <w:lang w:eastAsia="en-US"/>
              </w:rPr>
              <w:t>Mirtazapine</w:t>
            </w:r>
          </w:p>
        </w:tc>
        <w:tc>
          <w:tcPr>
            <w:tcW w:w="943"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38</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0418A5">
            <w:pPr>
              <w:jc w:val="both"/>
              <w:rPr>
                <w:rFonts w:ascii="Times New Roman" w:hAnsi="Times New Roman"/>
                <w:sz w:val="22"/>
                <w:szCs w:val="22"/>
              </w:rPr>
            </w:pPr>
            <w:r w:rsidRPr="00137D87">
              <w:rPr>
                <w:rFonts w:ascii="Times New Roman" w:hAnsi="Times New Roman"/>
                <w:sz w:val="22"/>
                <w:szCs w:val="22"/>
              </w:rPr>
              <w:t>Mir – 37.8±10.86; P- 35.9±9.20</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Mir- M-14; F-4; P- M-18, F-2</w:t>
            </w:r>
          </w:p>
        </w:tc>
        <w:tc>
          <w:tcPr>
            <w:tcW w:w="2440"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Not mentioned specifically</w:t>
            </w:r>
          </w:p>
        </w:tc>
        <w:tc>
          <w:tcPr>
            <w:tcW w:w="1134"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PANSS-P</w:t>
            </w:r>
          </w:p>
        </w:tc>
        <w:tc>
          <w:tcPr>
            <w:tcW w:w="851"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-0.570</w:t>
            </w:r>
          </w:p>
        </w:tc>
        <w:tc>
          <w:tcPr>
            <w:tcW w:w="992"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-1.229</w:t>
            </w:r>
          </w:p>
        </w:tc>
        <w:tc>
          <w:tcPr>
            <w:tcW w:w="1985"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0.072</w:t>
            </w:r>
          </w:p>
        </w:tc>
      </w:tr>
      <w:tr w:rsidR="007372A4" w:rsidRPr="00137D87" w:rsidTr="00A9169F">
        <w:tc>
          <w:tcPr>
            <w:tcW w:w="1468" w:type="dxa"/>
            <w:tcBorders>
              <w:top w:val="single" w:sz="4" w:space="0" w:color="auto"/>
              <w:left w:val="single" w:sz="4" w:space="0" w:color="auto"/>
              <w:bottom w:val="single" w:sz="4" w:space="0" w:color="auto"/>
              <w:right w:val="single" w:sz="4" w:space="0" w:color="auto"/>
            </w:tcBorders>
          </w:tcPr>
          <w:p w:rsidR="00641D7D" w:rsidRPr="00137D87" w:rsidRDefault="00A62B74" w:rsidP="008761E0">
            <w:pPr>
              <w:widowControl w:val="0"/>
              <w:autoSpaceDE w:val="0"/>
              <w:autoSpaceDN w:val="0"/>
              <w:adjustRightInd w:val="0"/>
              <w:jc w:val="both"/>
              <w:rPr>
                <w:rFonts w:ascii="Times New Roman" w:hAnsi="Times New Roman"/>
                <w:sz w:val="22"/>
                <w:szCs w:val="22"/>
              </w:rPr>
            </w:pPr>
            <w:r w:rsidRPr="00137D87">
              <w:rPr>
                <w:rFonts w:ascii="Times New Roman" w:hAnsi="Times New Roman"/>
                <w:szCs w:val="22"/>
              </w:rPr>
              <w:fldChar w:fldCharType="begin"/>
            </w:r>
            <w:r w:rsidR="00E307D4" w:rsidRPr="00137D87">
              <w:rPr>
                <w:rFonts w:ascii="Times New Roman" w:hAnsi="Times New Roman"/>
                <w:sz w:val="22"/>
                <w:szCs w:val="22"/>
              </w:rPr>
              <w:instrText xml:space="preserve"> ADDIN ZOTERO_ITEM CSL_CITATION {"citationID":"IYibLkVn","properties":{"formattedCitation":"(Mico\\uc0\\u8217{} et al. 2011)","plainCitation":"(Mico’ et al. 2011)","noteIndex":0},"citationItems":[{"id":"icAKTbcq/UP45UV9q","uris":["http://zotero.org/users/local/6AAULdbe/items/2LEKB57P"],"uri":["http://zotero.org/users/local/6AAULdbe/items/2LEKB57P"],"itemData":{"id":275,"type":"article-journal","abstract":"Antidepressant drugs have often been used as an augmentation strategy for those patients who have demonstrated a suboptimal response to clozapine. The present 16-week double-blind, randomized, placebo-controlled trial study aimed to explore the efficacy and tolerability of duloxetine add-on pharmacotherapy on clinical symptomatology and executive cognitive functioning in a sample of patients with treatment-resistant schizophrenia receiving clozapine. After clinical and neurocognitive assessments, the patients were randomly allocated to receive, in a double-blind design, at a dose of 60 mg per day of duloxetine or a placebo. A final sample of 33 patients completed the study. The results obtained indicate that duloxetine added to stable clozapine treatment showed a beneficial effect on the negative and general psychopathological symptomatology in a sample of treatment-resistant schizophrenic patients. With regard to executive cognitive functions, duloxetine augmentation of clozapine had no significant effects. The findings provide evidence that duloxetine augmentation of clozapine treatment is safe and well tolerated and may be of benefit for patients who are partially responsive to clozapine monotherapy.","container-title":"International Clinical Psychopharmacology","DOI":"10.1097/YIC.0b013e32834bbc0d","ISSN":"1473-5857","issue":"6","journalAbbreviation":"Int Clin Psychopharmacol","language":"eng","note":"PMID: 21934625","page":"303-310","source":"PubMed","title":"Duloxetine as adjunctive treatment to clozapine in patients with schizophrenia:  a randomized, placebo-controlled trial","title-short":"Duloxetine as adjunctive treatment to clozapine in patients with schizophrenia","volume":"26","author":[{"family":"Mico'","given":"Umberto"},{"family":"Bruno","given":"Antonio"},{"family":"Pandolfo","given":"Gianluca"},{"family":"Maria Romeo","given":"Vincenzo"},{"family":"Mallamace","given":"Domenico"},{"family":"D'Arrigo","given":"Concetta"},{"family":"Spina","given":"Edoardo"},{"family":"Zoccali","given":"Rocco A."},{"family":"Muscatello","given":"Maria Rosaria A."}],"issued":{"date-parts":[["2011",11]]}}}],"schema":"https://github.com/citation-style-language/schema/raw/master/csl-citation.json"} </w:instrText>
            </w:r>
            <w:r w:rsidRPr="00137D87">
              <w:rPr>
                <w:rFonts w:ascii="Times New Roman" w:hAnsi="Times New Roman"/>
                <w:szCs w:val="22"/>
              </w:rPr>
              <w:fldChar w:fldCharType="separate"/>
            </w:r>
            <w:r w:rsidR="00E307D4" w:rsidRPr="00137D87">
              <w:rPr>
                <w:rFonts w:ascii="Times New Roman" w:hAnsi="Times New Roman"/>
                <w:sz w:val="22"/>
                <w:szCs w:val="22"/>
              </w:rPr>
              <w:t>Mico’ et al. 2011</w:t>
            </w:r>
            <w:r w:rsidRPr="00137D87">
              <w:rPr>
                <w:rFonts w:ascii="Times New Roman" w:hAnsi="Times New Roman"/>
                <w:szCs w:val="22"/>
              </w:rPr>
              <w:fldChar w:fldCharType="end"/>
            </w:r>
          </w:p>
        </w:tc>
        <w:tc>
          <w:tcPr>
            <w:tcW w:w="1475"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rPr>
                <w:rFonts w:ascii="Times New Roman" w:hAnsi="Times New Roman"/>
                <w:sz w:val="22"/>
                <w:szCs w:val="22"/>
              </w:rPr>
            </w:pPr>
            <w:r w:rsidRPr="00137D87">
              <w:rPr>
                <w:rFonts w:ascii="Times New Roman" w:hAnsi="Times New Roman"/>
                <w:sz w:val="22"/>
                <w:szCs w:val="22"/>
              </w:rPr>
              <w:t>Duloxetine</w:t>
            </w:r>
          </w:p>
        </w:tc>
        <w:tc>
          <w:tcPr>
            <w:tcW w:w="943"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33</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D- 35.9±7.1</w:t>
            </w:r>
          </w:p>
          <w:p w:rsidR="000418A5" w:rsidRPr="00137D87" w:rsidRDefault="00E307D4" w:rsidP="00E37B59">
            <w:pPr>
              <w:jc w:val="both"/>
              <w:rPr>
                <w:rFonts w:ascii="Times New Roman" w:hAnsi="Times New Roman"/>
                <w:sz w:val="22"/>
                <w:szCs w:val="22"/>
              </w:rPr>
            </w:pPr>
            <w:r w:rsidRPr="00137D87">
              <w:rPr>
                <w:rFonts w:ascii="Times New Roman" w:hAnsi="Times New Roman"/>
                <w:sz w:val="22"/>
                <w:szCs w:val="22"/>
              </w:rPr>
              <w:t>P- 34±6.8</w:t>
            </w:r>
          </w:p>
        </w:tc>
        <w:tc>
          <w:tcPr>
            <w:tcW w:w="1073"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D- M- 13; P- 11</w:t>
            </w:r>
          </w:p>
        </w:tc>
        <w:tc>
          <w:tcPr>
            <w:tcW w:w="2440" w:type="dxa"/>
            <w:tcBorders>
              <w:top w:val="single" w:sz="4" w:space="0" w:color="auto"/>
              <w:left w:val="single" w:sz="4" w:space="0" w:color="auto"/>
              <w:bottom w:val="single" w:sz="4" w:space="0" w:color="auto"/>
              <w:right w:val="single" w:sz="4" w:space="0" w:color="auto"/>
            </w:tcBorders>
          </w:tcPr>
          <w:p w:rsidR="00641D7D" w:rsidRPr="00137D87" w:rsidRDefault="008761E0" w:rsidP="000418A5">
            <w:pPr>
              <w:autoSpaceDE w:val="0"/>
              <w:autoSpaceDN w:val="0"/>
              <w:adjustRightInd w:val="0"/>
              <w:rPr>
                <w:rFonts w:ascii="Times New Roman" w:hAnsi="Times New Roman"/>
                <w:sz w:val="22"/>
                <w:szCs w:val="22"/>
              </w:rPr>
            </w:pPr>
            <w:r w:rsidRPr="00137D87">
              <w:rPr>
                <w:rFonts w:ascii="Times New Roman" w:hAnsi="Times New Roman"/>
                <w:sz w:val="22"/>
                <w:szCs w:val="22"/>
                <w:lang w:val="en-US"/>
              </w:rPr>
              <w:t>Presence of persistent positive and negative symptoms (BPRS score of at least 25) despite an adequate trial of clozapine</w:t>
            </w:r>
          </w:p>
        </w:tc>
        <w:tc>
          <w:tcPr>
            <w:tcW w:w="1134"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 xml:space="preserve">16 </w:t>
            </w:r>
          </w:p>
        </w:tc>
        <w:tc>
          <w:tcPr>
            <w:tcW w:w="1275"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PANSS</w:t>
            </w:r>
          </w:p>
        </w:tc>
        <w:tc>
          <w:tcPr>
            <w:tcW w:w="851"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1.229</w:t>
            </w:r>
          </w:p>
        </w:tc>
        <w:tc>
          <w:tcPr>
            <w:tcW w:w="992"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0.553</w:t>
            </w:r>
          </w:p>
        </w:tc>
        <w:tc>
          <w:tcPr>
            <w:tcW w:w="1985" w:type="dxa"/>
            <w:tcBorders>
              <w:top w:val="single" w:sz="4" w:space="0" w:color="auto"/>
              <w:left w:val="single" w:sz="4" w:space="0" w:color="auto"/>
              <w:bottom w:val="single" w:sz="4" w:space="0" w:color="auto"/>
              <w:right w:val="single" w:sz="4" w:space="0" w:color="auto"/>
            </w:tcBorders>
          </w:tcPr>
          <w:p w:rsidR="00641D7D" w:rsidRPr="00137D87" w:rsidRDefault="00E307D4" w:rsidP="00E37B59">
            <w:pPr>
              <w:jc w:val="both"/>
              <w:rPr>
                <w:rFonts w:ascii="Times New Roman" w:hAnsi="Times New Roman"/>
                <w:sz w:val="22"/>
                <w:szCs w:val="22"/>
              </w:rPr>
            </w:pPr>
            <w:r w:rsidRPr="00137D87">
              <w:rPr>
                <w:rFonts w:ascii="Times New Roman" w:hAnsi="Times New Roman"/>
                <w:sz w:val="22"/>
                <w:szCs w:val="22"/>
              </w:rPr>
              <w:t>1.905</w:t>
            </w:r>
          </w:p>
        </w:tc>
      </w:tr>
    </w:tbl>
    <w:p w:rsidR="000E7B8F" w:rsidRPr="00137D87" w:rsidRDefault="00E307D4" w:rsidP="000E7B8F">
      <w:pPr>
        <w:rPr>
          <w:rFonts w:ascii="Times New Roman" w:hAnsi="Times New Roman" w:cs="Times New Roman"/>
          <w:sz w:val="24"/>
          <w:szCs w:val="24"/>
        </w:rPr>
      </w:pPr>
      <w:r w:rsidRPr="00137D87">
        <w:rPr>
          <w:rFonts w:ascii="Times New Roman" w:hAnsi="Times New Roman" w:cs="Times New Roman"/>
          <w:sz w:val="24"/>
          <w:szCs w:val="24"/>
        </w:rPr>
        <w:t>BPRS: Brief Psychiatric Rating Scale; BPRS-P: Positive symptom subscale of BPRS; PANSS: Positive and Negative Syndrome Scale</w:t>
      </w: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rPr>
          <w:rFonts w:ascii="Times New Roman" w:hAnsi="Times New Roman" w:cs="Times New Roman"/>
          <w:b/>
          <w:sz w:val="24"/>
          <w:szCs w:val="24"/>
        </w:rPr>
      </w:pPr>
    </w:p>
    <w:p w:rsidR="000E7B8F" w:rsidRPr="00137D87" w:rsidRDefault="000E7B8F" w:rsidP="000E7B8F">
      <w:pPr>
        <w:spacing w:after="0" w:line="240" w:lineRule="auto"/>
        <w:jc w:val="both"/>
        <w:rPr>
          <w:rFonts w:ascii="Times New Roman" w:hAnsi="Times New Roman" w:cs="Times New Roman"/>
          <w:b/>
          <w:sz w:val="24"/>
          <w:szCs w:val="24"/>
        </w:rPr>
      </w:pPr>
    </w:p>
    <w:p w:rsidR="000E7B8F" w:rsidRPr="00137D87" w:rsidRDefault="000E7B8F"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AF2FFB" w:rsidRPr="00137D87" w:rsidRDefault="00AF2FFB" w:rsidP="000E7B8F">
      <w:pPr>
        <w:spacing w:after="0" w:line="240" w:lineRule="auto"/>
        <w:jc w:val="both"/>
        <w:rPr>
          <w:rFonts w:ascii="Times New Roman" w:hAnsi="Times New Roman" w:cs="Times New Roman"/>
          <w:b/>
          <w:sz w:val="24"/>
          <w:szCs w:val="24"/>
        </w:rPr>
      </w:pPr>
    </w:p>
    <w:p w:rsidR="000E7B8F" w:rsidRPr="00137D87" w:rsidRDefault="00E307D4" w:rsidP="000E7B8F">
      <w:pPr>
        <w:spacing w:after="0" w:line="240" w:lineRule="auto"/>
        <w:jc w:val="both"/>
        <w:rPr>
          <w:rFonts w:ascii="Times New Roman" w:hAnsi="Times New Roman" w:cs="Times New Roman"/>
          <w:b/>
          <w:sz w:val="24"/>
          <w:szCs w:val="24"/>
        </w:rPr>
      </w:pPr>
      <w:r w:rsidRPr="00137D87">
        <w:rPr>
          <w:rFonts w:ascii="Times New Roman" w:hAnsi="Times New Roman" w:cs="Times New Roman"/>
          <w:b/>
          <w:sz w:val="24"/>
          <w:szCs w:val="24"/>
        </w:rPr>
        <w:t>Supplementary Table 2: Risk of bias in the included studies</w:t>
      </w:r>
    </w:p>
    <w:p w:rsidR="000E7B8F" w:rsidRPr="00137D87" w:rsidRDefault="000E7B8F" w:rsidP="000E7B8F">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XSpec="center" w:tblpY="53"/>
        <w:tblW w:w="12798" w:type="dxa"/>
        <w:tblLayout w:type="fixed"/>
        <w:tblLook w:val="04A0"/>
      </w:tblPr>
      <w:tblGrid>
        <w:gridCol w:w="2235"/>
        <w:gridCol w:w="3334"/>
        <w:gridCol w:w="1276"/>
        <w:gridCol w:w="1276"/>
        <w:gridCol w:w="1275"/>
        <w:gridCol w:w="1134"/>
        <w:gridCol w:w="1276"/>
        <w:gridCol w:w="992"/>
      </w:tblGrid>
      <w:tr w:rsidR="007372A4" w:rsidRPr="00137D87" w:rsidTr="00AF2FFB">
        <w:tc>
          <w:tcPr>
            <w:tcW w:w="2235" w:type="dxa"/>
          </w:tcPr>
          <w:p w:rsidR="000E7B8F" w:rsidRPr="00137D87" w:rsidRDefault="000E7B8F" w:rsidP="00A20CAF">
            <w:pPr>
              <w:rPr>
                <w:rFonts w:ascii="Times New Roman" w:hAnsi="Times New Roman"/>
                <w:b/>
                <w:bCs/>
                <w:sz w:val="24"/>
                <w:szCs w:val="24"/>
              </w:rPr>
            </w:pPr>
          </w:p>
        </w:tc>
        <w:tc>
          <w:tcPr>
            <w:tcW w:w="33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Author(s),year</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Random sequence</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Allocation concealment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Blinding of participants and personnel</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Blinding of outcome assessment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Incomplete outcome data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Jadad score</w:t>
            </w:r>
          </w:p>
        </w:tc>
      </w:tr>
      <w:tr w:rsidR="007372A4" w:rsidRPr="00137D87" w:rsidTr="00AF2FFB">
        <w:tc>
          <w:tcPr>
            <w:tcW w:w="2235" w:type="dxa"/>
          </w:tcPr>
          <w:p w:rsidR="000E7B8F" w:rsidRPr="00137D87" w:rsidRDefault="00E307D4" w:rsidP="00A20CAF">
            <w:pPr>
              <w:spacing w:line="360" w:lineRule="auto"/>
              <w:jc w:val="both"/>
              <w:rPr>
                <w:rFonts w:ascii="Times New Roman" w:hAnsi="Times New Roman"/>
                <w:b/>
                <w:bCs/>
                <w:sz w:val="24"/>
                <w:szCs w:val="24"/>
              </w:rPr>
            </w:pPr>
            <w:r w:rsidRPr="00137D87">
              <w:rPr>
                <w:rFonts w:ascii="Times New Roman" w:hAnsi="Times New Roman"/>
                <w:b/>
                <w:bCs/>
                <w:sz w:val="24"/>
                <w:szCs w:val="24"/>
              </w:rPr>
              <w:t>Risperidone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Josiassen et al.,2005</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Risperidone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Anil Yagcioglu et al.,2005</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Risperidone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Honer et al.,2006</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Risperidone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Freudenreich et al.,2007</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Risperidone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Weiner et al.,2010</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5"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3</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Sulpiride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Shiloh et al.,1997</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Amisulpiride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Barnes et al.,2017</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Aripiprazole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 xml:space="preserve">Chang et al., 2008 </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Aripiprazole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Fleischhackeret al., 2010</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Aripiprazole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Muscatello et al.,2011</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Sertindole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Nielsen et al.,2012</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Pimozide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Friedman et al.,2011</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1</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Ziprasidone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Muscatello et al, 2014</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Haloperidol</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Mossaheb et al, 2006</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134"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1</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Lamotrigine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Tiihonen et al.,2003</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Lamotrigine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Zoccali et al.,2007</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Lamotrigine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Vayisoglu et al.,2013</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Lamotrigine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Kremer et al.,2004</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Lamotrigine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Goff et al.,2007</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Topiramate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Muscatello  et al.,2011</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Topiramate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Behadni et al.,2011</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Topiramate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Tiihonen et al.,2005</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3</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Topiramate</w:t>
            </w:r>
          </w:p>
        </w:tc>
        <w:tc>
          <w:tcPr>
            <w:tcW w:w="33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Afshar et al.,2009</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Fluoxetine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Buchanan et al.,1996</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5"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2</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Mirtazapine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Zoccali  et al.,2004</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5"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1</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Duloxetine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Mico et al.,2011</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Memantine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De Lucena et al, 2009</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2</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Memantine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Veerman  et al., 2016</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Glycine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Potkin et al.,1999</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3</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Glycine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Evins et al.,2000</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1</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Glycine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Diaz et al.,2005</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1</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D-Cycloserine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Goff et al.,1999</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D-serine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Tsai et al.,1999</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3</w:t>
            </w:r>
          </w:p>
        </w:tc>
      </w:tr>
      <w:tr w:rsidR="007372A4" w:rsidRPr="00137D87" w:rsidTr="00AF2FFB">
        <w:tc>
          <w:tcPr>
            <w:tcW w:w="2235" w:type="dxa"/>
          </w:tcPr>
          <w:p w:rsidR="000E7B8F" w:rsidRPr="00137D87" w:rsidRDefault="00E307D4" w:rsidP="00AF2FFB">
            <w:pPr>
              <w:rPr>
                <w:rFonts w:ascii="Times New Roman" w:hAnsi="Times New Roman"/>
                <w:b/>
                <w:bCs/>
                <w:sz w:val="24"/>
                <w:szCs w:val="24"/>
              </w:rPr>
            </w:pPr>
            <w:r w:rsidRPr="00137D87">
              <w:rPr>
                <w:rFonts w:ascii="Times New Roman" w:hAnsi="Times New Roman"/>
                <w:b/>
                <w:bCs/>
                <w:sz w:val="24"/>
                <w:szCs w:val="24"/>
              </w:rPr>
              <w:t>Sarcosine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Lane et al, 2006</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AmpakineCX516</w:t>
            </w:r>
          </w:p>
        </w:tc>
        <w:tc>
          <w:tcPr>
            <w:tcW w:w="33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Goff et al.,2001</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134"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3</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Ginkgo biloba</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Doruk et al.,2008</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 xml:space="preserve">Minocycline </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Kelly et al.,2015</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Modafinil</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Freudenreich et al.,2009</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N-Acetyl cysteine</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Dean et al.,2015</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ECT</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Petrides et al.,2015</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rTMS</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Rosa et al.,2007</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rTMS</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de Jesus et al.,2011</w:t>
            </w:r>
          </w:p>
        </w:tc>
        <w:tc>
          <w:tcPr>
            <w:tcW w:w="1276" w:type="dxa"/>
          </w:tcPr>
          <w:p w:rsidR="000E7B8F" w:rsidRPr="00137D87" w:rsidRDefault="00E307D4" w:rsidP="00A20CAF">
            <w:pPr>
              <w:rPr>
                <w:rFonts w:ascii="Times New Roman" w:hAnsi="Times New Roman"/>
                <w:b/>
                <w:bCs/>
                <w:sz w:val="24"/>
                <w:szCs w:val="24"/>
                <w:vertAlign w:val="subscript"/>
              </w:rPr>
            </w:pPr>
            <w:r w:rsidRPr="00137D87">
              <w:rPr>
                <w:rFonts w:ascii="Times New Roman" w:hAnsi="Times New Roman"/>
                <w:b/>
                <w:bCs/>
                <w:sz w:val="24"/>
                <w:szCs w:val="24"/>
                <w:vertAlign w:val="subscript"/>
              </w:rPr>
              <w:t>+</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OT</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Buchain et al, 2003</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3</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CBT</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Barretto et al, 2009</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?NA</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4</w:t>
            </w:r>
          </w:p>
        </w:tc>
      </w:tr>
      <w:tr w:rsidR="007372A4" w:rsidRPr="00137D87" w:rsidTr="00AF2FFB">
        <w:tc>
          <w:tcPr>
            <w:tcW w:w="223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CBT</w:t>
            </w:r>
          </w:p>
        </w:tc>
        <w:tc>
          <w:tcPr>
            <w:tcW w:w="3334"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Morrison et al.,2018</w:t>
            </w:r>
          </w:p>
        </w:tc>
        <w:tc>
          <w:tcPr>
            <w:tcW w:w="1276" w:type="dxa"/>
          </w:tcPr>
          <w:p w:rsidR="000E7B8F" w:rsidRPr="00137D87" w:rsidRDefault="00E307D4" w:rsidP="00A20CAF">
            <w:pPr>
              <w:widowControl w:val="0"/>
              <w:autoSpaceDE w:val="0"/>
              <w:autoSpaceDN w:val="0"/>
              <w:adjustRightInd w:val="0"/>
              <w:jc w:val="both"/>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5"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134"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1276"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w:t>
            </w:r>
          </w:p>
        </w:tc>
        <w:tc>
          <w:tcPr>
            <w:tcW w:w="992" w:type="dxa"/>
          </w:tcPr>
          <w:p w:rsidR="000E7B8F" w:rsidRPr="00137D87" w:rsidRDefault="00E307D4" w:rsidP="00A20CAF">
            <w:pPr>
              <w:rPr>
                <w:rFonts w:ascii="Times New Roman" w:hAnsi="Times New Roman"/>
                <w:b/>
                <w:bCs/>
                <w:sz w:val="24"/>
                <w:szCs w:val="24"/>
              </w:rPr>
            </w:pPr>
            <w:r w:rsidRPr="00137D87">
              <w:rPr>
                <w:rFonts w:ascii="Times New Roman" w:hAnsi="Times New Roman"/>
                <w:b/>
                <w:bCs/>
                <w:sz w:val="24"/>
                <w:szCs w:val="24"/>
              </w:rPr>
              <w:t>5</w:t>
            </w:r>
          </w:p>
        </w:tc>
      </w:tr>
    </w:tbl>
    <w:p w:rsidR="000E7B8F" w:rsidRPr="00137D87" w:rsidRDefault="00E307D4" w:rsidP="000E7B8F">
      <w:pPr>
        <w:spacing w:after="0" w:line="240" w:lineRule="auto"/>
        <w:jc w:val="both"/>
        <w:rPr>
          <w:rFonts w:ascii="Times New Roman" w:hAnsi="Times New Roman" w:cs="Times New Roman"/>
          <w:b/>
          <w:sz w:val="24"/>
          <w:szCs w:val="24"/>
        </w:rPr>
      </w:pPr>
      <w:r w:rsidRPr="00137D87">
        <w:rPr>
          <w:rFonts w:ascii="Times New Roman" w:hAnsi="Times New Roman" w:cs="Times New Roman"/>
          <w:b/>
          <w:sz w:val="24"/>
          <w:szCs w:val="24"/>
          <w:lang w:val="en-US" w:bidi="ar-SA"/>
        </w:rPr>
        <w:t>+ – Attribute present; − – Attribute not present; ? NA – Unclear/Not applicable</w:t>
      </w:r>
    </w:p>
    <w:p w:rsidR="000E7B8F" w:rsidRPr="00137D87" w:rsidRDefault="000E7B8F" w:rsidP="000E7B8F">
      <w:pPr>
        <w:spacing w:after="0" w:line="240" w:lineRule="auto"/>
        <w:jc w:val="both"/>
        <w:rPr>
          <w:rFonts w:ascii="Times New Roman" w:hAnsi="Times New Roman" w:cs="Times New Roman"/>
          <w:b/>
          <w:sz w:val="24"/>
          <w:szCs w:val="24"/>
        </w:rPr>
      </w:pPr>
    </w:p>
    <w:p w:rsidR="000E7B8F" w:rsidRPr="00137D87" w:rsidRDefault="000E7B8F" w:rsidP="006D5642">
      <w:pPr>
        <w:rPr>
          <w:rFonts w:ascii="Times New Roman" w:hAnsi="Times New Roman" w:cs="Times New Roman"/>
          <w:b/>
          <w:bCs/>
          <w:sz w:val="24"/>
          <w:szCs w:val="24"/>
        </w:rPr>
      </w:pPr>
    </w:p>
    <w:p w:rsidR="000E7B8F" w:rsidRPr="00137D87" w:rsidRDefault="000E7B8F" w:rsidP="006D5642">
      <w:pPr>
        <w:rPr>
          <w:rFonts w:ascii="Times New Roman" w:hAnsi="Times New Roman" w:cs="Times New Roman"/>
          <w:b/>
          <w:bCs/>
          <w:sz w:val="24"/>
          <w:szCs w:val="24"/>
        </w:rPr>
      </w:pPr>
    </w:p>
    <w:p w:rsidR="000E7B8F" w:rsidRPr="00137D87" w:rsidRDefault="000E7B8F" w:rsidP="006D5642">
      <w:pPr>
        <w:rPr>
          <w:rFonts w:ascii="Times New Roman" w:hAnsi="Times New Roman" w:cs="Times New Roman"/>
          <w:b/>
          <w:bCs/>
          <w:sz w:val="24"/>
          <w:szCs w:val="24"/>
        </w:rPr>
      </w:pPr>
    </w:p>
    <w:p w:rsidR="000E7B8F" w:rsidRPr="00137D87" w:rsidRDefault="000E7B8F" w:rsidP="006D5642">
      <w:pPr>
        <w:rPr>
          <w:rFonts w:ascii="Times New Roman" w:hAnsi="Times New Roman" w:cs="Times New Roman"/>
          <w:b/>
          <w:bCs/>
          <w:sz w:val="24"/>
          <w:szCs w:val="24"/>
        </w:rPr>
      </w:pPr>
    </w:p>
    <w:p w:rsidR="000E7B8F" w:rsidRPr="00137D87" w:rsidRDefault="000E7B8F" w:rsidP="006D5642">
      <w:pPr>
        <w:rPr>
          <w:rFonts w:ascii="Times New Roman" w:hAnsi="Times New Roman" w:cs="Times New Roman"/>
          <w:b/>
          <w:bCs/>
          <w:sz w:val="24"/>
          <w:szCs w:val="24"/>
        </w:rPr>
      </w:pPr>
    </w:p>
    <w:p w:rsidR="000E7B8F" w:rsidRPr="00137D87" w:rsidRDefault="000E7B8F" w:rsidP="006D5642">
      <w:pPr>
        <w:rPr>
          <w:rFonts w:ascii="Times New Roman" w:hAnsi="Times New Roman" w:cs="Times New Roman"/>
          <w:b/>
          <w:bCs/>
          <w:sz w:val="24"/>
          <w:szCs w:val="24"/>
        </w:rPr>
      </w:pPr>
    </w:p>
    <w:p w:rsidR="00C16D03" w:rsidRPr="00137D87" w:rsidRDefault="00E307D4">
      <w:pPr>
        <w:rPr>
          <w:rFonts w:ascii="Times New Roman" w:hAnsi="Times New Roman" w:cs="Times New Roman"/>
          <w:b/>
          <w:bCs/>
          <w:sz w:val="24"/>
          <w:szCs w:val="24"/>
        </w:rPr>
      </w:pPr>
      <w:r w:rsidRPr="00137D87">
        <w:rPr>
          <w:rFonts w:ascii="Times New Roman" w:hAnsi="Times New Roman" w:cs="Times New Roman"/>
          <w:b/>
          <w:bCs/>
          <w:sz w:val="24"/>
          <w:szCs w:val="24"/>
        </w:rPr>
        <w:br w:type="page"/>
      </w:r>
    </w:p>
    <w:p w:rsidR="006D5642" w:rsidRPr="00137D87" w:rsidRDefault="00E307D4" w:rsidP="006D5642">
      <w:pPr>
        <w:rPr>
          <w:rFonts w:ascii="Times New Roman" w:hAnsi="Times New Roman" w:cs="Times New Roman"/>
          <w:b/>
          <w:bCs/>
          <w:sz w:val="24"/>
          <w:szCs w:val="24"/>
        </w:rPr>
      </w:pPr>
      <w:r w:rsidRPr="00137D87">
        <w:rPr>
          <w:rFonts w:ascii="Times New Roman" w:hAnsi="Times New Roman" w:cs="Times New Roman"/>
          <w:b/>
          <w:bCs/>
          <w:sz w:val="24"/>
          <w:szCs w:val="24"/>
        </w:rPr>
        <w:t>Supplement Figure 1: Forest plot of antipsychotic trials</w:t>
      </w:r>
    </w:p>
    <w:p w:rsidR="00C16D03" w:rsidRPr="00137D87" w:rsidRDefault="00E307D4" w:rsidP="006D5642">
      <w:pPr>
        <w:rPr>
          <w:rFonts w:ascii="Times New Roman" w:hAnsi="Times New Roman" w:cs="Times New Roman"/>
          <w:sz w:val="24"/>
          <w:szCs w:val="24"/>
        </w:rPr>
      </w:pPr>
      <w:r w:rsidRPr="00137D87">
        <w:rPr>
          <w:rFonts w:ascii="Times New Roman" w:hAnsi="Times New Roman" w:cs="Times New Roman"/>
          <w:b/>
          <w:noProof/>
          <w:sz w:val="24"/>
          <w:szCs w:val="24"/>
          <w:lang w:val="en-IN" w:eastAsia="en-IN" w:bidi="ar-SA"/>
        </w:rPr>
        <w:drawing>
          <wp:inline distT="0" distB="0" distL="0" distR="0">
            <wp:extent cx="5731510" cy="3337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rest_Plot Antipsychotic.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337560"/>
                    </a:xfrm>
                    <a:prstGeom prst="rect">
                      <a:avLst/>
                    </a:prstGeom>
                  </pic:spPr>
                </pic:pic>
              </a:graphicData>
            </a:graphic>
          </wp:inline>
        </w:drawing>
      </w:r>
    </w:p>
    <w:p w:rsidR="00945BCD" w:rsidRPr="00137D87" w:rsidRDefault="00E307D4" w:rsidP="006D5642">
      <w:pPr>
        <w:rPr>
          <w:rFonts w:ascii="Times New Roman" w:hAnsi="Times New Roman" w:cs="Times New Roman"/>
          <w:sz w:val="24"/>
          <w:szCs w:val="24"/>
        </w:rPr>
      </w:pPr>
      <w:r w:rsidRPr="00137D87">
        <w:rPr>
          <w:rFonts w:ascii="Times New Roman" w:hAnsi="Times New Roman" w:cs="Times New Roman"/>
          <w:sz w:val="24"/>
          <w:szCs w:val="24"/>
        </w:rPr>
        <w:t>Shown as standardized mean differences, Values more than 0 favour intervention than placebo.</w:t>
      </w:r>
    </w:p>
    <w:p w:rsidR="006B0A6E" w:rsidRPr="00137D87" w:rsidRDefault="006B0A6E" w:rsidP="006D5642">
      <w:pPr>
        <w:rPr>
          <w:rFonts w:ascii="Times New Roman" w:hAnsi="Times New Roman" w:cs="Times New Roman"/>
          <w:b/>
          <w:sz w:val="24"/>
          <w:szCs w:val="24"/>
        </w:rPr>
      </w:pPr>
    </w:p>
    <w:p w:rsidR="006B0A6E" w:rsidRPr="00137D87" w:rsidRDefault="006B0A6E" w:rsidP="006D5642">
      <w:pPr>
        <w:rPr>
          <w:rFonts w:ascii="Times New Roman" w:hAnsi="Times New Roman" w:cs="Times New Roman"/>
          <w:b/>
          <w:sz w:val="24"/>
          <w:szCs w:val="24"/>
        </w:rPr>
      </w:pPr>
    </w:p>
    <w:p w:rsidR="006B0A6E" w:rsidRPr="00137D87" w:rsidRDefault="006B0A6E" w:rsidP="006D5642">
      <w:pPr>
        <w:rPr>
          <w:rFonts w:ascii="Times New Roman" w:hAnsi="Times New Roman" w:cs="Times New Roman"/>
          <w:b/>
          <w:sz w:val="24"/>
          <w:szCs w:val="24"/>
        </w:rPr>
      </w:pPr>
    </w:p>
    <w:p w:rsidR="006D5642" w:rsidRPr="00137D87" w:rsidRDefault="00E307D4" w:rsidP="006D5642">
      <w:pPr>
        <w:rPr>
          <w:rFonts w:ascii="Times New Roman" w:hAnsi="Times New Roman" w:cs="Times New Roman"/>
          <w:b/>
          <w:sz w:val="24"/>
          <w:szCs w:val="24"/>
        </w:rPr>
      </w:pPr>
      <w:r w:rsidRPr="00137D87">
        <w:rPr>
          <w:rFonts w:ascii="Times New Roman" w:hAnsi="Times New Roman" w:cs="Times New Roman"/>
          <w:b/>
          <w:sz w:val="24"/>
          <w:szCs w:val="24"/>
        </w:rPr>
        <w:t>Supplementary Figure 2: Forrest plot of mood stabilizers and anticonvulsants for clozapine augmentation</w:t>
      </w:r>
    </w:p>
    <w:p w:rsidR="00C16D03" w:rsidRPr="00137D87" w:rsidRDefault="00E307D4" w:rsidP="006D5642">
      <w:pPr>
        <w:rPr>
          <w:rFonts w:ascii="Times New Roman" w:hAnsi="Times New Roman" w:cs="Times New Roman"/>
          <w:sz w:val="24"/>
          <w:szCs w:val="24"/>
        </w:rPr>
      </w:pPr>
      <w:r w:rsidRPr="00137D87">
        <w:rPr>
          <w:rFonts w:ascii="Times New Roman" w:hAnsi="Times New Roman" w:cs="Times New Roman"/>
          <w:b/>
          <w:noProof/>
          <w:sz w:val="24"/>
          <w:szCs w:val="24"/>
          <w:lang w:val="en-IN" w:eastAsia="en-IN" w:bidi="ar-SA"/>
        </w:rPr>
        <w:drawing>
          <wp:inline distT="0" distB="0" distL="0" distR="0">
            <wp:extent cx="5731510" cy="277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rest_Plot Mood Stabiliz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777490"/>
                    </a:xfrm>
                    <a:prstGeom prst="rect">
                      <a:avLst/>
                    </a:prstGeom>
                  </pic:spPr>
                </pic:pic>
              </a:graphicData>
            </a:graphic>
          </wp:inline>
        </w:drawing>
      </w:r>
    </w:p>
    <w:p w:rsidR="00945BCD" w:rsidRPr="00137D87" w:rsidRDefault="00E307D4" w:rsidP="00945BCD">
      <w:pPr>
        <w:rPr>
          <w:rFonts w:ascii="Times New Roman" w:hAnsi="Times New Roman" w:cs="Times New Roman"/>
          <w:sz w:val="24"/>
          <w:szCs w:val="24"/>
        </w:rPr>
      </w:pPr>
      <w:r w:rsidRPr="00137D87">
        <w:rPr>
          <w:rFonts w:ascii="Times New Roman" w:hAnsi="Times New Roman" w:cs="Times New Roman"/>
          <w:sz w:val="24"/>
          <w:szCs w:val="24"/>
        </w:rPr>
        <w:t>Shown as standardized mean differences, Values more than 0 favour intervention than placebo.</w:t>
      </w:r>
    </w:p>
    <w:p w:rsidR="00945BCD" w:rsidRPr="00137D87" w:rsidRDefault="00945BCD" w:rsidP="006D5642">
      <w:pPr>
        <w:rPr>
          <w:rFonts w:ascii="Times New Roman" w:hAnsi="Times New Roman" w:cs="Times New Roman"/>
          <w:sz w:val="24"/>
          <w:szCs w:val="24"/>
        </w:rPr>
      </w:pPr>
    </w:p>
    <w:p w:rsidR="00C16D03" w:rsidRPr="00137D87" w:rsidRDefault="00E307D4">
      <w:pPr>
        <w:rPr>
          <w:rFonts w:ascii="Times New Roman" w:hAnsi="Times New Roman" w:cs="Times New Roman"/>
          <w:b/>
          <w:sz w:val="24"/>
          <w:szCs w:val="24"/>
        </w:rPr>
      </w:pPr>
      <w:r w:rsidRPr="00137D87">
        <w:rPr>
          <w:rFonts w:ascii="Times New Roman" w:hAnsi="Times New Roman" w:cs="Times New Roman"/>
          <w:b/>
          <w:sz w:val="24"/>
          <w:szCs w:val="24"/>
        </w:rPr>
        <w:br w:type="page"/>
      </w:r>
    </w:p>
    <w:p w:rsidR="006D5642" w:rsidRPr="00137D87" w:rsidRDefault="00E307D4" w:rsidP="006D5642">
      <w:pPr>
        <w:rPr>
          <w:rFonts w:ascii="Times New Roman" w:hAnsi="Times New Roman" w:cs="Times New Roman"/>
          <w:b/>
          <w:sz w:val="24"/>
          <w:szCs w:val="24"/>
        </w:rPr>
      </w:pPr>
      <w:r w:rsidRPr="00137D87">
        <w:rPr>
          <w:rFonts w:ascii="Times New Roman" w:hAnsi="Times New Roman" w:cs="Times New Roman"/>
          <w:b/>
          <w:sz w:val="24"/>
          <w:szCs w:val="24"/>
        </w:rPr>
        <w:t>Supplementary Figure 3: Antidepressant trials for clozapine augmentation</w:t>
      </w:r>
    </w:p>
    <w:p w:rsidR="006D5642" w:rsidRPr="00137D87" w:rsidRDefault="00E307D4" w:rsidP="006D5642">
      <w:pPr>
        <w:rPr>
          <w:rFonts w:ascii="Times New Roman" w:hAnsi="Times New Roman" w:cs="Times New Roman"/>
          <w:sz w:val="24"/>
          <w:szCs w:val="24"/>
        </w:rPr>
      </w:pPr>
      <w:r w:rsidRPr="00137D87">
        <w:rPr>
          <w:rFonts w:ascii="Times New Roman" w:hAnsi="Times New Roman" w:cs="Times New Roman"/>
          <w:noProof/>
          <w:sz w:val="24"/>
          <w:szCs w:val="24"/>
          <w:lang w:val="en-IN" w:eastAsia="en-IN" w:bidi="ar-SA"/>
        </w:rPr>
        <w:drawing>
          <wp:inline distT="0" distB="0" distL="0" distR="0">
            <wp:extent cx="5731510" cy="20567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est_Plot Antidep.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056765"/>
                    </a:xfrm>
                    <a:prstGeom prst="rect">
                      <a:avLst/>
                    </a:prstGeom>
                  </pic:spPr>
                </pic:pic>
              </a:graphicData>
            </a:graphic>
          </wp:inline>
        </w:drawing>
      </w:r>
    </w:p>
    <w:p w:rsidR="00945BCD" w:rsidRPr="00137D87" w:rsidRDefault="00E307D4" w:rsidP="00945BCD">
      <w:pPr>
        <w:rPr>
          <w:rFonts w:ascii="Times New Roman" w:hAnsi="Times New Roman" w:cs="Times New Roman"/>
          <w:sz w:val="24"/>
          <w:szCs w:val="24"/>
        </w:rPr>
      </w:pPr>
      <w:r w:rsidRPr="00137D87">
        <w:rPr>
          <w:rFonts w:ascii="Times New Roman" w:hAnsi="Times New Roman" w:cs="Times New Roman"/>
          <w:sz w:val="24"/>
          <w:szCs w:val="24"/>
        </w:rPr>
        <w:t>Shown as standardized mean differences, Values more than 0 favour intervention than placebo.</w:t>
      </w:r>
    </w:p>
    <w:p w:rsidR="00945BCD" w:rsidRPr="00137D87" w:rsidRDefault="00945BCD" w:rsidP="006D5642">
      <w:pPr>
        <w:rPr>
          <w:rFonts w:ascii="Times New Roman" w:hAnsi="Times New Roman" w:cs="Times New Roman"/>
          <w:sz w:val="24"/>
          <w:szCs w:val="24"/>
        </w:rPr>
      </w:pPr>
    </w:p>
    <w:p w:rsidR="006D5642" w:rsidRPr="00137D87" w:rsidRDefault="006D5642" w:rsidP="006D5642">
      <w:pPr>
        <w:spacing w:after="0" w:line="240" w:lineRule="auto"/>
        <w:rPr>
          <w:rFonts w:ascii="Times New Roman" w:hAnsi="Times New Roman" w:cs="Times New Roman"/>
          <w:b/>
          <w:sz w:val="24"/>
          <w:szCs w:val="24"/>
        </w:rPr>
      </w:pPr>
    </w:p>
    <w:p w:rsidR="006D5642" w:rsidRPr="00137D87" w:rsidRDefault="00E307D4" w:rsidP="006D5642">
      <w:pPr>
        <w:rPr>
          <w:rFonts w:ascii="Times New Roman" w:hAnsi="Times New Roman" w:cs="Times New Roman"/>
          <w:b/>
          <w:sz w:val="24"/>
          <w:szCs w:val="24"/>
        </w:rPr>
      </w:pPr>
      <w:r w:rsidRPr="00137D87">
        <w:rPr>
          <w:rFonts w:ascii="Times New Roman" w:hAnsi="Times New Roman" w:cs="Times New Roman"/>
          <w:b/>
          <w:sz w:val="24"/>
          <w:szCs w:val="24"/>
        </w:rPr>
        <w:t>Supplementary Figure 4: Forest plot of memantine, amino acids and alternate treatments for augmentation of clozapine</w:t>
      </w:r>
    </w:p>
    <w:p w:rsidR="006D5642" w:rsidRPr="00137D87" w:rsidRDefault="00E307D4" w:rsidP="00C16D03">
      <w:pPr>
        <w:jc w:val="both"/>
        <w:rPr>
          <w:rFonts w:ascii="Times New Roman" w:hAnsi="Times New Roman" w:cs="Times New Roman"/>
          <w:sz w:val="24"/>
          <w:szCs w:val="24"/>
        </w:rPr>
      </w:pPr>
      <w:r w:rsidRPr="00137D87">
        <w:rPr>
          <w:rFonts w:ascii="Times New Roman" w:hAnsi="Times New Roman" w:cs="Times New Roman"/>
          <w:noProof/>
          <w:sz w:val="24"/>
          <w:szCs w:val="24"/>
          <w:lang w:val="en-IN" w:eastAsia="en-IN" w:bidi="ar-SA"/>
        </w:rPr>
        <w:drawing>
          <wp:inline distT="0" distB="0" distL="0" distR="0">
            <wp:extent cx="4815840" cy="27360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est_Plot Memantne etc.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15840" cy="2736054"/>
                    </a:xfrm>
                    <a:prstGeom prst="rect">
                      <a:avLst/>
                    </a:prstGeom>
                  </pic:spPr>
                </pic:pic>
              </a:graphicData>
            </a:graphic>
          </wp:inline>
        </w:drawing>
      </w:r>
    </w:p>
    <w:p w:rsidR="00945BCD" w:rsidRPr="00137D87" w:rsidRDefault="00E307D4" w:rsidP="00945BCD">
      <w:pPr>
        <w:rPr>
          <w:rFonts w:ascii="Times New Roman" w:hAnsi="Times New Roman" w:cs="Times New Roman"/>
          <w:sz w:val="24"/>
          <w:szCs w:val="24"/>
        </w:rPr>
      </w:pPr>
      <w:r w:rsidRPr="00137D87">
        <w:rPr>
          <w:rFonts w:ascii="Times New Roman" w:hAnsi="Times New Roman" w:cs="Times New Roman"/>
          <w:sz w:val="24"/>
          <w:szCs w:val="24"/>
        </w:rPr>
        <w:t>Shown as standardized mean differences, Values more than 0 favour intervention than placebo.</w:t>
      </w:r>
    </w:p>
    <w:p w:rsidR="00945BCD" w:rsidRPr="00137D87" w:rsidRDefault="00945BCD" w:rsidP="00C16D03">
      <w:pPr>
        <w:jc w:val="both"/>
        <w:rPr>
          <w:rFonts w:ascii="Times New Roman" w:hAnsi="Times New Roman" w:cs="Times New Roman"/>
          <w:sz w:val="24"/>
          <w:szCs w:val="24"/>
        </w:rPr>
      </w:pPr>
    </w:p>
    <w:p w:rsidR="00945BCD" w:rsidRPr="00137D87" w:rsidRDefault="00E307D4">
      <w:pPr>
        <w:rPr>
          <w:rFonts w:ascii="Times New Roman" w:hAnsi="Times New Roman" w:cs="Times New Roman"/>
          <w:b/>
          <w:sz w:val="24"/>
          <w:szCs w:val="24"/>
        </w:rPr>
      </w:pPr>
      <w:r w:rsidRPr="00137D87">
        <w:rPr>
          <w:rFonts w:ascii="Times New Roman" w:hAnsi="Times New Roman" w:cs="Times New Roman"/>
          <w:b/>
          <w:sz w:val="24"/>
          <w:szCs w:val="24"/>
        </w:rPr>
        <w:br w:type="page"/>
      </w:r>
    </w:p>
    <w:p w:rsidR="006D5642" w:rsidRPr="00137D87" w:rsidRDefault="00E307D4" w:rsidP="006D5642">
      <w:pPr>
        <w:rPr>
          <w:rFonts w:ascii="Times New Roman" w:hAnsi="Times New Roman" w:cs="Times New Roman"/>
          <w:b/>
          <w:sz w:val="24"/>
          <w:szCs w:val="24"/>
        </w:rPr>
      </w:pPr>
      <w:r w:rsidRPr="00137D87">
        <w:rPr>
          <w:rFonts w:ascii="Times New Roman" w:hAnsi="Times New Roman" w:cs="Times New Roman"/>
          <w:b/>
          <w:sz w:val="24"/>
          <w:szCs w:val="24"/>
        </w:rPr>
        <w:t>Supplementary Figure 5: Forest plot of other interventions for augmentation of clozapine</w:t>
      </w:r>
    </w:p>
    <w:p w:rsidR="00C16D03" w:rsidRPr="00137D87" w:rsidRDefault="00E307D4" w:rsidP="006D5642">
      <w:pPr>
        <w:rPr>
          <w:rFonts w:ascii="Times New Roman" w:hAnsi="Times New Roman" w:cs="Times New Roman"/>
          <w:sz w:val="24"/>
          <w:szCs w:val="24"/>
          <w:lang w:bidi="ar-SA"/>
        </w:rPr>
      </w:pPr>
      <w:r w:rsidRPr="00137D87">
        <w:rPr>
          <w:rFonts w:ascii="Times New Roman" w:hAnsi="Times New Roman" w:cs="Times New Roman"/>
          <w:noProof/>
          <w:sz w:val="24"/>
          <w:szCs w:val="24"/>
          <w:lang w:val="en-IN" w:eastAsia="en-IN" w:bidi="ar-SA"/>
        </w:rPr>
        <w:drawing>
          <wp:inline distT="0" distB="0" distL="0" distR="0">
            <wp:extent cx="4551680" cy="19803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rest_Plot OOthr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52623" cy="1980739"/>
                    </a:xfrm>
                    <a:prstGeom prst="rect">
                      <a:avLst/>
                    </a:prstGeom>
                  </pic:spPr>
                </pic:pic>
              </a:graphicData>
            </a:graphic>
          </wp:inline>
        </w:drawing>
      </w:r>
    </w:p>
    <w:p w:rsidR="00945BCD" w:rsidRPr="00137D87" w:rsidRDefault="00E307D4" w:rsidP="00945BCD">
      <w:pPr>
        <w:rPr>
          <w:rFonts w:ascii="Times New Roman" w:hAnsi="Times New Roman" w:cs="Times New Roman"/>
          <w:sz w:val="24"/>
          <w:szCs w:val="24"/>
        </w:rPr>
      </w:pPr>
      <w:r w:rsidRPr="00137D87">
        <w:rPr>
          <w:rFonts w:ascii="Times New Roman" w:hAnsi="Times New Roman" w:cs="Times New Roman"/>
          <w:sz w:val="24"/>
          <w:szCs w:val="24"/>
        </w:rPr>
        <w:t>Shown as standardized mean differences, Values more than 0 favour intervention than placebo.</w:t>
      </w:r>
    </w:p>
    <w:p w:rsidR="00945BCD" w:rsidRPr="00137D87" w:rsidRDefault="00945BCD" w:rsidP="006D5642">
      <w:pPr>
        <w:rPr>
          <w:rFonts w:ascii="Times New Roman" w:hAnsi="Times New Roman" w:cs="Times New Roman"/>
          <w:sz w:val="24"/>
          <w:szCs w:val="24"/>
          <w:lang w:bidi="ar-SA"/>
        </w:rPr>
      </w:pPr>
    </w:p>
    <w:p w:rsidR="006D5642" w:rsidRPr="00137D87" w:rsidRDefault="006D5642" w:rsidP="006D5642">
      <w:pPr>
        <w:jc w:val="both"/>
        <w:rPr>
          <w:rFonts w:ascii="Times New Roman" w:hAnsi="Times New Roman" w:cs="Times New Roman"/>
          <w:b/>
          <w:sz w:val="24"/>
          <w:szCs w:val="24"/>
          <w:lang w:bidi="ar-SA"/>
        </w:rPr>
      </w:pPr>
    </w:p>
    <w:p w:rsidR="00945BCD" w:rsidRPr="00137D87" w:rsidRDefault="00E307D4">
      <w:pPr>
        <w:rPr>
          <w:rFonts w:ascii="Times New Roman" w:hAnsi="Times New Roman" w:cs="Times New Roman"/>
          <w:b/>
          <w:sz w:val="24"/>
          <w:szCs w:val="24"/>
          <w:lang w:bidi="ar-SA"/>
        </w:rPr>
      </w:pPr>
      <w:r w:rsidRPr="00137D87">
        <w:rPr>
          <w:rFonts w:ascii="Times New Roman" w:hAnsi="Times New Roman" w:cs="Times New Roman"/>
          <w:b/>
          <w:sz w:val="24"/>
          <w:szCs w:val="24"/>
          <w:lang w:bidi="ar-SA"/>
        </w:rPr>
        <w:br w:type="page"/>
      </w:r>
    </w:p>
    <w:p w:rsidR="000E7B8F" w:rsidRPr="00137D87" w:rsidRDefault="00E307D4" w:rsidP="000E7B8F">
      <w:pPr>
        <w:jc w:val="both"/>
        <w:rPr>
          <w:rFonts w:ascii="Times New Roman" w:hAnsi="Times New Roman" w:cs="Times New Roman"/>
          <w:b/>
          <w:sz w:val="24"/>
          <w:szCs w:val="24"/>
          <w:lang w:bidi="ar-SA"/>
        </w:rPr>
      </w:pPr>
      <w:r w:rsidRPr="00137D87">
        <w:rPr>
          <w:rFonts w:ascii="Times New Roman" w:hAnsi="Times New Roman" w:cs="Times New Roman"/>
          <w:b/>
          <w:sz w:val="24"/>
          <w:szCs w:val="24"/>
          <w:lang w:bidi="ar-SA"/>
        </w:rPr>
        <w:t>Supplementary Figure 6: Sub-group analyses by types of intervention</w:t>
      </w:r>
    </w:p>
    <w:p w:rsidR="000E7B8F" w:rsidRPr="00137D87" w:rsidRDefault="00E307D4" w:rsidP="000E7B8F">
      <w:pPr>
        <w:rPr>
          <w:rFonts w:ascii="Times New Roman" w:hAnsi="Times New Roman" w:cs="Times New Roman"/>
          <w:sz w:val="24"/>
          <w:szCs w:val="24"/>
          <w:lang w:bidi="ar-SA"/>
        </w:rPr>
      </w:pPr>
      <w:r w:rsidRPr="00137D87">
        <w:rPr>
          <w:rFonts w:ascii="Times New Roman" w:hAnsi="Times New Roman" w:cs="Times New Roman"/>
          <w:noProof/>
          <w:sz w:val="24"/>
          <w:szCs w:val="24"/>
          <w:lang w:val="en-IN" w:eastAsia="en-IN" w:bidi="ar-SA"/>
        </w:rPr>
        <w:drawing>
          <wp:inline distT="0" distB="0" distL="0" distR="0">
            <wp:extent cx="4165600" cy="8105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bgroups_Forest_Plot.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65869" cy="8106399"/>
                    </a:xfrm>
                    <a:prstGeom prst="rect">
                      <a:avLst/>
                    </a:prstGeom>
                  </pic:spPr>
                </pic:pic>
              </a:graphicData>
            </a:graphic>
          </wp:inline>
        </w:drawing>
      </w:r>
    </w:p>
    <w:p w:rsidR="00945BCD" w:rsidRPr="00137D87" w:rsidRDefault="00E307D4" w:rsidP="000E7B8F">
      <w:pPr>
        <w:rPr>
          <w:rFonts w:ascii="Times New Roman" w:hAnsi="Times New Roman" w:cs="Times New Roman"/>
          <w:sz w:val="24"/>
          <w:szCs w:val="24"/>
        </w:rPr>
      </w:pPr>
      <w:r w:rsidRPr="00137D87">
        <w:rPr>
          <w:rFonts w:ascii="Times New Roman" w:hAnsi="Times New Roman" w:cs="Times New Roman"/>
          <w:sz w:val="24"/>
          <w:szCs w:val="24"/>
        </w:rPr>
        <w:t>Shown as standardized mean differences, Values more than 0 favour intervention than placebo.</w:t>
      </w:r>
    </w:p>
    <w:p w:rsidR="000E7B8F" w:rsidRPr="00137D87" w:rsidRDefault="000E7B8F" w:rsidP="000E7B8F">
      <w:pPr>
        <w:rPr>
          <w:rFonts w:ascii="Times New Roman" w:hAnsi="Times New Roman" w:cs="Times New Roman"/>
          <w:sz w:val="24"/>
          <w:szCs w:val="24"/>
          <w:lang w:bidi="ar-SA"/>
        </w:rPr>
      </w:pPr>
    </w:p>
    <w:p w:rsidR="000E7B8F" w:rsidRPr="00137D87" w:rsidRDefault="00E307D4" w:rsidP="000E7B8F">
      <w:pPr>
        <w:spacing w:after="0" w:line="360" w:lineRule="auto"/>
        <w:jc w:val="both"/>
        <w:rPr>
          <w:rFonts w:ascii="Times New Roman" w:hAnsi="Times New Roman" w:cs="Times New Roman"/>
          <w:sz w:val="24"/>
          <w:szCs w:val="24"/>
        </w:rPr>
      </w:pPr>
      <w:r w:rsidRPr="00137D87">
        <w:rPr>
          <w:rFonts w:ascii="Times New Roman" w:hAnsi="Times New Roman" w:cs="Times New Roman"/>
          <w:sz w:val="24"/>
          <w:szCs w:val="24"/>
        </w:rPr>
        <w:t>Supplementary Figure-7: Funnel Plot of the all the included studies</w:t>
      </w:r>
    </w:p>
    <w:p w:rsidR="000E7B8F" w:rsidRPr="00137D87" w:rsidRDefault="000E7B8F" w:rsidP="000E7B8F">
      <w:pPr>
        <w:spacing w:after="0" w:line="240" w:lineRule="auto"/>
        <w:jc w:val="both"/>
        <w:rPr>
          <w:rFonts w:ascii="Times New Roman" w:hAnsi="Times New Roman" w:cs="Times New Roman"/>
          <w:sz w:val="24"/>
          <w:szCs w:val="24"/>
        </w:rPr>
      </w:pPr>
    </w:p>
    <w:p w:rsidR="000E7B8F" w:rsidRPr="00137D87" w:rsidRDefault="00E307D4" w:rsidP="000E7B8F">
      <w:pPr>
        <w:spacing w:after="0" w:line="240" w:lineRule="auto"/>
        <w:jc w:val="both"/>
        <w:rPr>
          <w:rFonts w:ascii="Times New Roman" w:hAnsi="Times New Roman" w:cs="Times New Roman"/>
          <w:sz w:val="24"/>
          <w:szCs w:val="24"/>
        </w:rPr>
      </w:pPr>
      <w:r w:rsidRPr="00137D87">
        <w:rPr>
          <w:rFonts w:ascii="Times New Roman" w:hAnsi="Times New Roman" w:cs="Times New Roman"/>
          <w:noProof/>
          <w:sz w:val="24"/>
          <w:szCs w:val="24"/>
          <w:lang w:val="en-IN" w:eastAsia="en-IN" w:bidi="ar-SA"/>
        </w:rPr>
        <w:drawing>
          <wp:inline distT="0" distB="0" distL="0" distR="0">
            <wp:extent cx="5731510" cy="45853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ot 1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585335"/>
                    </a:xfrm>
                    <a:prstGeom prst="rect">
                      <a:avLst/>
                    </a:prstGeom>
                  </pic:spPr>
                </pic:pic>
              </a:graphicData>
            </a:graphic>
          </wp:inline>
        </w:drawing>
      </w:r>
    </w:p>
    <w:sectPr w:rsidR="000E7B8F" w:rsidRPr="00137D87" w:rsidSect="006D7A76">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785" w:rsidRDefault="00E91785">
      <w:pPr>
        <w:spacing w:after="0" w:line="240" w:lineRule="auto"/>
      </w:pPr>
      <w:r>
        <w:separator/>
      </w:r>
    </w:p>
  </w:endnote>
  <w:endnote w:type="continuationSeparator" w:id="1">
    <w:p w:rsidR="00E91785" w:rsidRDefault="00E91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88844"/>
      <w:docPartObj>
        <w:docPartGallery w:val="Page Numbers (Bottom of Page)"/>
        <w:docPartUnique/>
      </w:docPartObj>
    </w:sdtPr>
    <w:sdtContent>
      <w:p w:rsidR="00303179" w:rsidRDefault="00A62B74">
        <w:pPr>
          <w:pStyle w:val="Footer"/>
          <w:jc w:val="right"/>
        </w:pPr>
        <w:fldSimple w:instr=" PAGE   \* MERGEFORMAT ">
          <w:r w:rsidR="00E91785">
            <w:rPr>
              <w:noProof/>
            </w:rPr>
            <w:t>1</w:t>
          </w:r>
        </w:fldSimple>
      </w:p>
    </w:sdtContent>
  </w:sdt>
  <w:p w:rsidR="00303179" w:rsidRDefault="00303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785" w:rsidRDefault="00E91785">
      <w:pPr>
        <w:spacing w:after="0" w:line="240" w:lineRule="auto"/>
      </w:pPr>
      <w:r>
        <w:separator/>
      </w:r>
    </w:p>
  </w:footnote>
  <w:footnote w:type="continuationSeparator" w:id="1">
    <w:p w:rsidR="00E91785" w:rsidRDefault="00E91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6D3"/>
    <w:multiLevelType w:val="multilevel"/>
    <w:tmpl w:val="545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94C07"/>
    <w:multiLevelType w:val="hybridMultilevel"/>
    <w:tmpl w:val="A1083F24"/>
    <w:lvl w:ilvl="0" w:tplc="ED2899DA">
      <w:start w:val="1"/>
      <w:numFmt w:val="decimal"/>
      <w:lvlText w:val="%1-"/>
      <w:lvlJc w:val="left"/>
      <w:pPr>
        <w:ind w:left="720" w:hanging="360"/>
      </w:pPr>
      <w:rPr>
        <w:rFonts w:hint="default"/>
      </w:rPr>
    </w:lvl>
    <w:lvl w:ilvl="1" w:tplc="CE04284C" w:tentative="1">
      <w:start w:val="1"/>
      <w:numFmt w:val="lowerLetter"/>
      <w:lvlText w:val="%2."/>
      <w:lvlJc w:val="left"/>
      <w:pPr>
        <w:ind w:left="1440" w:hanging="360"/>
      </w:pPr>
    </w:lvl>
    <w:lvl w:ilvl="2" w:tplc="30C66E36" w:tentative="1">
      <w:start w:val="1"/>
      <w:numFmt w:val="lowerRoman"/>
      <w:lvlText w:val="%3."/>
      <w:lvlJc w:val="right"/>
      <w:pPr>
        <w:ind w:left="2160" w:hanging="180"/>
      </w:pPr>
    </w:lvl>
    <w:lvl w:ilvl="3" w:tplc="91328DBE" w:tentative="1">
      <w:start w:val="1"/>
      <w:numFmt w:val="decimal"/>
      <w:lvlText w:val="%4."/>
      <w:lvlJc w:val="left"/>
      <w:pPr>
        <w:ind w:left="2880" w:hanging="360"/>
      </w:pPr>
    </w:lvl>
    <w:lvl w:ilvl="4" w:tplc="54CEF51E" w:tentative="1">
      <w:start w:val="1"/>
      <w:numFmt w:val="lowerLetter"/>
      <w:lvlText w:val="%5."/>
      <w:lvlJc w:val="left"/>
      <w:pPr>
        <w:ind w:left="3600" w:hanging="360"/>
      </w:pPr>
    </w:lvl>
    <w:lvl w:ilvl="5" w:tplc="26A4DF6A" w:tentative="1">
      <w:start w:val="1"/>
      <w:numFmt w:val="lowerRoman"/>
      <w:lvlText w:val="%6."/>
      <w:lvlJc w:val="right"/>
      <w:pPr>
        <w:ind w:left="4320" w:hanging="180"/>
      </w:pPr>
    </w:lvl>
    <w:lvl w:ilvl="6" w:tplc="964445D2" w:tentative="1">
      <w:start w:val="1"/>
      <w:numFmt w:val="decimal"/>
      <w:lvlText w:val="%7."/>
      <w:lvlJc w:val="left"/>
      <w:pPr>
        <w:ind w:left="5040" w:hanging="360"/>
      </w:pPr>
    </w:lvl>
    <w:lvl w:ilvl="7" w:tplc="E056E97C" w:tentative="1">
      <w:start w:val="1"/>
      <w:numFmt w:val="lowerLetter"/>
      <w:lvlText w:val="%8."/>
      <w:lvlJc w:val="left"/>
      <w:pPr>
        <w:ind w:left="5760" w:hanging="360"/>
      </w:pPr>
    </w:lvl>
    <w:lvl w:ilvl="8" w:tplc="CBA88B10" w:tentative="1">
      <w:start w:val="1"/>
      <w:numFmt w:val="lowerRoman"/>
      <w:lvlText w:val="%9."/>
      <w:lvlJc w:val="right"/>
      <w:pPr>
        <w:ind w:left="6480" w:hanging="180"/>
      </w:pPr>
    </w:lvl>
  </w:abstractNum>
  <w:abstractNum w:abstractNumId="2">
    <w:nsid w:val="15A50BE1"/>
    <w:multiLevelType w:val="hybridMultilevel"/>
    <w:tmpl w:val="EEDC3720"/>
    <w:lvl w:ilvl="0" w:tplc="A9BE91CA">
      <w:start w:val="1"/>
      <w:numFmt w:val="bullet"/>
      <w:lvlText w:val=""/>
      <w:lvlJc w:val="left"/>
      <w:pPr>
        <w:ind w:left="720" w:hanging="360"/>
      </w:pPr>
      <w:rPr>
        <w:rFonts w:ascii="Symbol" w:hAnsi="Symbol" w:hint="default"/>
      </w:rPr>
    </w:lvl>
    <w:lvl w:ilvl="1" w:tplc="5CF0E9B2" w:tentative="1">
      <w:start w:val="1"/>
      <w:numFmt w:val="bullet"/>
      <w:lvlText w:val="o"/>
      <w:lvlJc w:val="left"/>
      <w:pPr>
        <w:ind w:left="1440" w:hanging="360"/>
      </w:pPr>
      <w:rPr>
        <w:rFonts w:ascii="Courier New" w:hAnsi="Courier New" w:cs="Courier New" w:hint="default"/>
      </w:rPr>
    </w:lvl>
    <w:lvl w:ilvl="2" w:tplc="EF0E8966" w:tentative="1">
      <w:start w:val="1"/>
      <w:numFmt w:val="bullet"/>
      <w:lvlText w:val=""/>
      <w:lvlJc w:val="left"/>
      <w:pPr>
        <w:ind w:left="2160" w:hanging="360"/>
      </w:pPr>
      <w:rPr>
        <w:rFonts w:ascii="Wingdings" w:hAnsi="Wingdings" w:hint="default"/>
      </w:rPr>
    </w:lvl>
    <w:lvl w:ilvl="3" w:tplc="B9B86514" w:tentative="1">
      <w:start w:val="1"/>
      <w:numFmt w:val="bullet"/>
      <w:lvlText w:val=""/>
      <w:lvlJc w:val="left"/>
      <w:pPr>
        <w:ind w:left="2880" w:hanging="360"/>
      </w:pPr>
      <w:rPr>
        <w:rFonts w:ascii="Symbol" w:hAnsi="Symbol" w:hint="default"/>
      </w:rPr>
    </w:lvl>
    <w:lvl w:ilvl="4" w:tplc="0DE68BD0" w:tentative="1">
      <w:start w:val="1"/>
      <w:numFmt w:val="bullet"/>
      <w:lvlText w:val="o"/>
      <w:lvlJc w:val="left"/>
      <w:pPr>
        <w:ind w:left="3600" w:hanging="360"/>
      </w:pPr>
      <w:rPr>
        <w:rFonts w:ascii="Courier New" w:hAnsi="Courier New" w:cs="Courier New" w:hint="default"/>
      </w:rPr>
    </w:lvl>
    <w:lvl w:ilvl="5" w:tplc="2CAACDF4" w:tentative="1">
      <w:start w:val="1"/>
      <w:numFmt w:val="bullet"/>
      <w:lvlText w:val=""/>
      <w:lvlJc w:val="left"/>
      <w:pPr>
        <w:ind w:left="4320" w:hanging="360"/>
      </w:pPr>
      <w:rPr>
        <w:rFonts w:ascii="Wingdings" w:hAnsi="Wingdings" w:hint="default"/>
      </w:rPr>
    </w:lvl>
    <w:lvl w:ilvl="6" w:tplc="81FAD6F6" w:tentative="1">
      <w:start w:val="1"/>
      <w:numFmt w:val="bullet"/>
      <w:lvlText w:val=""/>
      <w:lvlJc w:val="left"/>
      <w:pPr>
        <w:ind w:left="5040" w:hanging="360"/>
      </w:pPr>
      <w:rPr>
        <w:rFonts w:ascii="Symbol" w:hAnsi="Symbol" w:hint="default"/>
      </w:rPr>
    </w:lvl>
    <w:lvl w:ilvl="7" w:tplc="290ABF68" w:tentative="1">
      <w:start w:val="1"/>
      <w:numFmt w:val="bullet"/>
      <w:lvlText w:val="o"/>
      <w:lvlJc w:val="left"/>
      <w:pPr>
        <w:ind w:left="5760" w:hanging="360"/>
      </w:pPr>
      <w:rPr>
        <w:rFonts w:ascii="Courier New" w:hAnsi="Courier New" w:cs="Courier New" w:hint="default"/>
      </w:rPr>
    </w:lvl>
    <w:lvl w:ilvl="8" w:tplc="83C6E2FA" w:tentative="1">
      <w:start w:val="1"/>
      <w:numFmt w:val="bullet"/>
      <w:lvlText w:val=""/>
      <w:lvlJc w:val="left"/>
      <w:pPr>
        <w:ind w:left="6480" w:hanging="360"/>
      </w:pPr>
      <w:rPr>
        <w:rFonts w:ascii="Wingdings" w:hAnsi="Wingdings" w:hint="default"/>
      </w:rPr>
    </w:lvl>
  </w:abstractNum>
  <w:abstractNum w:abstractNumId="3">
    <w:nsid w:val="19686E6B"/>
    <w:multiLevelType w:val="hybridMultilevel"/>
    <w:tmpl w:val="BF6885B8"/>
    <w:lvl w:ilvl="0" w:tplc="2A2C4B18">
      <w:start w:val="1"/>
      <w:numFmt w:val="bullet"/>
      <w:lvlText w:val="•"/>
      <w:lvlJc w:val="left"/>
      <w:pPr>
        <w:tabs>
          <w:tab w:val="num" w:pos="720"/>
        </w:tabs>
        <w:ind w:left="720" w:hanging="360"/>
      </w:pPr>
      <w:rPr>
        <w:rFonts w:ascii="Arial" w:hAnsi="Arial" w:hint="default"/>
      </w:rPr>
    </w:lvl>
    <w:lvl w:ilvl="1" w:tplc="4A528CCA" w:tentative="1">
      <w:start w:val="1"/>
      <w:numFmt w:val="bullet"/>
      <w:lvlText w:val="•"/>
      <w:lvlJc w:val="left"/>
      <w:pPr>
        <w:tabs>
          <w:tab w:val="num" w:pos="1440"/>
        </w:tabs>
        <w:ind w:left="1440" w:hanging="360"/>
      </w:pPr>
      <w:rPr>
        <w:rFonts w:ascii="Arial" w:hAnsi="Arial" w:hint="default"/>
      </w:rPr>
    </w:lvl>
    <w:lvl w:ilvl="2" w:tplc="9DAEA632">
      <w:start w:val="1"/>
      <w:numFmt w:val="bullet"/>
      <w:lvlText w:val="•"/>
      <w:lvlJc w:val="left"/>
      <w:pPr>
        <w:tabs>
          <w:tab w:val="num" w:pos="2160"/>
        </w:tabs>
        <w:ind w:left="2160" w:hanging="360"/>
      </w:pPr>
      <w:rPr>
        <w:rFonts w:ascii="Arial" w:hAnsi="Arial" w:hint="default"/>
      </w:rPr>
    </w:lvl>
    <w:lvl w:ilvl="3" w:tplc="3E5478F8" w:tentative="1">
      <w:start w:val="1"/>
      <w:numFmt w:val="bullet"/>
      <w:lvlText w:val="•"/>
      <w:lvlJc w:val="left"/>
      <w:pPr>
        <w:tabs>
          <w:tab w:val="num" w:pos="2880"/>
        </w:tabs>
        <w:ind w:left="2880" w:hanging="360"/>
      </w:pPr>
      <w:rPr>
        <w:rFonts w:ascii="Arial" w:hAnsi="Arial" w:hint="default"/>
      </w:rPr>
    </w:lvl>
    <w:lvl w:ilvl="4" w:tplc="52306580" w:tentative="1">
      <w:start w:val="1"/>
      <w:numFmt w:val="bullet"/>
      <w:lvlText w:val="•"/>
      <w:lvlJc w:val="left"/>
      <w:pPr>
        <w:tabs>
          <w:tab w:val="num" w:pos="3600"/>
        </w:tabs>
        <w:ind w:left="3600" w:hanging="360"/>
      </w:pPr>
      <w:rPr>
        <w:rFonts w:ascii="Arial" w:hAnsi="Arial" w:hint="default"/>
      </w:rPr>
    </w:lvl>
    <w:lvl w:ilvl="5" w:tplc="7B8A0460" w:tentative="1">
      <w:start w:val="1"/>
      <w:numFmt w:val="bullet"/>
      <w:lvlText w:val="•"/>
      <w:lvlJc w:val="left"/>
      <w:pPr>
        <w:tabs>
          <w:tab w:val="num" w:pos="4320"/>
        </w:tabs>
        <w:ind w:left="4320" w:hanging="360"/>
      </w:pPr>
      <w:rPr>
        <w:rFonts w:ascii="Arial" w:hAnsi="Arial" w:hint="default"/>
      </w:rPr>
    </w:lvl>
    <w:lvl w:ilvl="6" w:tplc="3F4838F2" w:tentative="1">
      <w:start w:val="1"/>
      <w:numFmt w:val="bullet"/>
      <w:lvlText w:val="•"/>
      <w:lvlJc w:val="left"/>
      <w:pPr>
        <w:tabs>
          <w:tab w:val="num" w:pos="5040"/>
        </w:tabs>
        <w:ind w:left="5040" w:hanging="360"/>
      </w:pPr>
      <w:rPr>
        <w:rFonts w:ascii="Arial" w:hAnsi="Arial" w:hint="default"/>
      </w:rPr>
    </w:lvl>
    <w:lvl w:ilvl="7" w:tplc="286E507A" w:tentative="1">
      <w:start w:val="1"/>
      <w:numFmt w:val="bullet"/>
      <w:lvlText w:val="•"/>
      <w:lvlJc w:val="left"/>
      <w:pPr>
        <w:tabs>
          <w:tab w:val="num" w:pos="5760"/>
        </w:tabs>
        <w:ind w:left="5760" w:hanging="360"/>
      </w:pPr>
      <w:rPr>
        <w:rFonts w:ascii="Arial" w:hAnsi="Arial" w:hint="default"/>
      </w:rPr>
    </w:lvl>
    <w:lvl w:ilvl="8" w:tplc="AB241718" w:tentative="1">
      <w:start w:val="1"/>
      <w:numFmt w:val="bullet"/>
      <w:lvlText w:val="•"/>
      <w:lvlJc w:val="left"/>
      <w:pPr>
        <w:tabs>
          <w:tab w:val="num" w:pos="6480"/>
        </w:tabs>
        <w:ind w:left="6480" w:hanging="360"/>
      </w:pPr>
      <w:rPr>
        <w:rFonts w:ascii="Arial" w:hAnsi="Arial" w:hint="default"/>
      </w:rPr>
    </w:lvl>
  </w:abstractNum>
  <w:abstractNum w:abstractNumId="4">
    <w:nsid w:val="1A0B5B04"/>
    <w:multiLevelType w:val="multilevel"/>
    <w:tmpl w:val="CDCE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DF4F96"/>
    <w:multiLevelType w:val="multilevel"/>
    <w:tmpl w:val="012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B31132"/>
    <w:multiLevelType w:val="hybridMultilevel"/>
    <w:tmpl w:val="A1083F24"/>
    <w:lvl w:ilvl="0" w:tplc="3E7A2688">
      <w:start w:val="1"/>
      <w:numFmt w:val="decimal"/>
      <w:lvlText w:val="%1-"/>
      <w:lvlJc w:val="left"/>
      <w:pPr>
        <w:ind w:left="720" w:hanging="360"/>
      </w:pPr>
      <w:rPr>
        <w:rFonts w:hint="default"/>
      </w:rPr>
    </w:lvl>
    <w:lvl w:ilvl="1" w:tplc="86BA0A40" w:tentative="1">
      <w:start w:val="1"/>
      <w:numFmt w:val="lowerLetter"/>
      <w:lvlText w:val="%2."/>
      <w:lvlJc w:val="left"/>
      <w:pPr>
        <w:ind w:left="1440" w:hanging="360"/>
      </w:pPr>
    </w:lvl>
    <w:lvl w:ilvl="2" w:tplc="9342B3F8" w:tentative="1">
      <w:start w:val="1"/>
      <w:numFmt w:val="lowerRoman"/>
      <w:lvlText w:val="%3."/>
      <w:lvlJc w:val="right"/>
      <w:pPr>
        <w:ind w:left="2160" w:hanging="180"/>
      </w:pPr>
    </w:lvl>
    <w:lvl w:ilvl="3" w:tplc="ADA893EA" w:tentative="1">
      <w:start w:val="1"/>
      <w:numFmt w:val="decimal"/>
      <w:lvlText w:val="%4."/>
      <w:lvlJc w:val="left"/>
      <w:pPr>
        <w:ind w:left="2880" w:hanging="360"/>
      </w:pPr>
    </w:lvl>
    <w:lvl w:ilvl="4" w:tplc="E88493F6" w:tentative="1">
      <w:start w:val="1"/>
      <w:numFmt w:val="lowerLetter"/>
      <w:lvlText w:val="%5."/>
      <w:lvlJc w:val="left"/>
      <w:pPr>
        <w:ind w:left="3600" w:hanging="360"/>
      </w:pPr>
    </w:lvl>
    <w:lvl w:ilvl="5" w:tplc="C2E8C966" w:tentative="1">
      <w:start w:val="1"/>
      <w:numFmt w:val="lowerRoman"/>
      <w:lvlText w:val="%6."/>
      <w:lvlJc w:val="right"/>
      <w:pPr>
        <w:ind w:left="4320" w:hanging="180"/>
      </w:pPr>
    </w:lvl>
    <w:lvl w:ilvl="6" w:tplc="F8E4F232" w:tentative="1">
      <w:start w:val="1"/>
      <w:numFmt w:val="decimal"/>
      <w:lvlText w:val="%7."/>
      <w:lvlJc w:val="left"/>
      <w:pPr>
        <w:ind w:left="5040" w:hanging="360"/>
      </w:pPr>
    </w:lvl>
    <w:lvl w:ilvl="7" w:tplc="EFCC0EAA" w:tentative="1">
      <w:start w:val="1"/>
      <w:numFmt w:val="lowerLetter"/>
      <w:lvlText w:val="%8."/>
      <w:lvlJc w:val="left"/>
      <w:pPr>
        <w:ind w:left="5760" w:hanging="360"/>
      </w:pPr>
    </w:lvl>
    <w:lvl w:ilvl="8" w:tplc="14C8C586" w:tentative="1">
      <w:start w:val="1"/>
      <w:numFmt w:val="lowerRoman"/>
      <w:lvlText w:val="%9."/>
      <w:lvlJc w:val="right"/>
      <w:pPr>
        <w:ind w:left="6480" w:hanging="180"/>
      </w:pPr>
    </w:lvl>
  </w:abstractNum>
  <w:abstractNum w:abstractNumId="7">
    <w:nsid w:val="4A014185"/>
    <w:multiLevelType w:val="multilevel"/>
    <w:tmpl w:val="AE0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0"/>
  </w:num>
  <w:num w:numId="5">
    <w:abstractNumId w:val="3"/>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5D6195"/>
    <w:rsid w:val="00023365"/>
    <w:rsid w:val="000330B4"/>
    <w:rsid w:val="0003343C"/>
    <w:rsid w:val="000418A5"/>
    <w:rsid w:val="00055802"/>
    <w:rsid w:val="00064E6F"/>
    <w:rsid w:val="00085138"/>
    <w:rsid w:val="00097408"/>
    <w:rsid w:val="000A7E7A"/>
    <w:rsid w:val="000B01E0"/>
    <w:rsid w:val="000B788A"/>
    <w:rsid w:val="000C0E76"/>
    <w:rsid w:val="000C45F4"/>
    <w:rsid w:val="000C6016"/>
    <w:rsid w:val="000D63E7"/>
    <w:rsid w:val="000E4D0C"/>
    <w:rsid w:val="000E7B8F"/>
    <w:rsid w:val="000F41FD"/>
    <w:rsid w:val="000F4720"/>
    <w:rsid w:val="000F4D6F"/>
    <w:rsid w:val="00102CBA"/>
    <w:rsid w:val="00104971"/>
    <w:rsid w:val="00105435"/>
    <w:rsid w:val="00113E01"/>
    <w:rsid w:val="0012338E"/>
    <w:rsid w:val="001305FB"/>
    <w:rsid w:val="00131A2E"/>
    <w:rsid w:val="00137442"/>
    <w:rsid w:val="00137D87"/>
    <w:rsid w:val="00141178"/>
    <w:rsid w:val="001502CF"/>
    <w:rsid w:val="00151065"/>
    <w:rsid w:val="00151F26"/>
    <w:rsid w:val="00152185"/>
    <w:rsid w:val="00152FBF"/>
    <w:rsid w:val="0017450E"/>
    <w:rsid w:val="001763B5"/>
    <w:rsid w:val="001767FE"/>
    <w:rsid w:val="001B44C1"/>
    <w:rsid w:val="001B6C0F"/>
    <w:rsid w:val="001C13E6"/>
    <w:rsid w:val="001C6B6B"/>
    <w:rsid w:val="001D6E7A"/>
    <w:rsid w:val="001F2B5D"/>
    <w:rsid w:val="001F43D3"/>
    <w:rsid w:val="001F45A3"/>
    <w:rsid w:val="00205B56"/>
    <w:rsid w:val="00216981"/>
    <w:rsid w:val="0022330A"/>
    <w:rsid w:val="00233132"/>
    <w:rsid w:val="002339AD"/>
    <w:rsid w:val="002347F5"/>
    <w:rsid w:val="00247D01"/>
    <w:rsid w:val="0025580D"/>
    <w:rsid w:val="00255A3D"/>
    <w:rsid w:val="0027323C"/>
    <w:rsid w:val="00275116"/>
    <w:rsid w:val="0027574B"/>
    <w:rsid w:val="00285A0A"/>
    <w:rsid w:val="00291CCA"/>
    <w:rsid w:val="0029656C"/>
    <w:rsid w:val="002A0EAD"/>
    <w:rsid w:val="002A6E2F"/>
    <w:rsid w:val="002B03CE"/>
    <w:rsid w:val="002B3E30"/>
    <w:rsid w:val="002C7301"/>
    <w:rsid w:val="002E40D4"/>
    <w:rsid w:val="002E68CF"/>
    <w:rsid w:val="002E7C6E"/>
    <w:rsid w:val="00303179"/>
    <w:rsid w:val="00305546"/>
    <w:rsid w:val="00314BAE"/>
    <w:rsid w:val="00321860"/>
    <w:rsid w:val="00321D49"/>
    <w:rsid w:val="003222D9"/>
    <w:rsid w:val="00333A26"/>
    <w:rsid w:val="00336A47"/>
    <w:rsid w:val="003447EB"/>
    <w:rsid w:val="00354D1C"/>
    <w:rsid w:val="00360F49"/>
    <w:rsid w:val="00366078"/>
    <w:rsid w:val="00367E6A"/>
    <w:rsid w:val="00371AB1"/>
    <w:rsid w:val="00390DA5"/>
    <w:rsid w:val="003936D8"/>
    <w:rsid w:val="003A2BF1"/>
    <w:rsid w:val="003B4AB4"/>
    <w:rsid w:val="003B586A"/>
    <w:rsid w:val="003C1F5F"/>
    <w:rsid w:val="003C2073"/>
    <w:rsid w:val="003C4CB9"/>
    <w:rsid w:val="003D135A"/>
    <w:rsid w:val="003D17E2"/>
    <w:rsid w:val="003D41CC"/>
    <w:rsid w:val="003E50F0"/>
    <w:rsid w:val="003E7BC2"/>
    <w:rsid w:val="003F3D36"/>
    <w:rsid w:val="0040339C"/>
    <w:rsid w:val="004038FC"/>
    <w:rsid w:val="00404310"/>
    <w:rsid w:val="0040703D"/>
    <w:rsid w:val="0043339E"/>
    <w:rsid w:val="00435607"/>
    <w:rsid w:val="0045054B"/>
    <w:rsid w:val="0045158E"/>
    <w:rsid w:val="00454254"/>
    <w:rsid w:val="00471333"/>
    <w:rsid w:val="00476F85"/>
    <w:rsid w:val="00480C2E"/>
    <w:rsid w:val="004870E5"/>
    <w:rsid w:val="00491086"/>
    <w:rsid w:val="00496E81"/>
    <w:rsid w:val="004B4424"/>
    <w:rsid w:val="004B774D"/>
    <w:rsid w:val="004C7506"/>
    <w:rsid w:val="004D1D0E"/>
    <w:rsid w:val="004E2A21"/>
    <w:rsid w:val="004E73F6"/>
    <w:rsid w:val="004F2086"/>
    <w:rsid w:val="004F3A39"/>
    <w:rsid w:val="00511889"/>
    <w:rsid w:val="00514B98"/>
    <w:rsid w:val="00521CF1"/>
    <w:rsid w:val="005372A9"/>
    <w:rsid w:val="0054044E"/>
    <w:rsid w:val="005509CB"/>
    <w:rsid w:val="005646DA"/>
    <w:rsid w:val="00577DAF"/>
    <w:rsid w:val="0058070B"/>
    <w:rsid w:val="00591500"/>
    <w:rsid w:val="005B2857"/>
    <w:rsid w:val="005B6E20"/>
    <w:rsid w:val="005C6C59"/>
    <w:rsid w:val="005C70C2"/>
    <w:rsid w:val="005D136E"/>
    <w:rsid w:val="005D6195"/>
    <w:rsid w:val="005E2096"/>
    <w:rsid w:val="005E4E0E"/>
    <w:rsid w:val="005F09EB"/>
    <w:rsid w:val="00620A11"/>
    <w:rsid w:val="00625387"/>
    <w:rsid w:val="00630FC6"/>
    <w:rsid w:val="0063292F"/>
    <w:rsid w:val="00634D38"/>
    <w:rsid w:val="006404C1"/>
    <w:rsid w:val="00641D7D"/>
    <w:rsid w:val="00642D31"/>
    <w:rsid w:val="00644725"/>
    <w:rsid w:val="0064697C"/>
    <w:rsid w:val="00655481"/>
    <w:rsid w:val="006563E2"/>
    <w:rsid w:val="006604C9"/>
    <w:rsid w:val="00680AFA"/>
    <w:rsid w:val="0069051F"/>
    <w:rsid w:val="006931E6"/>
    <w:rsid w:val="006B0A6E"/>
    <w:rsid w:val="006B1A1E"/>
    <w:rsid w:val="006B7F95"/>
    <w:rsid w:val="006C089D"/>
    <w:rsid w:val="006C31E7"/>
    <w:rsid w:val="006C5833"/>
    <w:rsid w:val="006C74E7"/>
    <w:rsid w:val="006D1E58"/>
    <w:rsid w:val="006D4C2F"/>
    <w:rsid w:val="006D5642"/>
    <w:rsid w:val="006D7A76"/>
    <w:rsid w:val="006E2339"/>
    <w:rsid w:val="006E375A"/>
    <w:rsid w:val="006E794E"/>
    <w:rsid w:val="007001FA"/>
    <w:rsid w:val="00703D59"/>
    <w:rsid w:val="007073A5"/>
    <w:rsid w:val="0071070E"/>
    <w:rsid w:val="007158A3"/>
    <w:rsid w:val="00720AD7"/>
    <w:rsid w:val="007213FA"/>
    <w:rsid w:val="00734D4E"/>
    <w:rsid w:val="007372A4"/>
    <w:rsid w:val="0074049C"/>
    <w:rsid w:val="007537A6"/>
    <w:rsid w:val="0076399D"/>
    <w:rsid w:val="00767AA1"/>
    <w:rsid w:val="00772FFA"/>
    <w:rsid w:val="007752CD"/>
    <w:rsid w:val="00780ABC"/>
    <w:rsid w:val="00781494"/>
    <w:rsid w:val="00793B5A"/>
    <w:rsid w:val="007976E1"/>
    <w:rsid w:val="007A3CD1"/>
    <w:rsid w:val="007C1303"/>
    <w:rsid w:val="007C1AAD"/>
    <w:rsid w:val="007C622B"/>
    <w:rsid w:val="007D3643"/>
    <w:rsid w:val="007E5739"/>
    <w:rsid w:val="007F138F"/>
    <w:rsid w:val="007F2617"/>
    <w:rsid w:val="0081057D"/>
    <w:rsid w:val="0081082F"/>
    <w:rsid w:val="0081596B"/>
    <w:rsid w:val="00817B27"/>
    <w:rsid w:val="00817B85"/>
    <w:rsid w:val="008231D4"/>
    <w:rsid w:val="00844F85"/>
    <w:rsid w:val="00855369"/>
    <w:rsid w:val="00866B7F"/>
    <w:rsid w:val="008761E0"/>
    <w:rsid w:val="008862D4"/>
    <w:rsid w:val="00892A9C"/>
    <w:rsid w:val="008941B1"/>
    <w:rsid w:val="008B2AE8"/>
    <w:rsid w:val="008B58D6"/>
    <w:rsid w:val="008B683B"/>
    <w:rsid w:val="008B6A52"/>
    <w:rsid w:val="008D4899"/>
    <w:rsid w:val="008D6A3D"/>
    <w:rsid w:val="008E2C9D"/>
    <w:rsid w:val="008F3A5D"/>
    <w:rsid w:val="0090370F"/>
    <w:rsid w:val="00910A20"/>
    <w:rsid w:val="00911355"/>
    <w:rsid w:val="0092107E"/>
    <w:rsid w:val="00924CE8"/>
    <w:rsid w:val="009340B1"/>
    <w:rsid w:val="00941AC3"/>
    <w:rsid w:val="00945BCD"/>
    <w:rsid w:val="00951803"/>
    <w:rsid w:val="00956DEC"/>
    <w:rsid w:val="0096425B"/>
    <w:rsid w:val="009878E1"/>
    <w:rsid w:val="00987AF8"/>
    <w:rsid w:val="00991C6B"/>
    <w:rsid w:val="009929F9"/>
    <w:rsid w:val="009972E6"/>
    <w:rsid w:val="009B73A2"/>
    <w:rsid w:val="009C722A"/>
    <w:rsid w:val="009D19D7"/>
    <w:rsid w:val="009E2487"/>
    <w:rsid w:val="009F0A99"/>
    <w:rsid w:val="009F3147"/>
    <w:rsid w:val="00A033BB"/>
    <w:rsid w:val="00A06693"/>
    <w:rsid w:val="00A1720C"/>
    <w:rsid w:val="00A20CAF"/>
    <w:rsid w:val="00A24854"/>
    <w:rsid w:val="00A32678"/>
    <w:rsid w:val="00A32DA4"/>
    <w:rsid w:val="00A41344"/>
    <w:rsid w:val="00A4210A"/>
    <w:rsid w:val="00A4473D"/>
    <w:rsid w:val="00A462D4"/>
    <w:rsid w:val="00A51439"/>
    <w:rsid w:val="00A557B3"/>
    <w:rsid w:val="00A612E9"/>
    <w:rsid w:val="00A62B74"/>
    <w:rsid w:val="00A7306A"/>
    <w:rsid w:val="00A73694"/>
    <w:rsid w:val="00A8531E"/>
    <w:rsid w:val="00A9169F"/>
    <w:rsid w:val="00A96257"/>
    <w:rsid w:val="00A97F05"/>
    <w:rsid w:val="00AC2C65"/>
    <w:rsid w:val="00AC35F8"/>
    <w:rsid w:val="00AD2BB0"/>
    <w:rsid w:val="00AE1433"/>
    <w:rsid w:val="00AE1B96"/>
    <w:rsid w:val="00AE4398"/>
    <w:rsid w:val="00AF0A52"/>
    <w:rsid w:val="00AF1323"/>
    <w:rsid w:val="00AF2FFB"/>
    <w:rsid w:val="00AF5016"/>
    <w:rsid w:val="00B227A1"/>
    <w:rsid w:val="00B30C59"/>
    <w:rsid w:val="00B37314"/>
    <w:rsid w:val="00B44D7F"/>
    <w:rsid w:val="00B7276D"/>
    <w:rsid w:val="00B77FCA"/>
    <w:rsid w:val="00B812B5"/>
    <w:rsid w:val="00B82593"/>
    <w:rsid w:val="00B8537A"/>
    <w:rsid w:val="00B9699D"/>
    <w:rsid w:val="00BA73A6"/>
    <w:rsid w:val="00BD54DB"/>
    <w:rsid w:val="00BD7C86"/>
    <w:rsid w:val="00BF116B"/>
    <w:rsid w:val="00BF6849"/>
    <w:rsid w:val="00C16D03"/>
    <w:rsid w:val="00C20DD0"/>
    <w:rsid w:val="00C36379"/>
    <w:rsid w:val="00C4228C"/>
    <w:rsid w:val="00C500D3"/>
    <w:rsid w:val="00C5343B"/>
    <w:rsid w:val="00C55A59"/>
    <w:rsid w:val="00C6619B"/>
    <w:rsid w:val="00C67AB8"/>
    <w:rsid w:val="00C700C7"/>
    <w:rsid w:val="00C71188"/>
    <w:rsid w:val="00C74671"/>
    <w:rsid w:val="00C97023"/>
    <w:rsid w:val="00CB04B7"/>
    <w:rsid w:val="00CB2A24"/>
    <w:rsid w:val="00CB34BB"/>
    <w:rsid w:val="00CB370C"/>
    <w:rsid w:val="00CC2850"/>
    <w:rsid w:val="00CC64AE"/>
    <w:rsid w:val="00CD01CF"/>
    <w:rsid w:val="00CD1BFB"/>
    <w:rsid w:val="00CD5C37"/>
    <w:rsid w:val="00CD7DE2"/>
    <w:rsid w:val="00CE2173"/>
    <w:rsid w:val="00CE4A31"/>
    <w:rsid w:val="00CE5AC0"/>
    <w:rsid w:val="00CF2804"/>
    <w:rsid w:val="00CF3FEF"/>
    <w:rsid w:val="00D07623"/>
    <w:rsid w:val="00D13312"/>
    <w:rsid w:val="00D210E0"/>
    <w:rsid w:val="00D34279"/>
    <w:rsid w:val="00D612C6"/>
    <w:rsid w:val="00D62F3F"/>
    <w:rsid w:val="00D945A1"/>
    <w:rsid w:val="00D975E0"/>
    <w:rsid w:val="00DA1E5F"/>
    <w:rsid w:val="00DB6915"/>
    <w:rsid w:val="00DC5832"/>
    <w:rsid w:val="00DD4CD0"/>
    <w:rsid w:val="00DD6182"/>
    <w:rsid w:val="00DE04D4"/>
    <w:rsid w:val="00DF1687"/>
    <w:rsid w:val="00DF5345"/>
    <w:rsid w:val="00E05883"/>
    <w:rsid w:val="00E06FA5"/>
    <w:rsid w:val="00E164B7"/>
    <w:rsid w:val="00E165D7"/>
    <w:rsid w:val="00E167E8"/>
    <w:rsid w:val="00E1745B"/>
    <w:rsid w:val="00E307D4"/>
    <w:rsid w:val="00E33980"/>
    <w:rsid w:val="00E360B5"/>
    <w:rsid w:val="00E37B59"/>
    <w:rsid w:val="00E45723"/>
    <w:rsid w:val="00E5358E"/>
    <w:rsid w:val="00E62626"/>
    <w:rsid w:val="00E82B2A"/>
    <w:rsid w:val="00E91785"/>
    <w:rsid w:val="00EB02E1"/>
    <w:rsid w:val="00EB6882"/>
    <w:rsid w:val="00EC2489"/>
    <w:rsid w:val="00ED234F"/>
    <w:rsid w:val="00EE38CD"/>
    <w:rsid w:val="00F00911"/>
    <w:rsid w:val="00F00CF4"/>
    <w:rsid w:val="00F02C8C"/>
    <w:rsid w:val="00F02D53"/>
    <w:rsid w:val="00F06EAE"/>
    <w:rsid w:val="00F108C2"/>
    <w:rsid w:val="00F138DA"/>
    <w:rsid w:val="00F41D57"/>
    <w:rsid w:val="00F46AF1"/>
    <w:rsid w:val="00F538A7"/>
    <w:rsid w:val="00F54A15"/>
    <w:rsid w:val="00F55C47"/>
    <w:rsid w:val="00F71D94"/>
    <w:rsid w:val="00F82767"/>
    <w:rsid w:val="00F82F81"/>
    <w:rsid w:val="00F95E5F"/>
    <w:rsid w:val="00FA246E"/>
    <w:rsid w:val="00FA5AFA"/>
    <w:rsid w:val="00FB1E18"/>
    <w:rsid w:val="00FB217B"/>
    <w:rsid w:val="00FB3019"/>
    <w:rsid w:val="00FB5456"/>
    <w:rsid w:val="00FB744A"/>
    <w:rsid w:val="00FC33F7"/>
    <w:rsid w:val="00FC6784"/>
    <w:rsid w:val="00FE6B7F"/>
    <w:rsid w:val="00FF2255"/>
    <w:rsid w:val="00FF67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19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DefaultParagraphFont"/>
    <w:rsid w:val="00781494"/>
  </w:style>
  <w:style w:type="paragraph" w:styleId="BalloonText">
    <w:name w:val="Balloon Text"/>
    <w:basedOn w:val="Normal"/>
    <w:link w:val="BalloonTextChar"/>
    <w:uiPriority w:val="99"/>
    <w:semiHidden/>
    <w:unhideWhenUsed/>
    <w:rsid w:val="00A1720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720C"/>
    <w:rPr>
      <w:rFonts w:ascii="Tahoma" w:hAnsi="Tahoma" w:cs="Mangal"/>
      <w:sz w:val="16"/>
      <w:szCs w:val="14"/>
    </w:rPr>
  </w:style>
  <w:style w:type="paragraph" w:styleId="Header">
    <w:name w:val="header"/>
    <w:basedOn w:val="Normal"/>
    <w:link w:val="HeaderChar"/>
    <w:uiPriority w:val="99"/>
    <w:unhideWhenUsed/>
    <w:rsid w:val="00435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607"/>
  </w:style>
  <w:style w:type="paragraph" w:styleId="Footer">
    <w:name w:val="footer"/>
    <w:basedOn w:val="Normal"/>
    <w:link w:val="FooterChar"/>
    <w:uiPriority w:val="99"/>
    <w:unhideWhenUsed/>
    <w:rsid w:val="00435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607"/>
  </w:style>
  <w:style w:type="paragraph" w:styleId="Bibliography">
    <w:name w:val="Bibliography"/>
    <w:basedOn w:val="Normal"/>
    <w:next w:val="Normal"/>
    <w:uiPriority w:val="37"/>
    <w:unhideWhenUsed/>
    <w:rsid w:val="00DA1E5F"/>
    <w:pPr>
      <w:spacing w:after="240" w:line="240" w:lineRule="auto"/>
    </w:pPr>
  </w:style>
  <w:style w:type="character" w:styleId="Hyperlink">
    <w:name w:val="Hyperlink"/>
    <w:basedOn w:val="DefaultParagraphFont"/>
    <w:uiPriority w:val="99"/>
    <w:unhideWhenUsed/>
    <w:rsid w:val="008D6A3D"/>
    <w:rPr>
      <w:color w:val="0000FF" w:themeColor="hyperlink"/>
      <w:u w:val="single"/>
    </w:rPr>
  </w:style>
  <w:style w:type="paragraph" w:styleId="ListParagraph">
    <w:name w:val="List Paragraph"/>
    <w:basedOn w:val="Normal"/>
    <w:uiPriority w:val="34"/>
    <w:qFormat/>
    <w:rsid w:val="00285A0A"/>
    <w:pPr>
      <w:ind w:left="720"/>
      <w:contextualSpacing/>
    </w:pPr>
  </w:style>
  <w:style w:type="paragraph" w:styleId="NormalWeb">
    <w:name w:val="Normal (Web)"/>
    <w:basedOn w:val="Normal"/>
    <w:uiPriority w:val="99"/>
    <w:semiHidden/>
    <w:unhideWhenUsed/>
    <w:rsid w:val="00780A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0ABC"/>
    <w:rPr>
      <w:i/>
      <w:iCs/>
    </w:rPr>
  </w:style>
  <w:style w:type="character" w:styleId="CommentReference">
    <w:name w:val="annotation reference"/>
    <w:basedOn w:val="DefaultParagraphFont"/>
    <w:uiPriority w:val="99"/>
    <w:semiHidden/>
    <w:unhideWhenUsed/>
    <w:rsid w:val="00844F85"/>
    <w:rPr>
      <w:sz w:val="16"/>
      <w:szCs w:val="16"/>
    </w:rPr>
  </w:style>
  <w:style w:type="paragraph" w:styleId="CommentText">
    <w:name w:val="annotation text"/>
    <w:basedOn w:val="Normal"/>
    <w:link w:val="CommentTextChar"/>
    <w:uiPriority w:val="99"/>
    <w:unhideWhenUsed/>
    <w:rsid w:val="00844F85"/>
    <w:pPr>
      <w:spacing w:line="240" w:lineRule="auto"/>
    </w:pPr>
    <w:rPr>
      <w:sz w:val="20"/>
      <w:szCs w:val="18"/>
    </w:rPr>
  </w:style>
  <w:style w:type="character" w:customStyle="1" w:styleId="CommentTextChar">
    <w:name w:val="Comment Text Char"/>
    <w:basedOn w:val="DefaultParagraphFont"/>
    <w:link w:val="CommentText"/>
    <w:uiPriority w:val="99"/>
    <w:rsid w:val="00844F85"/>
    <w:rPr>
      <w:sz w:val="20"/>
      <w:szCs w:val="18"/>
    </w:rPr>
  </w:style>
  <w:style w:type="paragraph" w:styleId="CommentSubject">
    <w:name w:val="annotation subject"/>
    <w:basedOn w:val="CommentText"/>
    <w:next w:val="CommentText"/>
    <w:link w:val="CommentSubjectChar"/>
    <w:uiPriority w:val="99"/>
    <w:semiHidden/>
    <w:unhideWhenUsed/>
    <w:rsid w:val="00844F85"/>
    <w:rPr>
      <w:b/>
      <w:bCs/>
    </w:rPr>
  </w:style>
  <w:style w:type="character" w:customStyle="1" w:styleId="CommentSubjectChar">
    <w:name w:val="Comment Subject Char"/>
    <w:basedOn w:val="CommentTextChar"/>
    <w:link w:val="CommentSubject"/>
    <w:uiPriority w:val="99"/>
    <w:semiHidden/>
    <w:rsid w:val="00844F85"/>
    <w:rPr>
      <w:b/>
      <w:bCs/>
      <w:sz w:val="20"/>
      <w:szCs w:val="18"/>
    </w:rPr>
  </w:style>
  <w:style w:type="paragraph" w:customStyle="1" w:styleId="Default">
    <w:name w:val="Default"/>
    <w:rsid w:val="008E2C9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3D17E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3567</TotalTime>
  <Pages>41</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cp:lastModifiedBy>Sandeep Grover</cp:lastModifiedBy>
  <cp:revision>26</cp:revision>
  <dcterms:created xsi:type="dcterms:W3CDTF">2022-01-30T11:27:00Z</dcterms:created>
  <dcterms:modified xsi:type="dcterms:W3CDTF">2022-10-26T16:17:00Z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id="icAKTbcq"/&gt;&lt;style id="http://www.zotero.org/styles/harvard-dundalk-institute-of-technology" hasBibliography="1" bibliographyStyleHasBeenSet="1"/&gt;&lt;prefs&gt;&lt;pref name="fieldType" value="Field"/&gt;&lt;pref</vt:lpwstr>
  </property>
  <property fmtid="{D5CDD505-2E9C-101B-9397-08002B2CF9AE}" pid="3" name="ZOTERO_PREF_2">
    <vt:lpwstr> name="automaticJournalAbbreviations" value="true"/&gt;&lt;pref name="dontAskDelayCitationUpdates" value="true"/&gt;&lt;/prefs&gt;&lt;/data&gt;</vt:lpwstr>
  </property>
</Properties>
</file>