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9645" w14:textId="08BEA3EA" w:rsidR="00B23B01" w:rsidRPr="005849C4" w:rsidRDefault="00B23B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49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ELECTRONIC SUPLEMENTARY FILE </w:t>
      </w:r>
      <w:r w:rsidR="00FE2A70" w:rsidRPr="005849C4">
        <w:rPr>
          <w:rFonts w:ascii="Times New Roman" w:hAnsi="Times New Roman" w:cs="Times New Roman"/>
          <w:b/>
          <w:bCs/>
          <w:sz w:val="24"/>
          <w:szCs w:val="24"/>
          <w:lang w:val="en-US"/>
        </w:rPr>
        <w:t>(ESF)</w:t>
      </w:r>
    </w:p>
    <w:p w14:paraId="763736A1" w14:textId="73824353" w:rsidR="00B23B01" w:rsidRDefault="00B23B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42F09F" w14:textId="1EB2578F" w:rsidR="00320A9B" w:rsidRPr="007F5E45" w:rsidRDefault="00320A9B" w:rsidP="00320A9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5E45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and Diagnostic Algorithm</w:t>
      </w:r>
      <w:r w:rsidR="00CE3134" w:rsidRPr="007F5E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ic Rules (RADAR) </w:t>
      </w:r>
      <w:r w:rsidRPr="007F5E4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mood disorders, recurrence of illness, suicidal behaviors, and the patient’s lifetime trajectory</w:t>
      </w:r>
    </w:p>
    <w:p w14:paraId="1615CDB8" w14:textId="77777777" w:rsidR="00320A9B" w:rsidRPr="00320A9B" w:rsidRDefault="00320A9B" w:rsidP="0032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81CA08" w14:textId="77777777" w:rsidR="00320A9B" w:rsidRPr="00320A9B" w:rsidRDefault="00320A9B" w:rsidP="0032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Michael Maes </w:t>
      </w:r>
      <w:proofErr w:type="spellStart"/>
      <w:proofErr w:type="gramStart"/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a,b</w:t>
      </w:r>
      <w:proofErr w:type="gramEnd"/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,c,d</w:t>
      </w:r>
      <w:proofErr w:type="spellEnd"/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, Juliana Brum </w:t>
      </w:r>
      <w:proofErr w:type="spellStart"/>
      <w:r w:rsidRPr="00320A9B">
        <w:rPr>
          <w:rFonts w:ascii="Times New Roman" w:hAnsi="Times New Roman" w:cs="Times New Roman"/>
          <w:sz w:val="24"/>
          <w:szCs w:val="24"/>
          <w:lang w:val="en-US"/>
        </w:rPr>
        <w:t>Moraes</w:t>
      </w:r>
      <w:proofErr w:type="spellEnd"/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, Ana </w:t>
      </w:r>
      <w:proofErr w:type="spellStart"/>
      <w:r w:rsidRPr="00320A9B">
        <w:rPr>
          <w:rFonts w:ascii="Times New Roman" w:hAnsi="Times New Roman" w:cs="Times New Roman"/>
          <w:sz w:val="24"/>
          <w:szCs w:val="24"/>
          <w:lang w:val="en-US"/>
        </w:rPr>
        <w:t>Congio</w:t>
      </w:r>
      <w:proofErr w:type="spellEnd"/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0A9B">
        <w:rPr>
          <w:rFonts w:ascii="Times New Roman" w:hAnsi="Times New Roman" w:cs="Times New Roman"/>
          <w:sz w:val="24"/>
          <w:szCs w:val="24"/>
          <w:lang w:val="en-US"/>
        </w:rPr>
        <w:t>Decio</w:t>
      </w:r>
      <w:proofErr w:type="spellEnd"/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 Sabbatini Barbosa</w:t>
      </w:r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>, Heber Odebrecht Vargas</w:t>
      </w:r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, Sandra Odebrecht Vargas Nunes </w:t>
      </w:r>
      <w:r w:rsidRPr="00320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</w:p>
    <w:p w14:paraId="57308BF7" w14:textId="77777777" w:rsidR="00320A9B" w:rsidRPr="00320A9B" w:rsidRDefault="00320A9B" w:rsidP="0032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6749E" w14:textId="77777777" w:rsidR="00320A9B" w:rsidRPr="00320A9B" w:rsidRDefault="00320A9B" w:rsidP="00320A9B">
      <w:pPr>
        <w:spacing w:after="0" w:line="480" w:lineRule="auto"/>
        <w:jc w:val="thaiDistribute"/>
        <w:rPr>
          <w:rFonts w:ascii="Times New Roman" w:hAnsi="Times New Roman" w:cs="TH Sarabun New"/>
          <w:sz w:val="24"/>
          <w:szCs w:val="24"/>
          <w:lang w:val="en-US"/>
        </w:rPr>
      </w:pPr>
      <w:r w:rsidRPr="00320A9B">
        <w:rPr>
          <w:rFonts w:ascii="Times New Roman" w:hAnsi="Times New Roman" w:cs="TH Sarabun New"/>
          <w:sz w:val="24"/>
          <w:szCs w:val="24"/>
          <w:lang w:val="en-US"/>
        </w:rPr>
        <w:t>a) Department of Psychiatry, Faculty of Medicine, Chulalongkorn University, Bangkok, Thailand</w:t>
      </w:r>
    </w:p>
    <w:p w14:paraId="6764D532" w14:textId="77777777" w:rsidR="00320A9B" w:rsidRPr="00320A9B" w:rsidRDefault="00320A9B" w:rsidP="00320A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ar-SA"/>
        </w:rPr>
      </w:pPr>
      <w:r w:rsidRPr="00320A9B">
        <w:rPr>
          <w:rFonts w:ascii="Times New Roman" w:hAnsi="Times New Roman" w:cs="TH Sarabun New"/>
          <w:sz w:val="24"/>
          <w:szCs w:val="24"/>
          <w:lang w:val="en-US"/>
        </w:rPr>
        <w:t xml:space="preserve">b) </w:t>
      </w:r>
      <w:r w:rsidRPr="00320A9B">
        <w:rPr>
          <w:rFonts w:ascii="Times New Roman" w:hAnsi="Times New Roman" w:cs="Times New Roman"/>
          <w:sz w:val="24"/>
          <w:szCs w:val="24"/>
          <w:lang w:val="en-US" w:bidi="ar-SA"/>
        </w:rPr>
        <w:t>Deakin University, IMPACT, the Institute for Mental and Physical Health and Clinical Translation, School of Medicine, Barwon Health, Geelong, Australia</w:t>
      </w:r>
    </w:p>
    <w:p w14:paraId="2253CC7D" w14:textId="77777777" w:rsidR="00320A9B" w:rsidRPr="00320A9B" w:rsidRDefault="00320A9B" w:rsidP="00320A9B">
      <w:pPr>
        <w:spacing w:after="0" w:line="480" w:lineRule="auto"/>
        <w:jc w:val="thaiDistribute"/>
        <w:rPr>
          <w:rFonts w:ascii="Times New Roman" w:hAnsi="Times New Roman" w:cs="TH Sarabun New"/>
          <w:sz w:val="24"/>
          <w:szCs w:val="24"/>
          <w:lang w:val="en-US"/>
        </w:rPr>
      </w:pPr>
      <w:r w:rsidRPr="00320A9B">
        <w:rPr>
          <w:rFonts w:ascii="Times New Roman" w:hAnsi="Times New Roman" w:cs="TH Sarabun New"/>
          <w:sz w:val="24"/>
          <w:szCs w:val="24"/>
          <w:lang w:val="en-US"/>
        </w:rPr>
        <w:t>c) Department of Psychiatry, Medical University of Plovdiv, Plovdiv, Bulgaria</w:t>
      </w:r>
    </w:p>
    <w:p w14:paraId="03D88B6A" w14:textId="77777777" w:rsidR="00320A9B" w:rsidRPr="00320A9B" w:rsidRDefault="00320A9B" w:rsidP="00320A9B">
      <w:pPr>
        <w:rPr>
          <w:rFonts w:ascii="Times New Roman" w:hAnsi="Times New Roman" w:cs="Times New Roman"/>
          <w:sz w:val="24"/>
          <w:szCs w:val="24"/>
        </w:rPr>
      </w:pPr>
      <w:r w:rsidRPr="00320A9B">
        <w:rPr>
          <w:rFonts w:ascii="Times New Roman" w:hAnsi="Times New Roman" w:cs="TH Sarabun New"/>
          <w:sz w:val="24"/>
          <w:szCs w:val="24"/>
          <w:lang w:val="en-US"/>
        </w:rPr>
        <w:t xml:space="preserve">d) </w:t>
      </w:r>
      <w:r w:rsidRPr="00320A9B">
        <w:rPr>
          <w:rFonts w:ascii="Times New Roman" w:hAnsi="Times New Roman" w:cs="Times New Roman"/>
          <w:sz w:val="24"/>
          <w:szCs w:val="24"/>
        </w:rPr>
        <w:t>Research Institute, Medical University Plovdiv, Plovdiv, Bulgaria</w:t>
      </w:r>
    </w:p>
    <w:p w14:paraId="2569173C" w14:textId="77777777" w:rsidR="00320A9B" w:rsidRPr="00320A9B" w:rsidRDefault="00320A9B" w:rsidP="0032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A9B">
        <w:rPr>
          <w:rFonts w:ascii="Times New Roman" w:hAnsi="Times New Roman" w:cs="Times New Roman"/>
          <w:sz w:val="24"/>
          <w:szCs w:val="24"/>
          <w:lang w:val="en-US"/>
        </w:rPr>
        <w:t>e) Health Sciences Graduate Program, Health Sciences Center, State University of Londrina, Av</w:t>
      </w:r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 xml:space="preserve">. 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>Robert Koch 60; 86035</w:t>
      </w:r>
      <w:r w:rsidRPr="00320A9B">
        <w:rPr>
          <w:rFonts w:ascii="Times New Roman" w:hAnsi="Times New Roman" w:cs="Times New Roman"/>
          <w:sz w:val="24"/>
          <w:szCs w:val="24"/>
          <w:cs/>
          <w:lang w:val="en-US"/>
        </w:rPr>
        <w:t>-</w:t>
      </w:r>
      <w:r w:rsidRPr="00320A9B">
        <w:rPr>
          <w:rFonts w:ascii="Times New Roman" w:hAnsi="Times New Roman" w:cs="Times New Roman"/>
          <w:sz w:val="24"/>
          <w:szCs w:val="24"/>
          <w:lang w:val="en-US"/>
        </w:rPr>
        <w:t xml:space="preserve">380, Londrina, PR, </w:t>
      </w:r>
      <w:proofErr w:type="gramStart"/>
      <w:r w:rsidRPr="00320A9B">
        <w:rPr>
          <w:rFonts w:ascii="Times New Roman" w:hAnsi="Times New Roman" w:cs="Times New Roman"/>
          <w:sz w:val="24"/>
          <w:szCs w:val="24"/>
          <w:lang w:val="en-US"/>
        </w:rPr>
        <w:t>Brazil;</w:t>
      </w:r>
      <w:proofErr w:type="gramEnd"/>
    </w:p>
    <w:p w14:paraId="348D3973" w14:textId="28E1B27E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1EBF78" w14:textId="75A446BE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E8C45F" w14:textId="3C497D11" w:rsidR="00C603CF" w:rsidRDefault="004476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54F6841" wp14:editId="2400C644">
            <wp:extent cx="8766225" cy="5801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703" cy="5805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88A20" w14:textId="77777777" w:rsidR="00304A09" w:rsidRDefault="00106B18" w:rsidP="00304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A0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ESF, Figure 1</w:t>
      </w:r>
      <w:r w:rsidR="00D30AD6" w:rsidRPr="00304A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30AD6" w:rsidRPr="00304A09">
        <w:rPr>
          <w:rFonts w:ascii="Times New Roman" w:hAnsi="Times New Roman" w:cs="Times New Roman"/>
          <w:sz w:val="24"/>
          <w:szCs w:val="24"/>
          <w:lang w:val="en-US"/>
        </w:rPr>
        <w:t>Partial Least Squares (PLS) model of suicidal behaviors in mood disorders.</w:t>
      </w:r>
    </w:p>
    <w:p w14:paraId="3D84F62F" w14:textId="2E279D41" w:rsidR="00C90B23" w:rsidRPr="00304A09" w:rsidRDefault="00D30AD6" w:rsidP="00304A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304A09">
        <w:rPr>
          <w:rFonts w:ascii="Times New Roman" w:hAnsi="Times New Roman" w:cs="Times New Roman"/>
          <w:sz w:val="24"/>
          <w:szCs w:val="24"/>
          <w:lang w:val="en-US"/>
        </w:rPr>
        <w:t>final outcome</w:t>
      </w:r>
      <w:proofErr w:type="gram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variables are current suicidal ideation (</w:t>
      </w:r>
      <w:proofErr w:type="spellStart"/>
      <w:r w:rsidRPr="00304A0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SI) and </w:t>
      </w:r>
      <w:r w:rsidR="00C90B23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suicidal attempts, last 5 years (5Y SA). Predictors are adverse childhood experiences (ACE) including </w:t>
      </w:r>
      <w:r w:rsidR="00A921DE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and emotional abuse (PH_ABU and EM_ABU) and physical and emotional neglect (PH_NEGL and EM_NEGL) (</w:t>
      </w:r>
      <w:r w:rsidR="00304A09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combined into </w:t>
      </w:r>
      <w:proofErr w:type="spellStart"/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ACEphem</w:t>
      </w:r>
      <w:proofErr w:type="spellEnd"/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) and sexual abuse; a family history (FHIS) of depression (FHIS5), bipolar disor</w:t>
      </w:r>
      <w:r w:rsidR="00304A09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d</w:t>
      </w:r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e</w:t>
      </w:r>
      <w:r w:rsidR="00304A09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r</w:t>
      </w:r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(FHIS6) and suicide attempts (FHIS7) (combined into </w:t>
      </w:r>
      <w:proofErr w:type="spellStart"/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FHISmood</w:t>
      </w:r>
      <w:proofErr w:type="spellEnd"/>
      <w:r w:rsidR="00A921DE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) and </w:t>
      </w:r>
      <w:r w:rsidR="00304A09"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FHIS of tobacco use disorder </w:t>
      </w:r>
      <w:r w:rsidR="00304A09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(FHIS2), alcohol use disorder (FHIS3), substance use disorders (illicit drugs: FHIS4) (combined into </w:t>
      </w:r>
      <w:proofErr w:type="spellStart"/>
      <w:r w:rsidR="00304A09" w:rsidRPr="00304A09">
        <w:rPr>
          <w:rFonts w:ascii="Times New Roman" w:hAnsi="Times New Roman" w:cs="Times New Roman"/>
          <w:sz w:val="24"/>
          <w:szCs w:val="24"/>
          <w:lang w:val="en-US"/>
        </w:rPr>
        <w:t>FHISabu</w:t>
      </w:r>
      <w:proofErr w:type="spellEnd"/>
      <w:r w:rsidR="00304A09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). The effects of ACEs and HFIS on </w:t>
      </w:r>
      <w:proofErr w:type="spellStart"/>
      <w:r w:rsidR="00304A09" w:rsidRPr="00304A0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="00304A09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SI and 5Y SA are mediated via lifetime (LT) SI and SA. All indicators are entered as latent vectors, except sexual abuse.</w:t>
      </w:r>
    </w:p>
    <w:p w14:paraId="28FB7D13" w14:textId="14309C49" w:rsidR="00304A09" w:rsidRDefault="00304A09" w:rsidP="00304A0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y significant path</w:t>
      </w:r>
      <w:r w:rsidR="00064369">
        <w:rPr>
          <w:rFonts w:ascii="Times New Roman" w:hAnsi="Times New Roman" w:cs="Times New Roman"/>
          <w:sz w:val="24"/>
          <w:szCs w:val="24"/>
          <w:lang w:val="en-US"/>
        </w:rPr>
        <w:t>s a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64369">
        <w:rPr>
          <w:rFonts w:ascii="Times New Roman" w:hAnsi="Times New Roman" w:cs="Times New Roman"/>
          <w:sz w:val="24"/>
          <w:szCs w:val="24"/>
          <w:lang w:val="en-US"/>
        </w:rPr>
        <w:t>e shown. Displayed are path coefficients (with p values) and factor loadings (with p values). Figures in blue circles indicate explained variance.</w:t>
      </w:r>
    </w:p>
    <w:p w14:paraId="3CD41F30" w14:textId="77777777" w:rsidR="00064369" w:rsidRPr="00304A09" w:rsidRDefault="00064369" w:rsidP="00304A0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94E856" w14:textId="77777777" w:rsidR="00304A09" w:rsidRDefault="00304A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D67855" w14:textId="3FD357C7" w:rsidR="00304A09" w:rsidRDefault="00304A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DB53B9" w14:textId="77777777" w:rsidR="00304A09" w:rsidRPr="00D30AD6" w:rsidRDefault="00304A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97CC24" w14:textId="627F4FAD" w:rsidR="00752E80" w:rsidRDefault="0075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208E71" w14:textId="010562CA" w:rsidR="00752E80" w:rsidRDefault="00752E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6AB9BC6" w14:textId="6BBC7BFC" w:rsidR="00752E80" w:rsidRDefault="00752E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8ED6A5C" wp14:editId="4326FD84">
            <wp:extent cx="8658225" cy="6191012"/>
            <wp:effectExtent l="0" t="0" r="0" b="635"/>
            <wp:docPr id="6" name="Picture 5" descr="Diagram,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877337-B6BF-4757-B5DA-414C3AC430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iagram,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3F877337-B6BF-4757-B5DA-414C3AC430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5782" cy="61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707F" w14:textId="34706B8A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8DBBAC" w14:textId="6C79CE0C" w:rsidR="0081169D" w:rsidRDefault="00195667" w:rsidP="008116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B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ESF, Figure 2. </w:t>
      </w:r>
      <w:r w:rsidR="0081169D"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Partial Least Squares (PLS) model of suicidal behaviors </w:t>
      </w:r>
      <w:r w:rsidR="0081169D">
        <w:rPr>
          <w:rFonts w:ascii="Times New Roman" w:hAnsi="Times New Roman" w:cs="Times New Roman"/>
          <w:sz w:val="24"/>
          <w:szCs w:val="24"/>
          <w:lang w:val="en-US"/>
        </w:rPr>
        <w:t xml:space="preserve">and recurrence of illness (ROI) </w:t>
      </w:r>
      <w:r w:rsidR="0081169D" w:rsidRPr="00304A09">
        <w:rPr>
          <w:rFonts w:ascii="Times New Roman" w:hAnsi="Times New Roman" w:cs="Times New Roman"/>
          <w:sz w:val="24"/>
          <w:szCs w:val="24"/>
          <w:lang w:val="en-US"/>
        </w:rPr>
        <w:t>in mood disorders.</w:t>
      </w:r>
    </w:p>
    <w:p w14:paraId="41482F69" w14:textId="4EFF4CC1" w:rsidR="00D44319" w:rsidRDefault="0081169D" w:rsidP="008116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304A09">
        <w:rPr>
          <w:rFonts w:ascii="Times New Roman" w:hAnsi="Times New Roman" w:cs="Times New Roman"/>
          <w:sz w:val="24"/>
          <w:szCs w:val="24"/>
          <w:lang w:val="en-US"/>
        </w:rPr>
        <w:t>final outcome</w:t>
      </w:r>
      <w:proofErr w:type="gram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304A09">
        <w:rPr>
          <w:rFonts w:ascii="Times New Roman" w:hAnsi="Times New Roman" w:cs="Times New Roman"/>
          <w:sz w:val="24"/>
          <w:szCs w:val="24"/>
          <w:lang w:val="en-US"/>
        </w:rPr>
        <w:t>current suicidal ideation (</w:t>
      </w:r>
      <w:proofErr w:type="spellStart"/>
      <w:r w:rsidRPr="00304A0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SI). Predictors are adverse childhood experiences (ACE) including physical </w:t>
      </w:r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and emotional abuse (PH_ABU and EM_ABU) and physical and emotional neglect (PH_NEGL and EM_NEGL) (combined into </w:t>
      </w:r>
      <w:proofErr w:type="spellStart"/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ACEphem</w:t>
      </w:r>
      <w:proofErr w:type="spellEnd"/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)</w:t>
      </w:r>
      <w:r w:rsidR="00D443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,</w:t>
      </w:r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and a family history (FHIS) of depression (FHIS5), bipolar disorder (FHIS6) and suicide attempts (FHIS7) (combined into </w:t>
      </w:r>
      <w:proofErr w:type="spellStart"/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FHISmood</w:t>
      </w:r>
      <w:proofErr w:type="spellEnd"/>
      <w:r w:rsidRPr="00304A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) and FHIS of tobacco use disorder </w:t>
      </w:r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(FHIS2), alcohol use disorder (FHIS3), substance use disorders (illicit drugs: FHIS4) (combined into </w:t>
      </w:r>
      <w:proofErr w:type="spellStart"/>
      <w:r w:rsidRPr="00304A09">
        <w:rPr>
          <w:rFonts w:ascii="Times New Roman" w:hAnsi="Times New Roman" w:cs="Times New Roman"/>
          <w:sz w:val="24"/>
          <w:szCs w:val="24"/>
          <w:lang w:val="en-US"/>
        </w:rPr>
        <w:t>FHISabu</w:t>
      </w:r>
      <w:proofErr w:type="spell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). The effects of ACEs and HFIS on </w:t>
      </w:r>
      <w:proofErr w:type="spellStart"/>
      <w:r w:rsidRPr="00304A0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304A09">
        <w:rPr>
          <w:rFonts w:ascii="Times New Roman" w:hAnsi="Times New Roman" w:cs="Times New Roman"/>
          <w:sz w:val="24"/>
          <w:szCs w:val="24"/>
          <w:lang w:val="en-US"/>
        </w:rPr>
        <w:t xml:space="preserve"> SI are mediated via lifetime (LT) SI and 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 xml:space="preserve">LT </w:t>
      </w:r>
      <w:r w:rsidRPr="00304A09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 xml:space="preserve"> and ROI, conceptualized as a factor extracted from number of depression (#depr) and (hypo)mania (#mania) episodes and total number of episodes.</w:t>
      </w:r>
    </w:p>
    <w:p w14:paraId="18F337EE" w14:textId="629428DB" w:rsidR="0081169D" w:rsidRDefault="0081169D" w:rsidP="00D443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A09">
        <w:rPr>
          <w:rFonts w:ascii="Times New Roman" w:hAnsi="Times New Roman" w:cs="Times New Roman"/>
          <w:sz w:val="24"/>
          <w:szCs w:val="24"/>
          <w:lang w:val="en-US"/>
        </w:rPr>
        <w:t>All indicators are entered as latent vectors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 xml:space="preserve"> extracted from the relevant indicators.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y significant paths a</w:t>
      </w:r>
      <w:r w:rsidR="00D44319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 shown. Displayed are path coefficients (with p values) and factor loadings (with p values). Figures in blue circles indicate explained variance.</w:t>
      </w:r>
    </w:p>
    <w:p w14:paraId="0F93739A" w14:textId="77777777" w:rsidR="0081169D" w:rsidRDefault="0081169D" w:rsidP="001956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1B91B" w14:textId="77777777" w:rsidR="0081169D" w:rsidRDefault="0081169D" w:rsidP="001956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51042" w14:textId="77777777" w:rsidR="0081169D" w:rsidRDefault="0081169D" w:rsidP="001956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8CAD77" w14:textId="1EE77D95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C97E51" w14:textId="49D8967B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11CB3F" w14:textId="66AEEC34" w:rsidR="00752E80" w:rsidRDefault="0075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A86932" w14:textId="5AD888FE" w:rsidR="00752E80" w:rsidRDefault="00752E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00C4C58" w14:textId="249C1110" w:rsidR="00752E80" w:rsidRDefault="000966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2476516" wp14:editId="57FDC167">
            <wp:extent cx="8436610" cy="5731510"/>
            <wp:effectExtent l="0" t="0" r="2540" b="2540"/>
            <wp:docPr id="3" name="Picture 2" descr="Diagram,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1F4FC4-9FF5-48FD-BB42-6D605DF620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,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041F4FC4-9FF5-48FD-BB42-6D605DF620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66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1792" w14:textId="1E63DBBC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52A945" w14:textId="384283D5" w:rsidR="00C61ED7" w:rsidRPr="008A0329" w:rsidRDefault="00B0099E" w:rsidP="008A032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0329">
        <w:rPr>
          <w:rFonts w:ascii="Times New Roman" w:hAnsi="Times New Roman" w:cs="Times New Roman"/>
          <w:b/>
          <w:bCs/>
          <w:sz w:val="24"/>
          <w:szCs w:val="24"/>
          <w:lang w:val="en-US"/>
        </w:rPr>
        <w:t>ESF, Figure 3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1ED7" w:rsidRPr="008A0329">
        <w:rPr>
          <w:rFonts w:ascii="Times New Roman" w:hAnsi="Times New Roman" w:cs="Times New Roman"/>
          <w:sz w:val="24"/>
          <w:szCs w:val="24"/>
          <w:lang w:val="en-US"/>
        </w:rPr>
        <w:t>Partial Least Squares (PLS) model of suicidal behaviors, a comprehensive recurrence of illness (ROI2) index</w:t>
      </w:r>
      <w:r w:rsidR="00035DB2" w:rsidRPr="008A03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1ED7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cognitive deficits (</w:t>
      </w:r>
      <w:proofErr w:type="spellStart"/>
      <w:r w:rsidR="00C61ED7" w:rsidRPr="008A0329">
        <w:rPr>
          <w:rFonts w:ascii="Times New Roman" w:hAnsi="Times New Roman" w:cs="Times New Roman"/>
          <w:sz w:val="24"/>
          <w:szCs w:val="24"/>
          <w:lang w:val="en-US"/>
        </w:rPr>
        <w:t>CogFLEX</w:t>
      </w:r>
      <w:proofErr w:type="spellEnd"/>
      <w:r w:rsidR="00C61ED7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35DB2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and the phenome of </w:t>
      </w:r>
      <w:r w:rsidR="00C61ED7" w:rsidRPr="008A0329">
        <w:rPr>
          <w:rFonts w:ascii="Times New Roman" w:hAnsi="Times New Roman" w:cs="Times New Roman"/>
          <w:sz w:val="24"/>
          <w:szCs w:val="24"/>
          <w:lang w:val="en-US"/>
        </w:rPr>
        <w:t>mood disorders.</w:t>
      </w:r>
    </w:p>
    <w:p w14:paraId="25EE0C52" w14:textId="4A806B24" w:rsidR="00935EAF" w:rsidRPr="008A0329" w:rsidRDefault="00C61ED7" w:rsidP="008A032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0329">
        <w:rPr>
          <w:rFonts w:ascii="Times New Roman" w:hAnsi="Times New Roman" w:cs="Times New Roman"/>
          <w:sz w:val="24"/>
          <w:szCs w:val="24"/>
          <w:lang w:val="en-US"/>
        </w:rPr>
        <w:t>The final outcome variable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>current suicidal ideation (</w:t>
      </w:r>
      <w:proofErr w:type="spellStart"/>
      <w:r w:rsidRPr="008A032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SI)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and the phenome of mood disorders, conceptualized as a factor extracted from </w:t>
      </w:r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the phenome and </w:t>
      </w:r>
      <w:proofErr w:type="spellStart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phenomenome</w:t>
      </w:r>
      <w:proofErr w:type="spellEnd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, comprising the Hamilton Depression and Anxiety Rating Scale (HAMD/HAMA) scores; four quality of life domains (</w:t>
      </w:r>
      <w:proofErr w:type="spellStart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PC_QoL</w:t>
      </w:r>
      <w:proofErr w:type="spellEnd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); five disability Sheehan (</w:t>
      </w:r>
      <w:proofErr w:type="spellStart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PC_She</w:t>
      </w:r>
      <w:proofErr w:type="spellEnd"/>
      <w:r w:rsidR="00935EAF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..) scores; and the Clinical Global impression (CGI) score.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Predictors are adverse childhood experiences (ACE) including physical </w:t>
      </w:r>
      <w:r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and emotional abuse (PH_ABU and EM_ABU) and physical and emotional neglect (PH_NEGL and EM_NEGL) (combined into </w:t>
      </w:r>
      <w:proofErr w:type="spellStart"/>
      <w:r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ACEphem</w:t>
      </w:r>
      <w:proofErr w:type="spellEnd"/>
      <w:r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), and a family history (FHIS) of depression (FHIS5), bipolar disorder (FHIS6) and suicide attempts (FHIS7) (combined into </w:t>
      </w:r>
      <w:proofErr w:type="spellStart"/>
      <w:r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FHISmood</w:t>
      </w:r>
      <w:proofErr w:type="spellEnd"/>
      <w:r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) and FHIS of tobacco use disorder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(FHIS2), alcohol use disorder (FHIS3), substance use disorders (illicit drugs: FHIS4) (combined into </w:t>
      </w:r>
      <w:proofErr w:type="spellStart"/>
      <w:r w:rsidRPr="008A0329">
        <w:rPr>
          <w:rFonts w:ascii="Times New Roman" w:hAnsi="Times New Roman" w:cs="Times New Roman"/>
          <w:sz w:val="24"/>
          <w:szCs w:val="24"/>
          <w:lang w:val="en-US"/>
        </w:rPr>
        <w:t>FHISabu</w:t>
      </w:r>
      <w:proofErr w:type="spellEnd"/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). The effects of ACEs and HFIS on </w:t>
      </w:r>
      <w:proofErr w:type="spellStart"/>
      <w:r w:rsidRPr="008A0329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and the phenome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are mediated via 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ROI conceptualized as a factor extracted from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>lifetime (LT) SI and LT SA</w:t>
      </w:r>
      <w:r w:rsidR="00935EAF" w:rsidRPr="008A032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0D9B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number of depression (#depr) and (hypo)mania (#mania) episodes and total number of episodes</w:t>
      </w:r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>CogFLEX</w:t>
      </w:r>
      <w:proofErr w:type="spellEnd"/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>, namely cog</w:t>
      </w:r>
      <w:r w:rsidR="00D76D22" w:rsidRPr="008A03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nitive deficits in verbal fluency and executive functions.</w:t>
      </w:r>
    </w:p>
    <w:p w14:paraId="29D85471" w14:textId="379CCB64" w:rsidR="00C61ED7" w:rsidRPr="008A0329" w:rsidRDefault="00C61ED7" w:rsidP="008A032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0329">
        <w:rPr>
          <w:rFonts w:ascii="Times New Roman" w:hAnsi="Times New Roman" w:cs="Times New Roman"/>
          <w:sz w:val="24"/>
          <w:szCs w:val="24"/>
          <w:lang w:val="en-US"/>
        </w:rPr>
        <w:t>All indicators are entered as latent vectors extracted from the relevant indicators</w:t>
      </w:r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, except </w:t>
      </w:r>
      <w:proofErr w:type="spellStart"/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>CogFLEX</w:t>
      </w:r>
      <w:proofErr w:type="spellEnd"/>
      <w:r w:rsidR="00D76D22" w:rsidRPr="008A0329">
        <w:rPr>
          <w:rFonts w:ascii="Times New Roman" w:hAnsi="Times New Roman" w:cs="Times New Roman"/>
          <w:sz w:val="24"/>
          <w:szCs w:val="24"/>
          <w:lang w:val="en-US"/>
        </w:rPr>
        <w:t xml:space="preserve"> which is entered as a single indicator. </w:t>
      </w:r>
      <w:r w:rsidRPr="008A0329">
        <w:rPr>
          <w:rFonts w:ascii="Times New Roman" w:hAnsi="Times New Roman" w:cs="Times New Roman"/>
          <w:sz w:val="24"/>
          <w:szCs w:val="24"/>
          <w:lang w:val="en-US"/>
        </w:rPr>
        <w:t>Only significant paths are shown. Displayed are path coefficients (with p values) and factor loadings (with p values). Figures in blue circles indicate explained variance.</w:t>
      </w:r>
    </w:p>
    <w:p w14:paraId="1A5F6CA0" w14:textId="77777777" w:rsidR="00D44319" w:rsidRPr="008A0329" w:rsidRDefault="00D44319" w:rsidP="008A03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001CC8" w14:textId="77777777" w:rsidR="00D44319" w:rsidRDefault="00D44319" w:rsidP="00106B1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5953B9" w14:textId="7BB0DA58" w:rsidR="00C603CF" w:rsidRDefault="00C603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B554D5" w14:textId="29845AC1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9A5CC1" w14:textId="1DE52C43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DFB923" w14:textId="50CE79C3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220608" w14:textId="604E32BA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FCF0E6" w14:textId="2CB26D8A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2113A2" w14:textId="13FB1927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00A4D7" w14:textId="6AC0A45E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187BD3" w14:textId="1BB564A9" w:rsidR="00153A04" w:rsidRDefault="00153A04" w:rsidP="00153A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26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B72653">
        <w:rPr>
          <w:rFonts w:ascii="Times New Roman" w:hAnsi="Times New Roman" w:cs="Times New Roman"/>
          <w:b/>
          <w:bCs/>
          <w:sz w:val="24"/>
          <w:szCs w:val="24"/>
          <w:lang w:val="en-US"/>
        </w:rPr>
        <w:t>able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Demographic data of the healthy controls (HC) and mood disorder patients divided into those with major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dysmood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disorder (MDMD) and simple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dysmood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disorder (SDMD).</w:t>
      </w:r>
    </w:p>
    <w:p w14:paraId="05532579" w14:textId="77777777" w:rsidR="00153A04" w:rsidRDefault="00153A04" w:rsidP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070"/>
        <w:gridCol w:w="1980"/>
        <w:gridCol w:w="2340"/>
        <w:gridCol w:w="1620"/>
        <w:gridCol w:w="1250"/>
        <w:gridCol w:w="1993"/>
      </w:tblGrid>
      <w:tr w:rsidR="00153A04" w14:paraId="3DE6DC5D" w14:textId="77777777" w:rsidTr="00153FB3">
        <w:tc>
          <w:tcPr>
            <w:tcW w:w="2695" w:type="dxa"/>
            <w:shd w:val="clear" w:color="auto" w:fill="E7E6E6" w:themeFill="background2"/>
          </w:tcPr>
          <w:p w14:paraId="61D141EF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2070" w:type="dxa"/>
            <w:shd w:val="clear" w:color="auto" w:fill="E7E6E6" w:themeFill="background2"/>
          </w:tcPr>
          <w:p w14:paraId="33DB69C2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(n=67)</w:t>
            </w:r>
          </w:p>
        </w:tc>
        <w:tc>
          <w:tcPr>
            <w:tcW w:w="1980" w:type="dxa"/>
            <w:shd w:val="clear" w:color="auto" w:fill="E7E6E6" w:themeFill="background2"/>
          </w:tcPr>
          <w:p w14:paraId="0374FB97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SDMD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(n=38)</w:t>
            </w:r>
          </w:p>
        </w:tc>
        <w:tc>
          <w:tcPr>
            <w:tcW w:w="2340" w:type="dxa"/>
            <w:shd w:val="clear" w:color="auto" w:fill="E7E6E6" w:themeFill="background2"/>
          </w:tcPr>
          <w:p w14:paraId="39E4879A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MDMD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(n=60)</w:t>
            </w:r>
          </w:p>
        </w:tc>
        <w:tc>
          <w:tcPr>
            <w:tcW w:w="1620" w:type="dxa"/>
            <w:shd w:val="clear" w:color="auto" w:fill="E7E6E6" w:themeFill="background2"/>
          </w:tcPr>
          <w:p w14:paraId="0F32FE2F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F/χ2</w:t>
            </w:r>
          </w:p>
        </w:tc>
        <w:tc>
          <w:tcPr>
            <w:tcW w:w="1250" w:type="dxa"/>
            <w:shd w:val="clear" w:color="auto" w:fill="E7E6E6" w:themeFill="background2"/>
          </w:tcPr>
          <w:p w14:paraId="324DFF62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df</w:t>
            </w:r>
          </w:p>
        </w:tc>
        <w:tc>
          <w:tcPr>
            <w:tcW w:w="1993" w:type="dxa"/>
            <w:shd w:val="clear" w:color="auto" w:fill="E7E6E6" w:themeFill="background2"/>
          </w:tcPr>
          <w:p w14:paraId="754B0FD1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  <w:p w14:paraId="5BAAAE20" w14:textId="77777777" w:rsidR="00153A04" w:rsidRPr="00CE3134" w:rsidRDefault="00153A04" w:rsidP="00153F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53A04" w14:paraId="7F23D7B5" w14:textId="77777777" w:rsidTr="00153FB3">
        <w:tc>
          <w:tcPr>
            <w:tcW w:w="2695" w:type="dxa"/>
          </w:tcPr>
          <w:p w14:paraId="5CA0B45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2070" w:type="dxa"/>
          </w:tcPr>
          <w:p w14:paraId="1C33AEFF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43.1 (11.6)</w:t>
            </w:r>
          </w:p>
        </w:tc>
        <w:tc>
          <w:tcPr>
            <w:tcW w:w="1980" w:type="dxa"/>
          </w:tcPr>
          <w:p w14:paraId="05CD3F5D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45.5 (11.2)</w:t>
            </w:r>
          </w:p>
        </w:tc>
        <w:tc>
          <w:tcPr>
            <w:tcW w:w="2340" w:type="dxa"/>
          </w:tcPr>
          <w:p w14:paraId="2E047448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41.0 (10.2)</w:t>
            </w:r>
          </w:p>
        </w:tc>
        <w:tc>
          <w:tcPr>
            <w:tcW w:w="1620" w:type="dxa"/>
          </w:tcPr>
          <w:p w14:paraId="7BEDA90C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1.90</w:t>
            </w:r>
          </w:p>
        </w:tc>
        <w:tc>
          <w:tcPr>
            <w:tcW w:w="1250" w:type="dxa"/>
          </w:tcPr>
          <w:p w14:paraId="677B28B8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2/162</w:t>
            </w:r>
          </w:p>
        </w:tc>
        <w:tc>
          <w:tcPr>
            <w:tcW w:w="1993" w:type="dxa"/>
          </w:tcPr>
          <w:p w14:paraId="7AD60251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0.153</w:t>
            </w:r>
          </w:p>
        </w:tc>
      </w:tr>
      <w:tr w:rsidR="00153A04" w14:paraId="28FBD4CE" w14:textId="77777777" w:rsidTr="00153FB3">
        <w:tc>
          <w:tcPr>
            <w:tcW w:w="2695" w:type="dxa"/>
          </w:tcPr>
          <w:p w14:paraId="1D172561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(F/M)</w:t>
            </w:r>
          </w:p>
        </w:tc>
        <w:tc>
          <w:tcPr>
            <w:tcW w:w="2070" w:type="dxa"/>
          </w:tcPr>
          <w:p w14:paraId="1C01C000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44/23</w:t>
            </w:r>
          </w:p>
        </w:tc>
        <w:tc>
          <w:tcPr>
            <w:tcW w:w="1980" w:type="dxa"/>
          </w:tcPr>
          <w:p w14:paraId="0A2F779A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30/8</w:t>
            </w:r>
          </w:p>
        </w:tc>
        <w:tc>
          <w:tcPr>
            <w:tcW w:w="2340" w:type="dxa"/>
          </w:tcPr>
          <w:p w14:paraId="5A0BF9E1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50/10</w:t>
            </w:r>
          </w:p>
        </w:tc>
        <w:tc>
          <w:tcPr>
            <w:tcW w:w="1620" w:type="dxa"/>
          </w:tcPr>
          <w:p w14:paraId="187E09A7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5.67</w:t>
            </w:r>
          </w:p>
        </w:tc>
        <w:tc>
          <w:tcPr>
            <w:tcW w:w="1250" w:type="dxa"/>
          </w:tcPr>
          <w:p w14:paraId="36450823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3" w:type="dxa"/>
          </w:tcPr>
          <w:p w14:paraId="1155F09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0.059</w:t>
            </w:r>
          </w:p>
        </w:tc>
      </w:tr>
      <w:tr w:rsidR="00153A04" w14:paraId="6E29C8BF" w14:textId="77777777" w:rsidTr="00153FB3">
        <w:tc>
          <w:tcPr>
            <w:tcW w:w="2695" w:type="dxa"/>
          </w:tcPr>
          <w:p w14:paraId="601FB7A7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(kg/m2)</w:t>
            </w:r>
          </w:p>
        </w:tc>
        <w:tc>
          <w:tcPr>
            <w:tcW w:w="2070" w:type="dxa"/>
          </w:tcPr>
          <w:p w14:paraId="3BD5732F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26.32 (4.66) </w:t>
            </w:r>
          </w:p>
        </w:tc>
        <w:tc>
          <w:tcPr>
            <w:tcW w:w="1980" w:type="dxa"/>
          </w:tcPr>
          <w:p w14:paraId="06B0B30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25.90 (4.59)</w:t>
            </w:r>
          </w:p>
        </w:tc>
        <w:tc>
          <w:tcPr>
            <w:tcW w:w="2340" w:type="dxa"/>
          </w:tcPr>
          <w:p w14:paraId="43D11565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27.35 (5.27)</w:t>
            </w:r>
          </w:p>
        </w:tc>
        <w:tc>
          <w:tcPr>
            <w:tcW w:w="1620" w:type="dxa"/>
          </w:tcPr>
          <w:p w14:paraId="472E9537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250" w:type="dxa"/>
          </w:tcPr>
          <w:p w14:paraId="611F2A6E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2/155</w:t>
            </w:r>
          </w:p>
        </w:tc>
        <w:tc>
          <w:tcPr>
            <w:tcW w:w="1993" w:type="dxa"/>
          </w:tcPr>
          <w:p w14:paraId="03ABBACC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0.319</w:t>
            </w:r>
          </w:p>
        </w:tc>
      </w:tr>
      <w:tr w:rsidR="00153A04" w14:paraId="498E2DCA" w14:textId="77777777" w:rsidTr="00153FB3">
        <w:tc>
          <w:tcPr>
            <w:tcW w:w="2695" w:type="dxa"/>
          </w:tcPr>
          <w:p w14:paraId="540740C5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 (No/Yes)</w:t>
            </w:r>
          </w:p>
        </w:tc>
        <w:tc>
          <w:tcPr>
            <w:tcW w:w="2070" w:type="dxa"/>
          </w:tcPr>
          <w:p w14:paraId="354CA94C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32/35</w:t>
            </w:r>
          </w:p>
        </w:tc>
        <w:tc>
          <w:tcPr>
            <w:tcW w:w="1980" w:type="dxa"/>
          </w:tcPr>
          <w:p w14:paraId="59079962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14/24</w:t>
            </w:r>
          </w:p>
        </w:tc>
        <w:tc>
          <w:tcPr>
            <w:tcW w:w="2340" w:type="dxa"/>
          </w:tcPr>
          <w:p w14:paraId="1394171A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27/33</w:t>
            </w:r>
          </w:p>
        </w:tc>
        <w:tc>
          <w:tcPr>
            <w:tcW w:w="1620" w:type="dxa"/>
          </w:tcPr>
          <w:p w14:paraId="3346F366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1250" w:type="dxa"/>
          </w:tcPr>
          <w:p w14:paraId="43F45750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3" w:type="dxa"/>
          </w:tcPr>
          <w:p w14:paraId="0FC667F0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0.550</w:t>
            </w:r>
          </w:p>
        </w:tc>
      </w:tr>
      <w:tr w:rsidR="00153A04" w14:paraId="1E072226" w14:textId="77777777" w:rsidTr="00153FB3">
        <w:tc>
          <w:tcPr>
            <w:tcW w:w="2695" w:type="dxa"/>
          </w:tcPr>
          <w:p w14:paraId="6E7F82C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(years)y</w:t>
            </w:r>
          </w:p>
        </w:tc>
        <w:tc>
          <w:tcPr>
            <w:tcW w:w="2070" w:type="dxa"/>
          </w:tcPr>
          <w:p w14:paraId="2CC94225" w14:textId="713CC048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37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(5.6)</w:t>
            </w:r>
          </w:p>
        </w:tc>
        <w:tc>
          <w:tcPr>
            <w:tcW w:w="1980" w:type="dxa"/>
          </w:tcPr>
          <w:p w14:paraId="3FFB594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 (5.3)</w:t>
            </w:r>
          </w:p>
        </w:tc>
        <w:tc>
          <w:tcPr>
            <w:tcW w:w="2340" w:type="dxa"/>
          </w:tcPr>
          <w:p w14:paraId="289D292D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 (4.4)</w:t>
            </w:r>
          </w:p>
        </w:tc>
        <w:tc>
          <w:tcPr>
            <w:tcW w:w="1620" w:type="dxa"/>
          </w:tcPr>
          <w:p w14:paraId="30416D27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3.88</w:t>
            </w:r>
          </w:p>
        </w:tc>
        <w:tc>
          <w:tcPr>
            <w:tcW w:w="1250" w:type="dxa"/>
          </w:tcPr>
          <w:p w14:paraId="590547C9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2/161</w:t>
            </w:r>
          </w:p>
        </w:tc>
        <w:tc>
          <w:tcPr>
            <w:tcW w:w="1993" w:type="dxa"/>
          </w:tcPr>
          <w:p w14:paraId="3A9FC2F6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0.023</w:t>
            </w:r>
          </w:p>
        </w:tc>
      </w:tr>
      <w:tr w:rsidR="00153A04" w14:paraId="4E2AAD4D" w14:textId="77777777" w:rsidTr="00153FB3">
        <w:tc>
          <w:tcPr>
            <w:tcW w:w="2695" w:type="dxa"/>
          </w:tcPr>
          <w:p w14:paraId="12B5C9EC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(No/Yes)</w:t>
            </w:r>
          </w:p>
        </w:tc>
        <w:tc>
          <w:tcPr>
            <w:tcW w:w="2070" w:type="dxa"/>
          </w:tcPr>
          <w:p w14:paraId="63102C76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40/26</w:t>
            </w:r>
          </w:p>
        </w:tc>
        <w:tc>
          <w:tcPr>
            <w:tcW w:w="1980" w:type="dxa"/>
          </w:tcPr>
          <w:p w14:paraId="7E86A0E0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26/12</w:t>
            </w:r>
          </w:p>
        </w:tc>
        <w:tc>
          <w:tcPr>
            <w:tcW w:w="2340" w:type="dxa"/>
          </w:tcPr>
          <w:p w14:paraId="0DD6B4CD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35/25</w:t>
            </w:r>
          </w:p>
        </w:tc>
        <w:tc>
          <w:tcPr>
            <w:tcW w:w="1620" w:type="dxa"/>
          </w:tcPr>
          <w:p w14:paraId="00E2E708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1250" w:type="dxa"/>
          </w:tcPr>
          <w:p w14:paraId="1BC5C71F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3" w:type="dxa"/>
          </w:tcPr>
          <w:p w14:paraId="0D749FFF" w14:textId="77777777" w:rsidR="00153A04" w:rsidRDefault="00153A04" w:rsidP="00153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0.593</w:t>
            </w:r>
          </w:p>
        </w:tc>
      </w:tr>
    </w:tbl>
    <w:p w14:paraId="564732E2" w14:textId="77777777" w:rsidR="00153A04" w:rsidRDefault="00153A04" w:rsidP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C51DA2" w14:textId="77777777" w:rsidR="00153A04" w:rsidRPr="00153A04" w:rsidRDefault="00153A04" w:rsidP="00153A04">
      <w:pPr>
        <w:spacing w:after="0"/>
        <w:rPr>
          <w:rFonts w:ascii="Times New Roman" w:hAnsi="Times New Roman" w:cs="Times New Roman"/>
          <w:szCs w:val="22"/>
          <w:lang w:val="en-US"/>
        </w:rPr>
      </w:pPr>
      <w:r w:rsidRPr="00153A04">
        <w:rPr>
          <w:rFonts w:ascii="Times New Roman" w:hAnsi="Times New Roman" w:cs="Times New Roman"/>
          <w:szCs w:val="22"/>
          <w:lang w:val="en-US"/>
        </w:rPr>
        <w:t>Results are shown as mean (SD) or as ratios.: F: results of analyses of variance; χ2: results of analysis of contingency tables</w:t>
      </w:r>
    </w:p>
    <w:p w14:paraId="7B6EA94C" w14:textId="116FD890" w:rsidR="00153A04" w:rsidRDefault="00237F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BMI: body mass index; TUD: tobacco use disorder,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metabolic syndrome.</w:t>
      </w:r>
    </w:p>
    <w:p w14:paraId="46C8F512" w14:textId="266E7C85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ABD101" w14:textId="157E19A3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AA48E0" w14:textId="1CBA77DE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9545DB" w14:textId="77777777" w:rsidR="00153A04" w:rsidRDefault="00153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A466DF" w14:textId="130B57F3" w:rsidR="00456D6E" w:rsidRDefault="00456D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39BE13" w14:textId="75679321" w:rsidR="003D04B6" w:rsidRDefault="003D04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1845526" w14:textId="6CC34587" w:rsidR="00456D6E" w:rsidRDefault="00456D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4F4B20" w14:textId="1252E1E7" w:rsidR="003D04B6" w:rsidRDefault="003D04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80EEE5" wp14:editId="41BFA190">
            <wp:extent cx="8677275" cy="4926917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54" cy="49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17DA7" w14:textId="77777777" w:rsidR="00327EDE" w:rsidRDefault="00327EDE" w:rsidP="00327EDE">
      <w:pPr>
        <w:pStyle w:val="NormalWeb"/>
        <w:spacing w:before="0" w:beforeAutospacing="0" w:after="0" w:afterAutospacing="0"/>
        <w:rPr>
          <w:b/>
          <w:bCs/>
          <w:lang w:val="en-US"/>
        </w:rPr>
      </w:pPr>
    </w:p>
    <w:p w14:paraId="02568D56" w14:textId="77777777" w:rsidR="00327EDE" w:rsidRDefault="00327ED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BE"/>
        </w:rPr>
      </w:pPr>
      <w:r>
        <w:rPr>
          <w:b/>
          <w:bCs/>
          <w:lang w:val="en-US"/>
        </w:rPr>
        <w:br w:type="page"/>
      </w:r>
    </w:p>
    <w:p w14:paraId="415644E9" w14:textId="38168578" w:rsidR="00327EDE" w:rsidRPr="00E06105" w:rsidRDefault="003D04B6" w:rsidP="00E06105">
      <w:pPr>
        <w:pStyle w:val="NormalWeb"/>
        <w:spacing w:before="0" w:beforeAutospacing="0" w:after="0" w:afterAutospacing="0" w:line="480" w:lineRule="auto"/>
        <w:rPr>
          <w:rFonts w:eastAsiaTheme="minorEastAsia"/>
          <w:color w:val="000000" w:themeColor="text1"/>
          <w:kern w:val="24"/>
          <w:lang w:val="en-US"/>
        </w:rPr>
      </w:pPr>
      <w:r w:rsidRPr="00E06105">
        <w:rPr>
          <w:b/>
          <w:bCs/>
          <w:lang w:val="en-US"/>
        </w:rPr>
        <w:lastRenderedPageBreak/>
        <w:t>ESF Figure 4.</w:t>
      </w:r>
      <w:r w:rsidR="00C1791A" w:rsidRPr="00E06105">
        <w:rPr>
          <w:lang w:val="en-US"/>
        </w:rPr>
        <w:t xml:space="preserve"> </w:t>
      </w:r>
      <w:r w:rsidR="00327EDE" w:rsidRPr="00E06105">
        <w:rPr>
          <w:rFonts w:eastAsiaTheme="minorEastAsia"/>
          <w:color w:val="000000" w:themeColor="text1"/>
          <w:kern w:val="24"/>
          <w:lang w:val="en-US"/>
        </w:rPr>
        <w:t>Clustered bar graph showing the RADAR score differences between healthy controls (HC) and patients with mood disorders divided into three lifetime trajectory phases.</w:t>
      </w:r>
    </w:p>
    <w:p w14:paraId="1587A383" w14:textId="7ABB1936" w:rsidR="00E06105" w:rsidRPr="00E06105" w:rsidRDefault="00E06105" w:rsidP="00E06105">
      <w:pPr>
        <w:pStyle w:val="NormalWeb"/>
        <w:spacing w:before="0" w:beforeAutospacing="0" w:after="0" w:afterAutospacing="0" w:line="480" w:lineRule="auto"/>
      </w:pPr>
      <w:proofErr w:type="spellStart"/>
      <w:r w:rsidRPr="00E06105">
        <w:rPr>
          <w:rFonts w:eastAsiaTheme="minorEastAsia"/>
          <w:color w:val="000000" w:themeColor="text1"/>
          <w:kern w:val="24"/>
          <w:lang w:val="en-US"/>
        </w:rPr>
        <w:t>FHISmood</w:t>
      </w:r>
      <w:proofErr w:type="spellEnd"/>
      <w:r w:rsidRPr="00E06105">
        <w:rPr>
          <w:rFonts w:eastAsiaTheme="minorEastAsia"/>
          <w:color w:val="000000" w:themeColor="text1"/>
          <w:kern w:val="24"/>
          <w:lang w:val="en-US"/>
        </w:rPr>
        <w:t xml:space="preserve">: a family history of mood disorders and suicide; </w:t>
      </w:r>
      <w:proofErr w:type="spellStart"/>
      <w:r w:rsidRPr="00E06105">
        <w:rPr>
          <w:rFonts w:eastAsiaTheme="minorEastAsia"/>
          <w:color w:val="000000" w:themeColor="text1"/>
          <w:kern w:val="24"/>
          <w:lang w:val="en-US"/>
        </w:rPr>
        <w:t>ACEphem</w:t>
      </w:r>
      <w:proofErr w:type="spellEnd"/>
      <w:r w:rsidRPr="00E06105">
        <w:rPr>
          <w:rFonts w:eastAsiaTheme="minorEastAsia"/>
          <w:color w:val="000000" w:themeColor="text1"/>
          <w:kern w:val="24"/>
          <w:lang w:val="en-US"/>
        </w:rPr>
        <w:t xml:space="preserve">: adverse childhood experiences (neglect and abuse); ROI2: recurrence of illness index; phenome2: an index of phenome and </w:t>
      </w:r>
      <w:proofErr w:type="spellStart"/>
      <w:r w:rsidRPr="00E06105">
        <w:rPr>
          <w:rFonts w:eastAsiaTheme="minorEastAsia"/>
          <w:color w:val="000000" w:themeColor="text1"/>
          <w:kern w:val="24"/>
          <w:lang w:val="en-US"/>
        </w:rPr>
        <w:t>phenomenome</w:t>
      </w:r>
      <w:proofErr w:type="spellEnd"/>
      <w:r w:rsidRPr="00E06105">
        <w:rPr>
          <w:rFonts w:eastAsiaTheme="minorEastAsia"/>
          <w:color w:val="000000" w:themeColor="text1"/>
          <w:kern w:val="24"/>
          <w:lang w:val="en-US"/>
        </w:rPr>
        <w:t>; any anxiety: number of comorbid anxiety disorders.</w:t>
      </w:r>
    </w:p>
    <w:p w14:paraId="3142B8FB" w14:textId="794FAF44" w:rsidR="003D04B6" w:rsidRPr="00E06105" w:rsidRDefault="003D04B6" w:rsidP="00E0610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DA75E2" w14:textId="77777777" w:rsidR="00E86340" w:rsidRDefault="00E863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C75DB6" w14:textId="77777777" w:rsidR="00E86340" w:rsidRDefault="00E863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593321" w14:textId="77777777" w:rsidR="00E86340" w:rsidRDefault="00E863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603CAE" w14:textId="77777777" w:rsidR="00E86340" w:rsidRDefault="00E863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7D6888" w14:textId="7283318A" w:rsidR="00E86340" w:rsidRDefault="00E863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10750B" w14:textId="0442A195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3D7985" w14:textId="506B931F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7E1C1" w14:textId="459C8C9E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CB6BA2" w14:textId="13ECDE5A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1AD487" w14:textId="7D57EA7F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CC17D4" w14:textId="20BAF19D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ED3E675" w14:textId="623CE8D9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E8CC03" w14:textId="76DDCEB7" w:rsidR="00652ED6" w:rsidRPr="0075058B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12095302"/>
      <w:r w:rsidRPr="007505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ESF, Table </w:t>
      </w:r>
      <w:r w:rsidR="003761D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5058B">
        <w:rPr>
          <w:rFonts w:ascii="Times New Roman" w:hAnsi="Times New Roman" w:cs="Times New Roman"/>
          <w:sz w:val="24"/>
          <w:szCs w:val="24"/>
          <w:lang w:val="en-US"/>
        </w:rPr>
        <w:t>. Results of multiple regression analysis with phenome2 as dependent variable.</w:t>
      </w:r>
    </w:p>
    <w:bookmarkEnd w:id="0"/>
    <w:p w14:paraId="3BE2CE22" w14:textId="77777777" w:rsidR="009D527E" w:rsidRPr="009D527E" w:rsidRDefault="009D527E" w:rsidP="009D5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637"/>
        <w:gridCol w:w="1024"/>
        <w:gridCol w:w="1055"/>
        <w:gridCol w:w="1070"/>
        <w:gridCol w:w="1408"/>
        <w:gridCol w:w="1163"/>
        <w:gridCol w:w="1163"/>
      </w:tblGrid>
      <w:tr w:rsidR="009D527E" w:rsidRPr="009D527E" w14:paraId="412AEE71" w14:textId="77777777">
        <w:trPr>
          <w:cantSplit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AB769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Cs w:val="22"/>
              </w:rPr>
            </w:pPr>
            <w:r w:rsidRPr="009D527E">
              <w:rPr>
                <w:rFonts w:ascii="Arial" w:hAnsi="Arial" w:cs="Arial"/>
                <w:b/>
                <w:bCs/>
                <w:color w:val="010205"/>
                <w:szCs w:val="22"/>
              </w:rPr>
              <w:t>Bootstrap for Coefficients</w:t>
            </w:r>
          </w:p>
        </w:tc>
      </w:tr>
      <w:tr w:rsidR="009D527E" w:rsidRPr="009D527E" w14:paraId="762EBB52" w14:textId="77777777">
        <w:trPr>
          <w:cantSplit/>
        </w:trPr>
        <w:tc>
          <w:tcPr>
            <w:tcW w:w="23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0A40D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663F23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5856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91030D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Bootstrap</w:t>
            </w:r>
            <w:r w:rsidRPr="009D527E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</w:tr>
      <w:tr w:rsidR="009D527E" w:rsidRPr="009D527E" w14:paraId="3727A6CA" w14:textId="77777777">
        <w:trPr>
          <w:cantSplit/>
        </w:trPr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D5426E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6269B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B7ED079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Bias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108BDF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D2C2A8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32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8255F0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9D527E" w:rsidRPr="009D527E" w14:paraId="133ADD07" w14:textId="77777777">
        <w:trPr>
          <w:cantSplit/>
        </w:trPr>
        <w:tc>
          <w:tcPr>
            <w:tcW w:w="23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65B9E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6573C5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172F53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7F4611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AFB584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D383C3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729E9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9D527E" w:rsidRPr="009D527E" w14:paraId="795B984B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3E04AC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461DFD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F95525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-1.557</w:t>
            </w:r>
          </w:p>
        </w:tc>
        <w:tc>
          <w:tcPr>
            <w:tcW w:w="10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4424F0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49E360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A4D20F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1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1B70C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-1.678</w:t>
            </w:r>
          </w:p>
        </w:tc>
        <w:tc>
          <w:tcPr>
            <w:tcW w:w="11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C2484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-1.441</w:t>
            </w:r>
          </w:p>
        </w:tc>
      </w:tr>
      <w:tr w:rsidR="009D527E" w:rsidRPr="009D527E" w14:paraId="54D83827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EE608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FA9288" w14:textId="02C162A5" w:rsidR="009D527E" w:rsidRPr="009D527E" w:rsidRDefault="005D67E4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  <w:r w:rsidR="009D527E" w:rsidRPr="009D527E">
              <w:rPr>
                <w:rFonts w:ascii="Arial" w:hAnsi="Arial" w:cs="Arial"/>
                <w:color w:val="264A60"/>
                <w:sz w:val="18"/>
                <w:szCs w:val="18"/>
              </w:rPr>
              <w:t>urrect</w:t>
            </w:r>
            <w:r w:rsidR="009D527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 w:rsidR="009D527E" w:rsidRPr="009D527E">
              <w:rPr>
                <w:rFonts w:ascii="Arial" w:hAnsi="Arial" w:cs="Arial"/>
                <w:color w:val="264A60"/>
                <w:sz w:val="18"/>
                <w:szCs w:val="18"/>
              </w:rPr>
              <w:t>S</w:t>
            </w:r>
            <w:r w:rsidR="00CF77B7">
              <w:rPr>
                <w:rFonts w:ascii="Arial" w:hAnsi="Arial" w:cs="Arial"/>
                <w:color w:val="264A60"/>
                <w:sz w:val="18"/>
                <w:szCs w:val="18"/>
              </w:rPr>
              <w:t>I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D443AD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34F64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D8BEA2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163993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AB8562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28D74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</w:tr>
      <w:tr w:rsidR="009D527E" w:rsidRPr="009D527E" w14:paraId="6F698BEC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EF1D31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3F9F4B" w14:textId="001E63A4" w:rsidR="009D527E" w:rsidRPr="009D527E" w:rsidRDefault="000B1530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r w:rsidR="009D527E" w:rsidRPr="009D527E">
              <w:rPr>
                <w:rFonts w:ascii="Arial" w:hAnsi="Arial" w:cs="Arial"/>
                <w:color w:val="264A60"/>
                <w:sz w:val="18"/>
                <w:szCs w:val="18"/>
              </w:rPr>
              <w:t>HAMD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CEC674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A0318C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8.910E-5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99A6C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A098E8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16C9F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4F89E2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</w:tr>
      <w:tr w:rsidR="009D527E" w:rsidRPr="009D527E" w14:paraId="5A0EC027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29E16F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BA2D2D" w14:textId="3D76342E" w:rsidR="009D527E" w:rsidRPr="009D527E" w:rsidRDefault="000B1530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r w:rsidR="009D527E" w:rsidRPr="009D527E">
              <w:rPr>
                <w:rFonts w:ascii="Arial" w:hAnsi="Arial" w:cs="Arial"/>
                <w:color w:val="264A60"/>
                <w:sz w:val="18"/>
                <w:szCs w:val="18"/>
              </w:rPr>
              <w:t>HAMA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63E69F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934258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6508FB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1644F3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5FE7DC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4EA4A2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</w:tr>
      <w:tr w:rsidR="009D527E" w:rsidRPr="009D527E" w14:paraId="54F0181E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EE8831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B621F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264A60"/>
                <w:sz w:val="18"/>
                <w:szCs w:val="18"/>
              </w:rPr>
              <w:t>CGI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81FFA15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.189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C9D8AA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389ADDA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3DF5199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94A2669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CB05D17" w14:textId="77777777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</w:p>
        </w:tc>
      </w:tr>
      <w:tr w:rsidR="009D527E" w:rsidRPr="009D527E" w14:paraId="5D033CDE" w14:textId="77777777">
        <w:trPr>
          <w:cantSplit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F4E29" w14:textId="77777777" w:rsid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19DA0BCB" w14:textId="6FE39886" w:rsidR="009D527E" w:rsidRPr="009D527E" w:rsidRDefault="009D527E" w:rsidP="009D52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527E">
              <w:rPr>
                <w:rFonts w:ascii="Arial" w:hAnsi="Arial" w:cs="Arial"/>
                <w:color w:val="010205"/>
                <w:sz w:val="18"/>
                <w:szCs w:val="18"/>
              </w:rPr>
              <w:t>a. Unless otherwise noted, bootstrap results are based on 1000 bootstrap samples</w:t>
            </w:r>
          </w:p>
        </w:tc>
      </w:tr>
    </w:tbl>
    <w:p w14:paraId="391994BE" w14:textId="0B7DD1E2" w:rsidR="009D527E" w:rsidRDefault="00DC4194" w:rsidP="00652E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D527E">
        <w:rPr>
          <w:rFonts w:ascii="Times New Roman" w:hAnsi="Times New Roman" w:cs="Times New Roman"/>
          <w:sz w:val="24"/>
          <w:szCs w:val="24"/>
          <w:lang w:val="en-US"/>
        </w:rPr>
        <w:t>rrent S</w:t>
      </w:r>
      <w:r w:rsidR="00CF77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527E">
        <w:rPr>
          <w:rFonts w:ascii="Times New Roman" w:hAnsi="Times New Roman" w:cs="Times New Roman"/>
          <w:sz w:val="24"/>
          <w:szCs w:val="24"/>
          <w:lang w:val="en-US"/>
        </w:rPr>
        <w:t xml:space="preserve">: sum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E004F3">
        <w:rPr>
          <w:rFonts w:ascii="Times New Roman" w:hAnsi="Times New Roman" w:cs="Times New Roman"/>
          <w:sz w:val="24"/>
          <w:szCs w:val="24"/>
          <w:lang w:val="en-US"/>
        </w:rPr>
        <w:t xml:space="preserve">(last month) </w:t>
      </w:r>
      <w:r>
        <w:rPr>
          <w:rFonts w:ascii="Times New Roman" w:hAnsi="Times New Roman" w:cs="Times New Roman"/>
          <w:sz w:val="24"/>
          <w:szCs w:val="24"/>
          <w:lang w:val="en-US"/>
        </w:rPr>
        <w:t>C-CSSR items 1, 2, 3, 4, 5, and 7</w:t>
      </w:r>
    </w:p>
    <w:p w14:paraId="17491A92" w14:textId="77777777" w:rsidR="00652ED6" w:rsidRPr="0075058B" w:rsidRDefault="00652ED6" w:rsidP="00652E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5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HAMD/HAMA: the Hamilton Depression and Anxiety Rating Scale scores</w:t>
      </w:r>
    </w:p>
    <w:p w14:paraId="6A8D1E91" w14:textId="77777777" w:rsidR="00652ED6" w:rsidRPr="0075058B" w:rsidRDefault="00652ED6" w:rsidP="00652ED6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 w:rsidRPr="007505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CGI: Clinical Global impression score</w:t>
      </w:r>
    </w:p>
    <w:p w14:paraId="42DA7E1D" w14:textId="77777777" w:rsidR="00652ED6" w:rsidRPr="0075058B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058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5BDBE92" w14:textId="6B44DCE6" w:rsidR="00652ED6" w:rsidRDefault="00652E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E1CC7B" w14:textId="006CF8A0" w:rsidR="00652ED6" w:rsidRPr="00B150DE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50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ESF, Table </w:t>
      </w:r>
      <w:r w:rsidR="003761D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B150DE">
        <w:rPr>
          <w:rFonts w:ascii="Times New Roman" w:hAnsi="Times New Roman" w:cs="Times New Roman"/>
          <w:sz w:val="24"/>
          <w:szCs w:val="24"/>
          <w:lang w:val="en-US"/>
        </w:rPr>
        <w:t>. Results of multiple regression analysis with the lifetime trajectory score as dependent variable.</w:t>
      </w:r>
    </w:p>
    <w:p w14:paraId="266E4D50" w14:textId="77777777" w:rsidR="00652ED6" w:rsidRPr="00B150DE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595"/>
        <w:gridCol w:w="1260"/>
        <w:gridCol w:w="1080"/>
        <w:gridCol w:w="1260"/>
        <w:gridCol w:w="1350"/>
        <w:gridCol w:w="1170"/>
        <w:gridCol w:w="1440"/>
      </w:tblGrid>
      <w:tr w:rsidR="00652ED6" w:rsidRPr="00B150DE" w14:paraId="2E28283A" w14:textId="77777777" w:rsidTr="00051C7C">
        <w:trPr>
          <w:cantSplit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8BA18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Bootstrap for Coefficients</w:t>
            </w:r>
          </w:p>
        </w:tc>
      </w:tr>
      <w:tr w:rsidR="00652ED6" w:rsidRPr="00B150DE" w14:paraId="0092544B" w14:textId="77777777" w:rsidTr="00051C7C">
        <w:trPr>
          <w:cantSplit/>
        </w:trPr>
        <w:tc>
          <w:tcPr>
            <w:tcW w:w="33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BF62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3E77FA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6300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68D94CE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Bootstrap</w:t>
            </w: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  <w:vertAlign w:val="superscript"/>
              </w:rPr>
              <w:t>a</w:t>
            </w:r>
          </w:p>
        </w:tc>
      </w:tr>
      <w:tr w:rsidR="00652ED6" w:rsidRPr="00B150DE" w14:paraId="5E3AA33D" w14:textId="77777777" w:rsidTr="00051C7C">
        <w:trPr>
          <w:cantSplit/>
        </w:trPr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8703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B636A4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5B0131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Bias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497B32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080CC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 (2-tailed)</w:t>
            </w:r>
          </w:p>
        </w:tc>
        <w:tc>
          <w:tcPr>
            <w:tcW w:w="261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DED91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95% Confidence Interval</w:t>
            </w:r>
          </w:p>
        </w:tc>
      </w:tr>
      <w:tr w:rsidR="00652ED6" w:rsidRPr="00B150DE" w14:paraId="49C2FC4F" w14:textId="77777777" w:rsidTr="00051C7C">
        <w:trPr>
          <w:cantSplit/>
        </w:trPr>
        <w:tc>
          <w:tcPr>
            <w:tcW w:w="33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5466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B9F4A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EC2082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A7F3A4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3AC14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16A84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Lower</w:t>
            </w:r>
          </w:p>
        </w:tc>
        <w:tc>
          <w:tcPr>
            <w:tcW w:w="14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43593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Upper</w:t>
            </w:r>
          </w:p>
        </w:tc>
      </w:tr>
      <w:tr w:rsidR="00652ED6" w:rsidRPr="00B150DE" w14:paraId="00FB9ED6" w14:textId="77777777" w:rsidTr="00051C7C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562E4E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3B3B60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61D84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-4.313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B3B05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81573E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.105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FCCA9A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F5510F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-4.517</w:t>
            </w:r>
          </w:p>
        </w:tc>
        <w:tc>
          <w:tcPr>
            <w:tcW w:w="14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33817F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-4.104</w:t>
            </w:r>
          </w:p>
        </w:tc>
      </w:tr>
      <w:tr w:rsidR="00652ED6" w:rsidRPr="00B150DE" w14:paraId="38338C98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0925F9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029E1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 number depresions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76EAF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.203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20B1B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4E84D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.014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4BBB6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61ED5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.171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DBCC2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.229</w:t>
            </w:r>
          </w:p>
        </w:tc>
      </w:tr>
      <w:tr w:rsidR="00652ED6" w:rsidRPr="00B150DE" w14:paraId="66C4D09E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5854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F7ABE5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EM_ABU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8A50A1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.140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43DB3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3CFB89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.014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8A7F9A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4DFFB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.114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4575E2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.169</w:t>
            </w:r>
          </w:p>
        </w:tc>
      </w:tr>
      <w:tr w:rsidR="00652ED6" w:rsidRPr="00B150DE" w14:paraId="22622F11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84294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3111A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HAMD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7F846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07D8A8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0F926E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7140E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D4C26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.041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33B2E0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.087</w:t>
            </w:r>
          </w:p>
        </w:tc>
      </w:tr>
      <w:tr w:rsidR="00652ED6" w:rsidRPr="00B150DE" w14:paraId="57DFE4FC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B46409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6E845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EM_NEGL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D7B3A1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12FFE8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F027A5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2DBFE7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280565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.068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163AC90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.117</w:t>
            </w:r>
          </w:p>
        </w:tc>
      </w:tr>
      <w:tr w:rsidR="00652ED6" w:rsidRPr="00B150DE" w14:paraId="729148D9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606BC4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31E56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Sheehan 1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7FA4CE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E24B54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-.001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709CD9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.018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3E07AD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B93F54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.053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BF5E4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.126</w:t>
            </w:r>
          </w:p>
        </w:tc>
      </w:tr>
      <w:tr w:rsidR="00652ED6" w:rsidRPr="00B150DE" w14:paraId="013D235B" w14:textId="77777777" w:rsidTr="00051C7C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4925C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8FB20F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Any Anxiety_yes/no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1AEACB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.758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525867B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.002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BA502F7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.122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46F6EE3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&lt;.001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FDB3EF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.518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CECBDE0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1.000</w:t>
            </w:r>
          </w:p>
        </w:tc>
      </w:tr>
      <w:tr w:rsidR="00652ED6" w:rsidRPr="00B150DE" w14:paraId="6BB5ED22" w14:textId="77777777" w:rsidTr="00051C7C">
        <w:trPr>
          <w:cantSplit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1F988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14:paraId="124E94FA" w14:textId="77777777" w:rsidR="00652ED6" w:rsidRPr="00B150DE" w:rsidRDefault="00652ED6" w:rsidP="00051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B150D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Unless otherwise noted, bootstrap results are based on 1000 bootstrap samples</w:t>
            </w:r>
          </w:p>
        </w:tc>
      </w:tr>
    </w:tbl>
    <w:p w14:paraId="3D571D49" w14:textId="77777777" w:rsidR="00652ED6" w:rsidRPr="00B150DE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50DE">
        <w:rPr>
          <w:rFonts w:ascii="Times New Roman" w:hAnsi="Times New Roman" w:cs="Times New Roman"/>
          <w:sz w:val="24"/>
          <w:szCs w:val="24"/>
          <w:lang w:val="en-US"/>
        </w:rPr>
        <w:t>EM_ABU: emotional abuse</w:t>
      </w:r>
    </w:p>
    <w:p w14:paraId="520B595A" w14:textId="77777777" w:rsidR="00652ED6" w:rsidRPr="00B150DE" w:rsidRDefault="00652ED6" w:rsidP="00652ED6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 w:rsidRPr="00B150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HAMD: the Hamilton Depression Rating Scale score</w:t>
      </w:r>
    </w:p>
    <w:p w14:paraId="186FB7C0" w14:textId="77777777" w:rsidR="00652ED6" w:rsidRPr="00B150DE" w:rsidRDefault="00652ED6" w:rsidP="00652ED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0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EM_NEGL: emotional neglect</w:t>
      </w:r>
    </w:p>
    <w:p w14:paraId="10E9035D" w14:textId="77777777" w:rsidR="00652ED6" w:rsidRPr="00B150DE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50DE">
        <w:rPr>
          <w:rFonts w:ascii="Times New Roman" w:hAnsi="Times New Roman" w:cs="Times New Roman"/>
          <w:sz w:val="24"/>
          <w:szCs w:val="24"/>
          <w:lang w:val="en-US"/>
        </w:rPr>
        <w:t>Sheehan 1: domain 1 score on the Sheehan disability scale</w:t>
      </w:r>
    </w:p>
    <w:p w14:paraId="5632CC9E" w14:textId="77777777" w:rsidR="00652ED6" w:rsidRPr="00B150DE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50DE">
        <w:rPr>
          <w:rFonts w:ascii="Times New Roman" w:hAnsi="Times New Roman" w:cs="Times New Roman"/>
          <w:sz w:val="24"/>
          <w:szCs w:val="24"/>
          <w:lang w:val="en-US"/>
        </w:rPr>
        <w:t>Any anxiety disorder: one of the DSM-IV anxiety disorders in diagnosed</w:t>
      </w:r>
    </w:p>
    <w:p w14:paraId="75E0AE53" w14:textId="6F8AD542" w:rsidR="00652ED6" w:rsidRDefault="00652ED6" w:rsidP="00652E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243B97" w14:textId="24528899" w:rsidR="003761D8" w:rsidRDefault="003761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FBE7D30" w14:textId="3E41E350" w:rsidR="00E6474C" w:rsidRDefault="00B726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23D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ESF, Table </w:t>
      </w:r>
      <w:r w:rsidR="003761D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65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6557" w:rsidRPr="004F79B6">
        <w:rPr>
          <w:rFonts w:ascii="Times New Roman" w:hAnsi="Times New Roman" w:cs="Times New Roman"/>
          <w:sz w:val="24"/>
          <w:szCs w:val="24"/>
          <w:lang w:val="en-US"/>
        </w:rPr>
        <w:t xml:space="preserve">oint-biserial correlations between the drug state variables and </w:t>
      </w:r>
      <w:r w:rsidR="00F76557">
        <w:rPr>
          <w:rFonts w:ascii="Times New Roman" w:hAnsi="Times New Roman" w:cs="Times New Roman"/>
          <w:sz w:val="24"/>
          <w:szCs w:val="24"/>
          <w:lang w:val="en-US"/>
        </w:rPr>
        <w:t>a family history of mood disorders and suicidal attempts (</w:t>
      </w:r>
      <w:proofErr w:type="spellStart"/>
      <w:r w:rsidR="00F76557" w:rsidRPr="004F79B6">
        <w:rPr>
          <w:rFonts w:ascii="Times New Roman" w:hAnsi="Times New Roman" w:cs="Times New Roman"/>
          <w:sz w:val="24"/>
          <w:szCs w:val="24"/>
          <w:lang w:val="en-US"/>
        </w:rPr>
        <w:t>FHISmood</w:t>
      </w:r>
      <w:proofErr w:type="spellEnd"/>
      <w:r w:rsidR="00F7655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6557" w:rsidRPr="004F79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308E">
        <w:rPr>
          <w:rFonts w:ascii="Times New Roman" w:hAnsi="Times New Roman" w:cs="Times New Roman"/>
          <w:sz w:val="24"/>
          <w:szCs w:val="24"/>
          <w:lang w:val="en-US"/>
        </w:rPr>
        <w:t xml:space="preserve">adverse childhood experiences of physical and emotional abuse and </w:t>
      </w:r>
      <w:r w:rsidR="00784167">
        <w:rPr>
          <w:rFonts w:ascii="Times New Roman" w:hAnsi="Times New Roman" w:cs="Times New Roman"/>
          <w:sz w:val="24"/>
          <w:szCs w:val="24"/>
          <w:lang w:val="en-US"/>
        </w:rPr>
        <w:t xml:space="preserve">neglect </w:t>
      </w:r>
      <w:r w:rsidR="007B308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B308E">
        <w:rPr>
          <w:rFonts w:ascii="Times New Roman" w:hAnsi="Times New Roman" w:cs="Times New Roman"/>
          <w:sz w:val="24"/>
          <w:szCs w:val="24"/>
          <w:lang w:val="en-US"/>
        </w:rPr>
        <w:t>ACEphem</w:t>
      </w:r>
      <w:proofErr w:type="spellEnd"/>
      <w:r w:rsidR="007B308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4167">
        <w:rPr>
          <w:rFonts w:ascii="Times New Roman" w:hAnsi="Times New Roman" w:cs="Times New Roman"/>
          <w:sz w:val="24"/>
          <w:szCs w:val="24"/>
          <w:lang w:val="en-US"/>
        </w:rPr>
        <w:t xml:space="preserve">, recurrence of illness (ROI2) and the </w:t>
      </w:r>
      <w:r w:rsidR="00F76557" w:rsidRPr="004F79B6">
        <w:rPr>
          <w:rFonts w:ascii="Times New Roman" w:hAnsi="Times New Roman" w:cs="Times New Roman"/>
          <w:sz w:val="24"/>
          <w:szCs w:val="24"/>
          <w:lang w:val="en-US"/>
        </w:rPr>
        <w:t>phenome</w:t>
      </w:r>
      <w:r w:rsidR="0078416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784167">
        <w:rPr>
          <w:rFonts w:ascii="Times New Roman" w:hAnsi="Times New Roman" w:cs="Times New Roman"/>
          <w:sz w:val="24"/>
          <w:szCs w:val="24"/>
          <w:lang w:val="en-US"/>
        </w:rPr>
        <w:t>phenomenome</w:t>
      </w:r>
      <w:proofErr w:type="spellEnd"/>
      <w:r w:rsidR="00784167">
        <w:rPr>
          <w:rFonts w:ascii="Times New Roman" w:hAnsi="Times New Roman" w:cs="Times New Roman"/>
          <w:sz w:val="24"/>
          <w:szCs w:val="24"/>
          <w:lang w:val="en-US"/>
        </w:rPr>
        <w:t xml:space="preserve"> index (phenome2).</w:t>
      </w:r>
    </w:p>
    <w:tbl>
      <w:tblPr>
        <w:tblW w:w="9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2500"/>
        <w:gridCol w:w="1288"/>
        <w:gridCol w:w="1288"/>
        <w:gridCol w:w="1288"/>
        <w:gridCol w:w="1385"/>
      </w:tblGrid>
      <w:tr w:rsidR="0067708D" w:rsidRPr="0067708D" w14:paraId="3BBF3EB7" w14:textId="77777777" w:rsidTr="00FF5A65">
        <w:trPr>
          <w:trHeight w:val="493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A7C" w14:textId="77777777" w:rsidR="0067708D" w:rsidRPr="0067708D" w:rsidRDefault="0067708D" w:rsidP="0067708D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olor w:val="010205"/>
                <w:szCs w:val="22"/>
                <w:lang w:eastAsia="nl-BE"/>
              </w:rPr>
            </w:pPr>
            <w:r w:rsidRPr="0067708D">
              <w:rPr>
                <w:rFonts w:ascii="Arial Bold" w:eastAsia="Times New Roman" w:hAnsi="Arial Bold" w:cs="Arial"/>
                <w:b/>
                <w:bCs/>
                <w:color w:val="010205"/>
                <w:szCs w:val="22"/>
                <w:lang w:eastAsia="nl-BE"/>
              </w:rPr>
              <w:t>Correlations</w:t>
            </w:r>
          </w:p>
        </w:tc>
      </w:tr>
      <w:tr w:rsidR="0067708D" w:rsidRPr="0067708D" w14:paraId="0ECE0A03" w14:textId="77777777" w:rsidTr="00FF5A65">
        <w:trPr>
          <w:trHeight w:val="391"/>
        </w:trPr>
        <w:tc>
          <w:tcPr>
            <w:tcW w:w="4021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2D5B9E3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C491746" w14:textId="77777777" w:rsidR="0067708D" w:rsidRPr="0067708D" w:rsidRDefault="0067708D" w:rsidP="0067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antidep.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B0EC228" w14:textId="4BAD94AF" w:rsidR="0067708D" w:rsidRPr="0067708D" w:rsidRDefault="00E323D3" w:rsidP="0067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A</w:t>
            </w:r>
            <w:r w:rsidR="0067708D"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ntipsy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03B3752" w14:textId="77777777" w:rsidR="0067708D" w:rsidRPr="0067708D" w:rsidRDefault="0067708D" w:rsidP="0067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lithium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AC626DF" w14:textId="77777777" w:rsidR="0067708D" w:rsidRPr="0067708D" w:rsidRDefault="0067708D" w:rsidP="0067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moodst</w:t>
            </w:r>
          </w:p>
        </w:tc>
      </w:tr>
      <w:tr w:rsidR="0067708D" w:rsidRPr="0067708D" w14:paraId="666F4A5C" w14:textId="77777777" w:rsidTr="00FF5A65">
        <w:trPr>
          <w:trHeight w:val="442"/>
        </w:trPr>
        <w:tc>
          <w:tcPr>
            <w:tcW w:w="1521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62D62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FHISmood</w:t>
            </w:r>
          </w:p>
        </w:tc>
        <w:tc>
          <w:tcPr>
            <w:tcW w:w="25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17BD7CF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Pearson Correlation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B6EF1EE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.203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4A442322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.208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304A9DE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.311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3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4F56D4F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.268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</w:tr>
      <w:tr w:rsidR="0067708D" w:rsidRPr="0067708D" w14:paraId="33270618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5684A362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397CB906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Sig. (2-tailed)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0D2ED88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6EF1F6C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E9541BD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F07A3E3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0.001</w:t>
            </w:r>
          </w:p>
        </w:tc>
      </w:tr>
      <w:tr w:rsidR="0067708D" w:rsidRPr="0067708D" w14:paraId="251B41CE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7B219D42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9AE54F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785BFD1C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7C0A0D3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28A9BC24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12A37DBC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</w:tr>
      <w:tr w:rsidR="0067708D" w:rsidRPr="0067708D" w14:paraId="017D4196" w14:textId="77777777" w:rsidTr="00FF5A65">
        <w:trPr>
          <w:trHeight w:val="442"/>
        </w:trPr>
        <w:tc>
          <w:tcPr>
            <w:tcW w:w="1521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B851A2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ACEphem</w:t>
            </w:r>
          </w:p>
        </w:tc>
        <w:tc>
          <w:tcPr>
            <w:tcW w:w="25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3720668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Pearson Correlation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7109349B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0.118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9342509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.234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07D6E29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.258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3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6F7F4F5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.306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</w:tr>
      <w:tr w:rsidR="0067708D" w:rsidRPr="0067708D" w14:paraId="6F0DB782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3D49BE28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5110D3E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Sig. (2-tailed)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D9D51C2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0.135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67562BFB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6FE2385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4983A9F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</w:tr>
      <w:tr w:rsidR="0067708D" w:rsidRPr="0067708D" w14:paraId="748EA84E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7C45D695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4602C0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7EE4338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1399893A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04323F21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16AC8C4A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</w:tr>
      <w:tr w:rsidR="0067708D" w:rsidRPr="0067708D" w14:paraId="7891C6F3" w14:textId="77777777" w:rsidTr="00FF5A65">
        <w:trPr>
          <w:trHeight w:val="442"/>
        </w:trPr>
        <w:tc>
          <w:tcPr>
            <w:tcW w:w="1521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DBA5BC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ROI2</w:t>
            </w:r>
          </w:p>
        </w:tc>
        <w:tc>
          <w:tcPr>
            <w:tcW w:w="25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4871D844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Pearson Correlation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28280AB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.276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738F036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.363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508253BE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.412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3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2D38B3F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.438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</w:tr>
      <w:tr w:rsidR="0067708D" w:rsidRPr="0067708D" w14:paraId="5148647D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0B8A5B08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55D2F408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Sig. (2-tailed)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18E8C49B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4CB1ECA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6F68F2DD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2839ED11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</w:tr>
      <w:tr w:rsidR="0067708D" w:rsidRPr="0067708D" w14:paraId="3E67B5F5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6143FBE8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23CDB9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N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6097EEE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3FB4CC57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160FF6D5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FFFFFF"/>
            <w:noWrap/>
            <w:hideMark/>
          </w:tcPr>
          <w:p w14:paraId="7D7CF8F4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</w:tr>
      <w:tr w:rsidR="0067708D" w:rsidRPr="0067708D" w14:paraId="30FF1F12" w14:textId="77777777" w:rsidTr="00FF5A65">
        <w:trPr>
          <w:trHeight w:val="442"/>
        </w:trPr>
        <w:tc>
          <w:tcPr>
            <w:tcW w:w="1521" w:type="dxa"/>
            <w:vMerge w:val="restart"/>
            <w:tcBorders>
              <w:top w:val="single" w:sz="4" w:space="0" w:color="C0C0C0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2BBC41A9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Phenome2</w:t>
            </w:r>
          </w:p>
        </w:tc>
        <w:tc>
          <w:tcPr>
            <w:tcW w:w="25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702FB913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Pearson Correlation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71DBEF15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.290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1D6FE919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.267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694E3048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0.120</w:t>
            </w:r>
          </w:p>
        </w:tc>
        <w:tc>
          <w:tcPr>
            <w:tcW w:w="13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779F2FF1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.308</w:t>
            </w: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vertAlign w:val="superscript"/>
                <w:lang w:eastAsia="nl-BE"/>
              </w:rPr>
              <w:t>**</w:t>
            </w:r>
          </w:p>
        </w:tc>
      </w:tr>
      <w:tr w:rsidR="0067708D" w:rsidRPr="0067708D" w14:paraId="310C128B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657CC62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0E0E0"/>
            <w:hideMark/>
          </w:tcPr>
          <w:p w14:paraId="31489316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Sig. (2-tailed)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483F7168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44EE8862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0DF2FD22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0.128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C0C0C0"/>
              <w:right w:val="single" w:sz="4" w:space="0" w:color="E0E0E0"/>
            </w:tcBorders>
            <w:shd w:val="clear" w:color="000000" w:fill="FFFFFF"/>
            <w:noWrap/>
            <w:hideMark/>
          </w:tcPr>
          <w:p w14:paraId="3DE5B98C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0.000</w:t>
            </w:r>
          </w:p>
        </w:tc>
      </w:tr>
      <w:tr w:rsidR="0067708D" w:rsidRPr="0067708D" w14:paraId="34A4EB04" w14:textId="77777777" w:rsidTr="00FF5A65">
        <w:trPr>
          <w:trHeight w:val="420"/>
        </w:trPr>
        <w:tc>
          <w:tcPr>
            <w:tcW w:w="1521" w:type="dxa"/>
            <w:vMerge/>
            <w:tcBorders>
              <w:top w:val="single" w:sz="4" w:space="0" w:color="C0C0C0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7301A7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4B732084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264A60"/>
                <w:sz w:val="18"/>
                <w:szCs w:val="18"/>
                <w:lang w:eastAsia="nl-BE"/>
              </w:rPr>
              <w:t>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FFFFF"/>
            <w:noWrap/>
            <w:hideMark/>
          </w:tcPr>
          <w:p w14:paraId="1AB33C06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FFFFF"/>
            <w:noWrap/>
            <w:hideMark/>
          </w:tcPr>
          <w:p w14:paraId="69128460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FFFFF"/>
            <w:noWrap/>
            <w:hideMark/>
          </w:tcPr>
          <w:p w14:paraId="066D3AAF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FFFFF"/>
            <w:noWrap/>
            <w:hideMark/>
          </w:tcPr>
          <w:p w14:paraId="2770FCF4" w14:textId="77777777" w:rsidR="0067708D" w:rsidRPr="0067708D" w:rsidRDefault="0067708D" w:rsidP="00677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161</w:t>
            </w:r>
          </w:p>
        </w:tc>
      </w:tr>
      <w:tr w:rsidR="0067708D" w:rsidRPr="0067708D" w14:paraId="5A02992D" w14:textId="77777777" w:rsidTr="00FF5A65">
        <w:trPr>
          <w:trHeight w:val="420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D225" w14:textId="0D0F585D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*. Correlation is significant at the 0.05 level (2-tailed).</w:t>
            </w:r>
          </w:p>
        </w:tc>
      </w:tr>
      <w:tr w:rsidR="0067708D" w:rsidRPr="0067708D" w14:paraId="18EC4EAA" w14:textId="77777777" w:rsidTr="00FF5A65">
        <w:trPr>
          <w:trHeight w:val="420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34FB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  <w:r w:rsidRPr="0067708D"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  <w:t>**. Correlation is significant at the 0.01 level (2-tailed).</w:t>
            </w:r>
          </w:p>
        </w:tc>
      </w:tr>
      <w:tr w:rsidR="0067708D" w:rsidRPr="0067708D" w14:paraId="6D500A95" w14:textId="77777777" w:rsidTr="00FF5A65">
        <w:trPr>
          <w:trHeight w:val="313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C31" w14:textId="77777777" w:rsidR="0067708D" w:rsidRPr="0067708D" w:rsidRDefault="0067708D" w:rsidP="0067708D">
            <w:pPr>
              <w:spacing w:after="0" w:line="240" w:lineRule="auto"/>
              <w:rPr>
                <w:rFonts w:ascii="Arial" w:eastAsia="Times New Roman" w:hAnsi="Arial" w:cs="Arial"/>
                <w:color w:val="010205"/>
                <w:sz w:val="18"/>
                <w:szCs w:val="18"/>
                <w:lang w:eastAsia="nl-B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2A0" w14:textId="77777777" w:rsidR="0067708D" w:rsidRPr="0067708D" w:rsidRDefault="0067708D" w:rsidP="006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0143" w14:textId="77777777" w:rsidR="0067708D" w:rsidRPr="0067708D" w:rsidRDefault="0067708D" w:rsidP="006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38B6" w14:textId="77777777" w:rsidR="0067708D" w:rsidRPr="0067708D" w:rsidRDefault="0067708D" w:rsidP="006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81FF" w14:textId="77777777" w:rsidR="0067708D" w:rsidRPr="0067708D" w:rsidRDefault="0067708D" w:rsidP="006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258" w14:textId="77777777" w:rsidR="0067708D" w:rsidRPr="0067708D" w:rsidRDefault="0067708D" w:rsidP="0067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7F96F3A" w14:textId="1CBC10DF" w:rsidR="00E6474C" w:rsidRDefault="007841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Antidep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antidepressants;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antipsy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antipsychotics,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mood sta</w:t>
      </w:r>
      <w:r w:rsidR="00F3711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ilizers.</w:t>
      </w:r>
    </w:p>
    <w:sectPr w:rsidR="00E6474C" w:rsidSect="00B23B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1"/>
    <w:rsid w:val="00035DB2"/>
    <w:rsid w:val="00064369"/>
    <w:rsid w:val="000769AD"/>
    <w:rsid w:val="00096623"/>
    <w:rsid w:val="000B1530"/>
    <w:rsid w:val="000C0ED5"/>
    <w:rsid w:val="000C69F8"/>
    <w:rsid w:val="00106B18"/>
    <w:rsid w:val="0011643A"/>
    <w:rsid w:val="001371C3"/>
    <w:rsid w:val="00153A04"/>
    <w:rsid w:val="00195667"/>
    <w:rsid w:val="002012C9"/>
    <w:rsid w:val="00237F9D"/>
    <w:rsid w:val="0030006F"/>
    <w:rsid w:val="00304A09"/>
    <w:rsid w:val="00320A9B"/>
    <w:rsid w:val="00327EDE"/>
    <w:rsid w:val="00363311"/>
    <w:rsid w:val="003761D8"/>
    <w:rsid w:val="003C771A"/>
    <w:rsid w:val="003D04B6"/>
    <w:rsid w:val="003D167E"/>
    <w:rsid w:val="004176FD"/>
    <w:rsid w:val="004266F3"/>
    <w:rsid w:val="00440682"/>
    <w:rsid w:val="004476E8"/>
    <w:rsid w:val="00450D9B"/>
    <w:rsid w:val="00456D6E"/>
    <w:rsid w:val="0053491B"/>
    <w:rsid w:val="005849C4"/>
    <w:rsid w:val="005B7AC6"/>
    <w:rsid w:val="005D67E4"/>
    <w:rsid w:val="005F28C3"/>
    <w:rsid w:val="005F5055"/>
    <w:rsid w:val="00605800"/>
    <w:rsid w:val="0064518C"/>
    <w:rsid w:val="00652ED6"/>
    <w:rsid w:val="00666448"/>
    <w:rsid w:val="0067708D"/>
    <w:rsid w:val="006C0DC4"/>
    <w:rsid w:val="0075058B"/>
    <w:rsid w:val="00752E80"/>
    <w:rsid w:val="00780E9F"/>
    <w:rsid w:val="00784167"/>
    <w:rsid w:val="00791EB8"/>
    <w:rsid w:val="00792777"/>
    <w:rsid w:val="007A5669"/>
    <w:rsid w:val="007B308E"/>
    <w:rsid w:val="007F5E45"/>
    <w:rsid w:val="00807862"/>
    <w:rsid w:val="0081124C"/>
    <w:rsid w:val="0081169D"/>
    <w:rsid w:val="008A0329"/>
    <w:rsid w:val="008A2450"/>
    <w:rsid w:val="00935EAF"/>
    <w:rsid w:val="009534CF"/>
    <w:rsid w:val="00971A5B"/>
    <w:rsid w:val="009C54F3"/>
    <w:rsid w:val="009D527E"/>
    <w:rsid w:val="009E0A4C"/>
    <w:rsid w:val="009E62B8"/>
    <w:rsid w:val="00A277D0"/>
    <w:rsid w:val="00A400F2"/>
    <w:rsid w:val="00A6324C"/>
    <w:rsid w:val="00A921DE"/>
    <w:rsid w:val="00AC6BD6"/>
    <w:rsid w:val="00B0099E"/>
    <w:rsid w:val="00B150DE"/>
    <w:rsid w:val="00B23B01"/>
    <w:rsid w:val="00B3103E"/>
    <w:rsid w:val="00B72653"/>
    <w:rsid w:val="00BA0C8F"/>
    <w:rsid w:val="00BE634C"/>
    <w:rsid w:val="00C1791A"/>
    <w:rsid w:val="00C17CFF"/>
    <w:rsid w:val="00C2511F"/>
    <w:rsid w:val="00C41D68"/>
    <w:rsid w:val="00C603CF"/>
    <w:rsid w:val="00C61ED7"/>
    <w:rsid w:val="00C77456"/>
    <w:rsid w:val="00C90B23"/>
    <w:rsid w:val="00C91625"/>
    <w:rsid w:val="00CA4DE3"/>
    <w:rsid w:val="00CA53EC"/>
    <w:rsid w:val="00CC3A12"/>
    <w:rsid w:val="00CE3134"/>
    <w:rsid w:val="00CF77B7"/>
    <w:rsid w:val="00D30AD6"/>
    <w:rsid w:val="00D44319"/>
    <w:rsid w:val="00D7346D"/>
    <w:rsid w:val="00D76D22"/>
    <w:rsid w:val="00D80DD9"/>
    <w:rsid w:val="00DB0385"/>
    <w:rsid w:val="00DC4194"/>
    <w:rsid w:val="00E004F3"/>
    <w:rsid w:val="00E06105"/>
    <w:rsid w:val="00E323D3"/>
    <w:rsid w:val="00E47C05"/>
    <w:rsid w:val="00E6474C"/>
    <w:rsid w:val="00E86340"/>
    <w:rsid w:val="00F037B1"/>
    <w:rsid w:val="00F26831"/>
    <w:rsid w:val="00F37117"/>
    <w:rsid w:val="00F76557"/>
    <w:rsid w:val="00FE2A7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3A4C"/>
  <w15:chartTrackingRefBased/>
  <w15:docId w15:val="{5FBCBD1B-B36E-4765-BC6F-A4A6A1F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nl-B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1321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Maes</dc:creator>
  <cp:keywords/>
  <dc:description/>
  <cp:lastModifiedBy>Michael Maes</cp:lastModifiedBy>
  <cp:revision>2</cp:revision>
  <dcterms:created xsi:type="dcterms:W3CDTF">2022-10-04T04:21:00Z</dcterms:created>
  <dcterms:modified xsi:type="dcterms:W3CDTF">2022-10-04T04:21:00Z</dcterms:modified>
</cp:coreProperties>
</file>