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FCC3" w14:textId="67DAA328" w:rsidR="00B011B0" w:rsidRDefault="002357A5" w:rsidP="1BCBB9D7">
      <w:pPr>
        <w:jc w:val="center"/>
        <w:rPr>
          <w:rFonts w:cs="Arial"/>
          <w:b/>
          <w:bCs/>
          <w:lang w:val="en-GB"/>
        </w:rPr>
      </w:pPr>
      <w:bookmarkStart w:id="0" w:name="_Toc349293625"/>
      <w:bookmarkStart w:id="1" w:name="_Toc349545915"/>
      <w:bookmarkStart w:id="2" w:name="_Toc376503770"/>
      <w:bookmarkStart w:id="3" w:name="_Toc376503839"/>
      <w:r w:rsidRPr="002357A5">
        <w:rPr>
          <w:rFonts w:cs="Arial"/>
          <w:b/>
          <w:bCs/>
          <w:lang w:val="en-GB"/>
        </w:rPr>
        <w:t>Pre-pubertal low intensity exercise mitigates the effects of an early-life stressor in adolescent FSL rats, regardless of prenatal exercise</w:t>
      </w:r>
      <w:r w:rsidR="1642279D" w:rsidRPr="1BCBB9D7">
        <w:rPr>
          <w:rFonts w:cs="Arial"/>
          <w:b/>
          <w:bCs/>
          <w:lang w:val="en-GB"/>
        </w:rPr>
        <w:t xml:space="preserve"> </w:t>
      </w:r>
    </w:p>
    <w:p w14:paraId="68DC1763" w14:textId="523432E9" w:rsidR="00A33A9F" w:rsidRPr="00A33A9F" w:rsidRDefault="00A33A9F" w:rsidP="1BCBB9D7">
      <w:pPr>
        <w:jc w:val="center"/>
        <w:rPr>
          <w:rFonts w:cs="Arial"/>
          <w:b/>
          <w:bCs/>
          <w:i/>
          <w:iCs/>
          <w:sz w:val="28"/>
          <w:szCs w:val="24"/>
          <w:lang w:val="en-GB"/>
        </w:rPr>
      </w:pPr>
      <w:r w:rsidRPr="00A33A9F">
        <w:rPr>
          <w:rFonts w:cs="Arial"/>
          <w:b/>
          <w:bCs/>
          <w:i/>
          <w:iCs/>
          <w:sz w:val="28"/>
          <w:szCs w:val="24"/>
          <w:lang w:val="en-GB"/>
        </w:rPr>
        <w:t>Supplementary data</w:t>
      </w:r>
    </w:p>
    <w:p w14:paraId="4BE7B8E7" w14:textId="77777777" w:rsidR="00B011B0" w:rsidRPr="009F146A" w:rsidRDefault="00B011B0" w:rsidP="00B011B0">
      <w:pPr>
        <w:jc w:val="center"/>
        <w:rPr>
          <w:rFonts w:cs="Arial"/>
          <w:szCs w:val="22"/>
          <w:vertAlign w:val="superscript"/>
          <w:lang w:val="en-GB"/>
        </w:rPr>
      </w:pPr>
      <w:r w:rsidRPr="009F146A">
        <w:rPr>
          <w:rFonts w:cs="Arial"/>
          <w:szCs w:val="22"/>
          <w:lang w:val="en-GB"/>
        </w:rPr>
        <w:t>Ashleigh J Whitney</w:t>
      </w:r>
      <w:r w:rsidRPr="009F146A">
        <w:rPr>
          <w:rFonts w:cs="Arial"/>
          <w:szCs w:val="22"/>
          <w:vertAlign w:val="superscript"/>
          <w:lang w:val="en-GB"/>
        </w:rPr>
        <w:t>1</w:t>
      </w:r>
      <w:r w:rsidRPr="009F146A">
        <w:rPr>
          <w:rFonts w:cs="Arial"/>
          <w:szCs w:val="22"/>
          <w:lang w:val="en-GB"/>
        </w:rPr>
        <w:t>, Zander Lindeque</w:t>
      </w:r>
      <w:r w:rsidRPr="009F146A">
        <w:rPr>
          <w:rFonts w:cs="Arial"/>
          <w:szCs w:val="22"/>
          <w:vertAlign w:val="superscript"/>
          <w:lang w:val="en-GB"/>
        </w:rPr>
        <w:t>2</w:t>
      </w:r>
      <w:r w:rsidRPr="009F146A">
        <w:rPr>
          <w:rFonts w:cs="Arial"/>
          <w:szCs w:val="22"/>
          <w:lang w:val="en-GB"/>
        </w:rPr>
        <w:t>, Ruan Kruger</w:t>
      </w:r>
      <w:r w:rsidRPr="009F146A">
        <w:rPr>
          <w:rFonts w:cs="Arial"/>
          <w:szCs w:val="22"/>
          <w:vertAlign w:val="superscript"/>
          <w:lang w:val="en-GB"/>
        </w:rPr>
        <w:t>3,4</w:t>
      </w:r>
      <w:r w:rsidRPr="009F146A">
        <w:rPr>
          <w:rFonts w:cs="Arial"/>
          <w:szCs w:val="22"/>
          <w:lang w:val="en-GB"/>
        </w:rPr>
        <w:t>, Stephan F Steyn</w:t>
      </w:r>
      <w:r w:rsidRPr="009F146A">
        <w:rPr>
          <w:rFonts w:cs="Arial"/>
          <w:szCs w:val="22"/>
          <w:vertAlign w:val="superscript"/>
          <w:lang w:val="en-GB"/>
        </w:rPr>
        <w:t>1*</w:t>
      </w:r>
    </w:p>
    <w:p w14:paraId="7CED5F38" w14:textId="5A59DEBA" w:rsidR="00B011B0" w:rsidRPr="009F146A" w:rsidRDefault="00B011B0" w:rsidP="00A51DF6">
      <w:pPr>
        <w:spacing w:after="0"/>
        <w:jc w:val="center"/>
        <w:rPr>
          <w:rFonts w:cs="Arial"/>
          <w:i/>
          <w:iCs/>
          <w:sz w:val="18"/>
          <w:szCs w:val="18"/>
          <w:vertAlign w:val="superscript"/>
          <w:lang w:val="en-GB"/>
        </w:rPr>
      </w:pPr>
      <w:r w:rsidRPr="009F146A">
        <w:rPr>
          <w:rFonts w:cs="Arial"/>
          <w:i/>
          <w:iCs/>
          <w:sz w:val="18"/>
          <w:szCs w:val="18"/>
          <w:vertAlign w:val="superscript"/>
          <w:lang w:val="en-GB"/>
        </w:rPr>
        <w:t xml:space="preserve">1 </w:t>
      </w:r>
      <w:r w:rsidRPr="009F146A">
        <w:rPr>
          <w:rFonts w:cs="Arial"/>
          <w:i/>
          <w:iCs/>
          <w:sz w:val="18"/>
          <w:szCs w:val="18"/>
          <w:lang w:val="en-GB"/>
        </w:rPr>
        <w:t>Centre of Excellence for Pharmaceutical Sciences, Faculty of Health Sciences, North-West</w:t>
      </w:r>
      <w:r w:rsidR="00377BC4" w:rsidRPr="009F146A">
        <w:rPr>
          <w:rFonts w:cs="Arial"/>
          <w:i/>
          <w:iCs/>
          <w:sz w:val="18"/>
          <w:szCs w:val="18"/>
          <w:lang w:val="en-GB"/>
        </w:rPr>
        <w:t xml:space="preserve"> </w:t>
      </w:r>
      <w:r w:rsidRPr="009F146A">
        <w:rPr>
          <w:rFonts w:cs="Arial"/>
          <w:i/>
          <w:iCs/>
          <w:sz w:val="18"/>
          <w:szCs w:val="18"/>
          <w:lang w:val="en-GB"/>
        </w:rPr>
        <w:t>University, Potchefstroom, South Africa</w:t>
      </w:r>
    </w:p>
    <w:p w14:paraId="396AEBF8" w14:textId="7907F285" w:rsidR="00B011B0" w:rsidRPr="009F146A" w:rsidRDefault="00B011B0" w:rsidP="00A51DF6">
      <w:pPr>
        <w:spacing w:after="0"/>
        <w:jc w:val="center"/>
        <w:rPr>
          <w:rFonts w:cs="Arial"/>
          <w:i/>
          <w:iCs/>
          <w:sz w:val="18"/>
          <w:szCs w:val="18"/>
          <w:lang w:val="en-GB"/>
        </w:rPr>
      </w:pPr>
      <w:r w:rsidRPr="009F146A">
        <w:rPr>
          <w:rFonts w:cs="Arial"/>
          <w:i/>
          <w:iCs/>
          <w:sz w:val="18"/>
          <w:szCs w:val="18"/>
          <w:vertAlign w:val="superscript"/>
          <w:lang w:val="en-GB"/>
        </w:rPr>
        <w:t xml:space="preserve">2 </w:t>
      </w:r>
      <w:r w:rsidRPr="009F146A">
        <w:rPr>
          <w:rFonts w:cs="Arial"/>
          <w:i/>
          <w:iCs/>
          <w:sz w:val="18"/>
          <w:szCs w:val="18"/>
          <w:lang w:val="en-GB"/>
        </w:rPr>
        <w:t>Human Metabolomics, Faculty of Natural and Agricultural Sciences, North-West University</w:t>
      </w:r>
      <w:r w:rsidR="00A51DF6" w:rsidRPr="009F146A">
        <w:rPr>
          <w:rFonts w:cs="Arial"/>
          <w:i/>
          <w:iCs/>
          <w:sz w:val="18"/>
          <w:szCs w:val="18"/>
          <w:lang w:val="en-GB"/>
        </w:rPr>
        <w:t>, South Africa</w:t>
      </w:r>
    </w:p>
    <w:p w14:paraId="55EB500D" w14:textId="1B1C369C" w:rsidR="00B011B0" w:rsidRPr="009F146A" w:rsidRDefault="00B011B0" w:rsidP="00A51DF6">
      <w:pPr>
        <w:spacing w:after="0"/>
        <w:jc w:val="center"/>
        <w:rPr>
          <w:rFonts w:cs="Arial"/>
          <w:i/>
          <w:iCs/>
          <w:sz w:val="18"/>
          <w:szCs w:val="18"/>
          <w:lang w:val="en-GB"/>
        </w:rPr>
      </w:pPr>
      <w:r w:rsidRPr="009F146A">
        <w:rPr>
          <w:rFonts w:cs="Arial"/>
          <w:i/>
          <w:iCs/>
          <w:sz w:val="18"/>
          <w:szCs w:val="18"/>
          <w:vertAlign w:val="superscript"/>
          <w:lang w:val="en-GB"/>
        </w:rPr>
        <w:t>3</w:t>
      </w:r>
      <w:r w:rsidRPr="009F146A">
        <w:rPr>
          <w:rFonts w:cs="Arial"/>
          <w:i/>
          <w:iCs/>
          <w:sz w:val="18"/>
          <w:szCs w:val="18"/>
          <w:lang w:val="en-GB"/>
        </w:rPr>
        <w:t xml:space="preserve"> Hypertension in African Research Team (HART), North-West University</w:t>
      </w:r>
      <w:r w:rsidR="00A51DF6" w:rsidRPr="009F146A">
        <w:rPr>
          <w:rFonts w:cs="Arial"/>
          <w:i/>
          <w:iCs/>
          <w:sz w:val="18"/>
          <w:szCs w:val="18"/>
          <w:lang w:val="en-GB"/>
        </w:rPr>
        <w:t>, South Africa</w:t>
      </w:r>
    </w:p>
    <w:p w14:paraId="3F6ADD16" w14:textId="2A3EF09F" w:rsidR="00B011B0" w:rsidRPr="009F146A" w:rsidRDefault="00B011B0" w:rsidP="00A51DF6">
      <w:pPr>
        <w:jc w:val="center"/>
        <w:rPr>
          <w:rFonts w:cs="Arial"/>
          <w:i/>
          <w:iCs/>
          <w:sz w:val="18"/>
          <w:szCs w:val="18"/>
          <w:lang w:val="en-GB"/>
        </w:rPr>
      </w:pPr>
      <w:r w:rsidRPr="009F146A">
        <w:rPr>
          <w:rFonts w:cs="Arial"/>
          <w:i/>
          <w:iCs/>
          <w:sz w:val="18"/>
          <w:szCs w:val="18"/>
          <w:vertAlign w:val="superscript"/>
          <w:lang w:val="en-GB"/>
        </w:rPr>
        <w:t>4</w:t>
      </w:r>
      <w:r w:rsidRPr="009F146A">
        <w:rPr>
          <w:rFonts w:cs="Arial"/>
          <w:i/>
          <w:iCs/>
          <w:sz w:val="18"/>
          <w:szCs w:val="18"/>
          <w:lang w:val="en-GB"/>
        </w:rPr>
        <w:t xml:space="preserve"> MRC Research Unit for Hypertension and Cardiovascular Disease, North-West Universit</w:t>
      </w:r>
      <w:r w:rsidR="00A51DF6" w:rsidRPr="009F146A">
        <w:rPr>
          <w:rFonts w:cs="Arial"/>
          <w:i/>
          <w:iCs/>
          <w:sz w:val="18"/>
          <w:szCs w:val="18"/>
          <w:lang w:val="en-GB"/>
        </w:rPr>
        <w:t>y, South Africa</w:t>
      </w:r>
    </w:p>
    <w:p w14:paraId="01B07115" w14:textId="77777777" w:rsidR="00B011B0" w:rsidRPr="009F146A" w:rsidRDefault="00B011B0" w:rsidP="00B011B0">
      <w:pPr>
        <w:jc w:val="center"/>
        <w:rPr>
          <w:rFonts w:cs="Arial"/>
          <w:szCs w:val="22"/>
          <w:lang w:val="en-GB"/>
        </w:rPr>
      </w:pPr>
      <w:r w:rsidRPr="009F146A">
        <w:rPr>
          <w:rFonts w:cs="Arial"/>
          <w:szCs w:val="22"/>
          <w:vertAlign w:val="superscript"/>
          <w:lang w:val="en-GB"/>
        </w:rPr>
        <w:t xml:space="preserve">* </w:t>
      </w:r>
      <w:r w:rsidRPr="009F146A">
        <w:rPr>
          <w:rFonts w:cs="Arial"/>
          <w:szCs w:val="22"/>
          <w:lang w:val="en-GB"/>
        </w:rPr>
        <w:t>Corresponding author: Stephan.steyn@nwu.ac.za; Tel: +27 18 299 2228</w:t>
      </w:r>
    </w:p>
    <w:p w14:paraId="7D8EC870" w14:textId="7763E0D0" w:rsidR="00A33A9F" w:rsidRDefault="00A33A9F" w:rsidP="00A33A9F">
      <w:pPr>
        <w:rPr>
          <w:rFonts w:cs="Arial"/>
          <w:b/>
          <w:bCs/>
          <w:lang w:val="en-GB"/>
        </w:rPr>
      </w:pPr>
      <w:r w:rsidRPr="00A33A9F">
        <w:rPr>
          <w:rFonts w:cs="Arial"/>
          <w:b/>
          <w:bCs/>
          <w:lang w:val="en-GB"/>
        </w:rPr>
        <w:t>S1</w:t>
      </w:r>
      <w:r>
        <w:rPr>
          <w:rFonts w:cs="Arial"/>
          <w:b/>
          <w:bCs/>
          <w:lang w:val="en-GB"/>
        </w:rPr>
        <w:tab/>
      </w:r>
      <w:r w:rsidR="0064608B">
        <w:rPr>
          <w:rFonts w:cs="Arial"/>
          <w:b/>
          <w:bCs/>
          <w:lang w:val="en-GB"/>
        </w:rPr>
        <w:t>Methods</w:t>
      </w:r>
    </w:p>
    <w:p w14:paraId="221AD343" w14:textId="060C4C69" w:rsidR="0064608B" w:rsidRDefault="007C15DC" w:rsidP="00A33A9F">
      <w:pPr>
        <w:rPr>
          <w:rFonts w:cs="Arial"/>
          <w:b/>
          <w:bCs/>
          <w:lang w:val="en-GB"/>
        </w:rPr>
      </w:pPr>
      <w:r>
        <w:rPr>
          <w:rFonts w:cs="Arial"/>
          <w:b/>
          <w:bCs/>
          <w:lang w:val="en-GB"/>
        </w:rPr>
        <w:t>S1.1</w:t>
      </w:r>
      <w:r>
        <w:rPr>
          <w:rFonts w:cs="Arial"/>
          <w:b/>
          <w:bCs/>
          <w:lang w:val="en-GB"/>
        </w:rPr>
        <w:tab/>
      </w:r>
      <w:r w:rsidRPr="007C15DC">
        <w:rPr>
          <w:rFonts w:cs="Arial"/>
          <w:b/>
          <w:bCs/>
          <w:lang w:val="en-GB"/>
        </w:rPr>
        <w:t>Quantitative analyses of hippocampal monoamines, GSH and GSSG</w:t>
      </w:r>
    </w:p>
    <w:p w14:paraId="37996333" w14:textId="3044B411" w:rsidR="007C15DC" w:rsidRDefault="00CD6447" w:rsidP="00A33A9F">
      <w:pPr>
        <w:rPr>
          <w:rFonts w:cs="Arial"/>
          <w:szCs w:val="22"/>
          <w:lang w:val="en-GB"/>
        </w:rPr>
      </w:pPr>
      <w:r>
        <w:rPr>
          <w:rFonts w:cs="Arial"/>
          <w:szCs w:val="22"/>
          <w:lang w:val="en-GB"/>
        </w:rPr>
        <w:t>After weighing the sample</w:t>
      </w:r>
      <w:r w:rsidRPr="009F146A">
        <w:rPr>
          <w:rFonts w:cs="Arial"/>
          <w:szCs w:val="22"/>
          <w:lang w:val="en-GB"/>
        </w:rPr>
        <w:t xml:space="preserve">, 250 µL of the internal standard solution (ethyl-4-hydroxy-2-quinolinecarboxylate) was added.  The mixtures were homogenized by sonication (twice for 12 s, at an amplitude of 14 µ; MSE ultrasonic disintegrator, Nuaillé, </w:t>
      </w:r>
      <w:r>
        <w:rPr>
          <w:rFonts w:cs="Arial"/>
          <w:szCs w:val="22"/>
          <w:lang w:val="en-GB"/>
        </w:rPr>
        <w:t>FRA)</w:t>
      </w:r>
      <w:r w:rsidRPr="009F146A">
        <w:rPr>
          <w:rFonts w:cs="Arial"/>
          <w:szCs w:val="22"/>
          <w:lang w:val="en-GB"/>
        </w:rPr>
        <w:t xml:space="preserve">.  The mixture was left on ice for 20 min to complete protein precipitation and centrifuged at 20 817 rcf for 20 min at 4 °C.  The supernatant was transferred to a HPLC sample vial. </w:t>
      </w:r>
      <w:r>
        <w:rPr>
          <w:rFonts w:cs="Arial"/>
          <w:szCs w:val="22"/>
          <w:lang w:val="en-GB"/>
        </w:rPr>
        <w:t xml:space="preserve"> </w:t>
      </w:r>
      <w:r w:rsidRPr="009F146A">
        <w:rPr>
          <w:rFonts w:cs="Arial"/>
          <w:szCs w:val="22"/>
          <w:lang w:val="en-GB"/>
        </w:rPr>
        <w:t xml:space="preserve">Quantification of </w:t>
      </w:r>
      <w:r>
        <w:rPr>
          <w:rFonts w:cs="Arial"/>
          <w:szCs w:val="22"/>
          <w:lang w:val="en-GB"/>
        </w:rPr>
        <w:t>norepinephrine</w:t>
      </w:r>
      <w:r w:rsidRPr="009F146A">
        <w:rPr>
          <w:rFonts w:cs="Arial"/>
          <w:szCs w:val="22"/>
          <w:lang w:val="en-GB"/>
        </w:rPr>
        <w:t xml:space="preserve"> (N</w:t>
      </w:r>
      <w:r>
        <w:rPr>
          <w:rFonts w:cs="Arial"/>
          <w:szCs w:val="22"/>
          <w:lang w:val="en-GB"/>
        </w:rPr>
        <w:t>E</w:t>
      </w:r>
      <w:r w:rsidRPr="009F146A">
        <w:rPr>
          <w:rFonts w:cs="Arial"/>
          <w:szCs w:val="22"/>
          <w:lang w:val="en-GB"/>
        </w:rPr>
        <w:t>), serotonin (5</w:t>
      </w:r>
      <w:r>
        <w:rPr>
          <w:rFonts w:cs="Arial"/>
          <w:szCs w:val="22"/>
          <w:lang w:val="en-GB"/>
        </w:rPr>
        <w:t>-</w:t>
      </w:r>
      <w:r w:rsidRPr="009F146A">
        <w:rPr>
          <w:rFonts w:cs="Arial"/>
          <w:szCs w:val="22"/>
          <w:lang w:val="en-GB"/>
        </w:rPr>
        <w:t>HT) and 5-hydroxyindoleacetic acid (5</w:t>
      </w:r>
      <w:r>
        <w:rPr>
          <w:rFonts w:cs="Arial"/>
          <w:szCs w:val="22"/>
          <w:lang w:val="en-GB"/>
        </w:rPr>
        <w:t>-</w:t>
      </w:r>
      <w:r w:rsidRPr="009F146A">
        <w:rPr>
          <w:rFonts w:cs="Arial"/>
          <w:szCs w:val="22"/>
          <w:lang w:val="en-GB"/>
        </w:rPr>
        <w:t>HIAA), GSH and GSSG was determined using liquid chromatography/mass spectrometry (LC</w:t>
      </w:r>
      <w:r>
        <w:rPr>
          <w:rFonts w:cs="Arial"/>
          <w:szCs w:val="22"/>
          <w:lang w:val="en-GB"/>
        </w:rPr>
        <w:t>-</w:t>
      </w:r>
      <w:r w:rsidRPr="009F146A">
        <w:rPr>
          <w:rFonts w:cs="Arial"/>
          <w:szCs w:val="22"/>
          <w:lang w:val="en-GB"/>
        </w:rPr>
        <w:t>MS).  A Venusil</w:t>
      </w:r>
      <w:r w:rsidRPr="009F146A">
        <w:rPr>
          <w:rFonts w:cs="Arial"/>
          <w:bCs/>
          <w:szCs w:val="22"/>
          <w:lang w:val="en-GB"/>
        </w:rPr>
        <w:t xml:space="preserve"> ASB C18, 2.1 x 150 mm, 3 µm column (Agela Technologies, Torrance, CA, USA) </w:t>
      </w:r>
      <w:r w:rsidRPr="009F146A">
        <w:rPr>
          <w:rFonts w:cs="Arial"/>
          <w:szCs w:val="22"/>
          <w:lang w:val="en-GB"/>
        </w:rPr>
        <w:t>HPLC column was used for chromatographic separation.  The Ultivo</w:t>
      </w:r>
      <w:r w:rsidRPr="009F146A">
        <w:rPr>
          <w:rFonts w:cs="Arial"/>
          <w:szCs w:val="22"/>
          <w:vertAlign w:val="superscript"/>
          <w:lang w:val="en-GB"/>
        </w:rPr>
        <w:t>®</w:t>
      </w:r>
      <w:r w:rsidRPr="009F146A">
        <w:rPr>
          <w:rFonts w:cs="Arial"/>
          <w:szCs w:val="22"/>
          <w:lang w:val="en-GB"/>
        </w:rPr>
        <w:t xml:space="preserve"> Triple Quadrupole LC/MS System, controlled by MassHunter™ software from Agilent Technologies</w:t>
      </w:r>
      <w:r w:rsidRPr="009F146A">
        <w:rPr>
          <w:rFonts w:cs="Arial"/>
          <w:szCs w:val="22"/>
          <w:vertAlign w:val="superscript"/>
          <w:lang w:val="en-GB"/>
        </w:rPr>
        <w:t>®</w:t>
      </w:r>
      <w:r w:rsidRPr="009F146A">
        <w:rPr>
          <w:rFonts w:cs="Arial"/>
          <w:szCs w:val="22"/>
          <w:lang w:val="en-GB"/>
        </w:rPr>
        <w:t xml:space="preserve">, Inc. (Santa Clara, CA 95051 US), consisting of a quaternary pump, column oven, autosampler and a triple quadrupole mass detector, was used.  </w:t>
      </w:r>
      <w:r w:rsidRPr="009F146A">
        <w:rPr>
          <w:rFonts w:cs="Arial"/>
          <w:bCs/>
          <w:szCs w:val="22"/>
          <w:lang w:val="en-GB"/>
        </w:rPr>
        <w:t xml:space="preserve">A gradient mobile phase consisting of A: 0.1% formic acid/LC grade water and B: 0.1% formic acid/methanol were prepared.  </w:t>
      </w:r>
      <w:r w:rsidRPr="009F146A">
        <w:rPr>
          <w:rFonts w:cs="Arial"/>
          <w:szCs w:val="22"/>
          <w:lang w:val="en-GB"/>
        </w:rPr>
        <w:t xml:space="preserve">The </w:t>
      </w:r>
      <w:r w:rsidRPr="009F146A">
        <w:rPr>
          <w:rFonts w:cs="Arial"/>
          <w:bCs/>
          <w:szCs w:val="22"/>
          <w:lang w:val="en-GB"/>
        </w:rPr>
        <w:t>software</w:t>
      </w:r>
      <w:r w:rsidRPr="009F146A">
        <w:rPr>
          <w:rFonts w:cs="Arial"/>
          <w:szCs w:val="22"/>
          <w:lang w:val="en-GB"/>
        </w:rPr>
        <w:t xml:space="preserve"> was then programmed to inject 1 µL of the prepared sample onto the LC</w:t>
      </w:r>
      <w:r>
        <w:rPr>
          <w:rFonts w:cs="Arial"/>
          <w:szCs w:val="22"/>
          <w:lang w:val="en-GB"/>
        </w:rPr>
        <w:t>-</w:t>
      </w:r>
      <w:r w:rsidRPr="009F146A">
        <w:rPr>
          <w:rFonts w:cs="Arial"/>
          <w:szCs w:val="22"/>
          <w:lang w:val="en-GB"/>
        </w:rPr>
        <w:t xml:space="preserve">MS for analysis.  Monoaminergic, GSH and GSSG concentrations in the tissue samples were determined by comparing the peak area of each </w:t>
      </w:r>
      <w:r>
        <w:rPr>
          <w:rFonts w:cs="Arial"/>
          <w:szCs w:val="22"/>
          <w:lang w:val="en-GB"/>
        </w:rPr>
        <w:t>marker</w:t>
      </w:r>
      <w:r w:rsidRPr="009F146A">
        <w:rPr>
          <w:rFonts w:cs="Arial"/>
          <w:szCs w:val="22"/>
          <w:lang w:val="en-GB"/>
        </w:rPr>
        <w:t xml:space="preserve"> to that of the respective standards (range</w:t>
      </w:r>
      <w:r>
        <w:rPr>
          <w:rFonts w:cs="Arial"/>
          <w:szCs w:val="22"/>
          <w:lang w:val="en-GB"/>
        </w:rPr>
        <w:t>:</w:t>
      </w:r>
      <w:r w:rsidRPr="009F146A">
        <w:rPr>
          <w:rFonts w:cs="Arial"/>
          <w:szCs w:val="22"/>
          <w:lang w:val="en-GB"/>
        </w:rPr>
        <w:t xml:space="preserve"> 31.5 – 500 ng/ml).  Linear standard curves (regression coefficient &gt; 0.95) were found in this range for all the analytes.  Final concentrations were expressed as ng/g wet weight tissue.  </w:t>
      </w:r>
      <w:r>
        <w:rPr>
          <w:rFonts w:cs="Arial"/>
          <w:szCs w:val="22"/>
          <w:lang w:val="en-GB"/>
        </w:rPr>
        <w:t>All reference and the internal standard</w:t>
      </w:r>
      <w:r w:rsidRPr="009F146A">
        <w:rPr>
          <w:rFonts w:cs="Arial"/>
          <w:szCs w:val="22"/>
          <w:lang w:val="en-GB"/>
        </w:rPr>
        <w:t xml:space="preserve"> were obtained from Merck</w:t>
      </w:r>
      <w:r w:rsidRPr="009F146A">
        <w:rPr>
          <w:rFonts w:cs="Arial"/>
          <w:szCs w:val="22"/>
          <w:vertAlign w:val="superscript"/>
          <w:lang w:val="en-GB"/>
        </w:rPr>
        <w:t>®</w:t>
      </w:r>
      <w:r w:rsidRPr="009F146A">
        <w:rPr>
          <w:rFonts w:cs="Arial"/>
          <w:szCs w:val="22"/>
          <w:lang w:val="en-GB"/>
        </w:rPr>
        <w:t xml:space="preserve"> (</w:t>
      </w:r>
      <w:r>
        <w:rPr>
          <w:rFonts w:cs="Arial"/>
          <w:szCs w:val="22"/>
          <w:lang w:val="en-GB"/>
        </w:rPr>
        <w:t>RSA</w:t>
      </w:r>
      <w:r w:rsidRPr="009F146A">
        <w:rPr>
          <w:rFonts w:cs="Arial"/>
          <w:szCs w:val="22"/>
          <w:lang w:val="en-GB"/>
        </w:rPr>
        <w:t xml:space="preserve">).  Chemicals used for the analysis were Milli-Q water, LC grade MeOH, and formic acid (99%).  The standards and samples were prepared in LC grade MeOH </w:t>
      </w:r>
      <w:r w:rsidRPr="009F146A">
        <w:rPr>
          <w:rFonts w:cs="Arial"/>
          <w:szCs w:val="22"/>
          <w:lang w:val="en-GB"/>
        </w:rPr>
        <w:lastRenderedPageBreak/>
        <w:t>containing, 0.1% formic acid.  Apart from the Milli-Q water, all of these were also obtained from Merck</w:t>
      </w:r>
      <w:r w:rsidRPr="009F146A">
        <w:rPr>
          <w:rFonts w:cs="Arial"/>
          <w:szCs w:val="22"/>
          <w:vertAlign w:val="superscript"/>
          <w:lang w:val="en-GB"/>
        </w:rPr>
        <w:t>®</w:t>
      </w:r>
      <w:r w:rsidRPr="009F146A">
        <w:rPr>
          <w:rFonts w:cs="Arial"/>
          <w:szCs w:val="22"/>
          <w:lang w:val="en-GB"/>
        </w:rPr>
        <w:t>.</w:t>
      </w:r>
    </w:p>
    <w:p w14:paraId="1A315C7A" w14:textId="587AD943" w:rsidR="009C082B" w:rsidRPr="003646EC" w:rsidRDefault="003646EC" w:rsidP="00A33A9F">
      <w:pPr>
        <w:rPr>
          <w:rFonts w:cs="Arial"/>
          <w:b/>
          <w:bCs/>
          <w:szCs w:val="22"/>
          <w:lang w:val="en-GB"/>
        </w:rPr>
      </w:pPr>
      <w:r w:rsidRPr="003646EC">
        <w:rPr>
          <w:rFonts w:cs="Arial"/>
          <w:b/>
          <w:bCs/>
          <w:szCs w:val="22"/>
          <w:lang w:val="en-GB"/>
        </w:rPr>
        <w:t>S1.2</w:t>
      </w:r>
      <w:r w:rsidRPr="003646EC">
        <w:rPr>
          <w:rFonts w:cs="Arial"/>
          <w:b/>
          <w:bCs/>
          <w:szCs w:val="22"/>
          <w:lang w:val="en-GB"/>
        </w:rPr>
        <w:tab/>
        <w:t>Metabolic profiling</w:t>
      </w:r>
    </w:p>
    <w:p w14:paraId="0758CBD5" w14:textId="77777777" w:rsidR="00032985" w:rsidRPr="009F146A" w:rsidRDefault="00032985" w:rsidP="00032985">
      <w:pPr>
        <w:rPr>
          <w:rFonts w:cs="Arial"/>
          <w:szCs w:val="22"/>
          <w:lang w:val="en-GB"/>
        </w:rPr>
      </w:pPr>
      <w:r w:rsidRPr="009F146A">
        <w:rPr>
          <w:rFonts w:cs="Arial"/>
          <w:szCs w:val="22"/>
          <w:lang w:val="en-GB"/>
        </w:rPr>
        <w:t>Briefly, 400 µl methanol, 75 µl water and 50 µl of the internal standard (50 ppm 3-phenylbutyric acid) was added to each hippocampus in safe-lock microcentrifuge tubes</w:t>
      </w:r>
      <w:r>
        <w:rPr>
          <w:rFonts w:cs="Arial"/>
          <w:szCs w:val="22"/>
          <w:lang w:val="en-GB"/>
        </w:rPr>
        <w:t>,</w:t>
      </w:r>
      <w:r w:rsidRPr="009F146A">
        <w:rPr>
          <w:rFonts w:cs="Arial"/>
          <w:szCs w:val="22"/>
          <w:lang w:val="en-GB"/>
        </w:rPr>
        <w:t xml:space="preserve"> together with a single steel bead (3 mm Ø).  Thereafter, the tissue was homogenised for 2 min at 20 Hz using the Retch M400 vibration mill.  Following the homogenisation of each tissue sample, 400 µl chloroform</w:t>
      </w:r>
      <w:r>
        <w:rPr>
          <w:rFonts w:cs="Arial"/>
          <w:szCs w:val="22"/>
          <w:lang w:val="en-GB"/>
        </w:rPr>
        <w:t>,</w:t>
      </w:r>
      <w:r w:rsidRPr="009F146A">
        <w:rPr>
          <w:rFonts w:cs="Arial"/>
          <w:szCs w:val="22"/>
          <w:lang w:val="en-GB"/>
        </w:rPr>
        <w:t xml:space="preserve"> with an additional 200 µl water was added to each sample and vortexed for 30 s.  The samples were then centrifuged at 2000 x g for 5 min at 4 °C to induce phase separation.  400 µl of the top polar phase and 300 µl of the bottom apolar phase were transferred to glass vials and dried under nitrogen.  The samples were stored at -80 °C until derivatization.  In addition to this, quality control samples were also prepared from pooled aliquots of all sample extracts.</w:t>
      </w:r>
    </w:p>
    <w:p w14:paraId="6A504698" w14:textId="32A19A7F" w:rsidR="003646EC" w:rsidRDefault="00032985" w:rsidP="00032985">
      <w:pPr>
        <w:rPr>
          <w:rFonts w:cs="Arial"/>
          <w:szCs w:val="22"/>
          <w:lang w:val="en-GB"/>
        </w:rPr>
      </w:pPr>
      <w:r w:rsidRPr="009F146A">
        <w:rPr>
          <w:rFonts w:cs="Arial"/>
          <w:szCs w:val="22"/>
          <w:lang w:val="en-GB"/>
        </w:rPr>
        <w:t xml:space="preserve">Prior to their analysis via GC-TOF-MS, all samples were derivatized via oximation and silylation as previously performed </w:t>
      </w:r>
      <w:r w:rsidRPr="009F146A">
        <w:rPr>
          <w:rFonts w:cs="Arial"/>
          <w:szCs w:val="22"/>
          <w:lang w:val="en-GB"/>
        </w:rPr>
        <w:fldChar w:fldCharType="begin">
          <w:fldData xml:space="preserve">PEVuZE5vdGU+PENpdGU+PEF1dGhvcj5MaW5kZXF1ZTwvQXV0aG9yPjxZZWFyPjIwMTM8L1llYXI+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</w:fldData>
        </w:fldChar>
      </w:r>
      <w:r w:rsidR="00E45835">
        <w:rPr>
          <w:rFonts w:cs="Arial"/>
          <w:szCs w:val="22"/>
          <w:lang w:val="en-GB"/>
        </w:rPr>
        <w:instrText xml:space="preserve"> ADDIN EN.CITE </w:instrText>
      </w:r>
      <w:r w:rsidR="00E45835">
        <w:rPr>
          <w:rFonts w:cs="Arial"/>
          <w:szCs w:val="22"/>
          <w:lang w:val="en-GB"/>
        </w:rPr>
        <w:fldChar w:fldCharType="begin">
          <w:fldData xml:space="preserve">PEVuZE5vdGU+PENpdGU+PEF1dGhvcj5MaW5kZXF1ZTwvQXV0aG9yPjxZZWFyPjIwMTM8L1llYXI+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</w:fldData>
        </w:fldChar>
      </w:r>
      <w:r w:rsidR="00E45835">
        <w:rPr>
          <w:rFonts w:cs="Arial"/>
          <w:szCs w:val="22"/>
          <w:lang w:val="en-GB"/>
        </w:rPr>
        <w:instrText xml:space="preserve"> ADDIN EN.CITE.DATA </w:instrText>
      </w:r>
      <w:r w:rsidR="00E45835">
        <w:rPr>
          <w:rFonts w:cs="Arial"/>
          <w:szCs w:val="22"/>
          <w:lang w:val="en-GB"/>
        </w:rPr>
      </w:r>
      <w:r w:rsidR="00E45835">
        <w:rPr>
          <w:rFonts w:cs="Arial"/>
          <w:szCs w:val="22"/>
          <w:lang w:val="en-GB"/>
        </w:rPr>
        <w:fldChar w:fldCharType="end"/>
      </w:r>
      <w:r w:rsidRPr="009F146A">
        <w:rPr>
          <w:rFonts w:cs="Arial"/>
          <w:szCs w:val="22"/>
          <w:lang w:val="en-GB"/>
        </w:rPr>
      </w:r>
      <w:r w:rsidRPr="009F146A">
        <w:rPr>
          <w:rFonts w:cs="Arial"/>
          <w:szCs w:val="22"/>
          <w:lang w:val="en-GB"/>
        </w:rPr>
        <w:fldChar w:fldCharType="separate"/>
      </w:r>
      <w:r w:rsidR="00E45835">
        <w:rPr>
          <w:rFonts w:cs="Arial"/>
          <w:noProof/>
          <w:szCs w:val="22"/>
          <w:lang w:val="en-GB"/>
        </w:rPr>
        <w:t>(</w:t>
      </w:r>
      <w:hyperlink w:anchor="_ENREF_1" w:tooltip="Lindeque, 2013 #283" w:history="1">
        <w:r w:rsidR="00E45835">
          <w:rPr>
            <w:rFonts w:cs="Arial"/>
            <w:noProof/>
            <w:szCs w:val="22"/>
            <w:lang w:val="en-GB"/>
          </w:rPr>
          <w:t>Lindeque</w:t>
        </w:r>
        <w:r w:rsidR="00E45835" w:rsidRPr="00E45835">
          <w:rPr>
            <w:rFonts w:cs="Arial"/>
            <w:i/>
            <w:noProof/>
            <w:szCs w:val="22"/>
            <w:lang w:val="en-GB"/>
          </w:rPr>
          <w:t xml:space="preserve"> et al.</w:t>
        </w:r>
        <w:r w:rsidR="00E45835">
          <w:rPr>
            <w:rFonts w:cs="Arial"/>
            <w:noProof/>
            <w:szCs w:val="22"/>
            <w:lang w:val="en-GB"/>
          </w:rPr>
          <w:t>, 2013</w:t>
        </w:r>
      </w:hyperlink>
      <w:r w:rsidR="00E45835">
        <w:rPr>
          <w:rFonts w:cs="Arial"/>
          <w:noProof/>
          <w:szCs w:val="22"/>
          <w:lang w:val="en-GB"/>
        </w:rPr>
        <w:t xml:space="preserve">; </w:t>
      </w:r>
      <w:hyperlink w:anchor="_ENREF_2" w:tooltip="Terburgh, 2019 #284" w:history="1">
        <w:r w:rsidR="00E45835">
          <w:rPr>
            <w:rFonts w:cs="Arial"/>
            <w:noProof/>
            <w:szCs w:val="22"/>
            <w:lang w:val="en-GB"/>
          </w:rPr>
          <w:t>Terburgh</w:t>
        </w:r>
        <w:r w:rsidR="00E45835" w:rsidRPr="00E45835">
          <w:rPr>
            <w:rFonts w:cs="Arial"/>
            <w:i/>
            <w:noProof/>
            <w:szCs w:val="22"/>
            <w:lang w:val="en-GB"/>
          </w:rPr>
          <w:t xml:space="preserve"> et al.</w:t>
        </w:r>
        <w:r w:rsidR="00E45835">
          <w:rPr>
            <w:rFonts w:cs="Arial"/>
            <w:noProof/>
            <w:szCs w:val="22"/>
            <w:lang w:val="en-GB"/>
          </w:rPr>
          <w:t>, 2019</w:t>
        </w:r>
      </w:hyperlink>
      <w:r w:rsidR="00E45835">
        <w:rPr>
          <w:rFonts w:cs="Arial"/>
          <w:noProof/>
          <w:szCs w:val="22"/>
          <w:lang w:val="en-GB"/>
        </w:rPr>
        <w:t>)</w:t>
      </w:r>
      <w:r w:rsidRPr="009F146A">
        <w:rPr>
          <w:rFonts w:cs="Arial"/>
          <w:szCs w:val="22"/>
          <w:lang w:val="en-GB"/>
        </w:rPr>
        <w:fldChar w:fldCharType="end"/>
      </w:r>
      <w:r w:rsidRPr="009F146A">
        <w:rPr>
          <w:rFonts w:cs="Arial"/>
          <w:szCs w:val="22"/>
          <w:lang w:val="en-GB"/>
        </w:rPr>
        <w:t>.  For oximation, 50 µl methoxyamine solution (200 mg methoxyamine dissolved in 10 ml of pyridine) was added to each glass vial containing the dried sample extract.  Thereafter, each sample was vortexed for 30 s to dissolve the dried extract and incubated for 1 h at 60 °C.  After allowing the samples to cool to room temperature, silylation was performed by adding 50 O-Bis(trimethylsilyl)-trifluoro-acetamide, containing 1% trimethylchlorosilane to the oximated samples and vortexed for 30 s.  The samples were then incubated for 40 min at 40 °C.  All liquids from each sample were individually transferred into a flat bottom insert and placed inside the same vial that was used for derivatization.  Each vial was then loaded onto an Agilent 7693 auto sampler for GC-TOF-MS analysis.</w:t>
      </w:r>
    </w:p>
    <w:p w14:paraId="2140DB54" w14:textId="66B377D6" w:rsidR="00D96676" w:rsidRDefault="00BF0E6F" w:rsidP="00032985">
      <w:pPr>
        <w:rPr>
          <w:rFonts w:cs="Arial"/>
          <w:b/>
          <w:bCs/>
          <w:lang w:val="en-GB"/>
        </w:rPr>
      </w:pPr>
      <w:r>
        <w:rPr>
          <w:rFonts w:cs="Arial"/>
          <w:b/>
          <w:bCs/>
          <w:lang w:val="en-GB"/>
        </w:rPr>
        <w:t>S1.3</w:t>
      </w:r>
      <w:r>
        <w:rPr>
          <w:rFonts w:cs="Arial"/>
          <w:b/>
          <w:bCs/>
          <w:lang w:val="en-GB"/>
        </w:rPr>
        <w:tab/>
      </w:r>
      <w:r w:rsidRPr="00BF0E6F">
        <w:rPr>
          <w:rFonts w:cs="Arial"/>
          <w:b/>
          <w:bCs/>
          <w:lang w:val="en-GB"/>
        </w:rPr>
        <w:t>GC-TOF-MS analysis</w:t>
      </w:r>
    </w:p>
    <w:p w14:paraId="145B62CA" w14:textId="517DC790" w:rsidR="00BF0E6F" w:rsidRDefault="00846C8F" w:rsidP="00032985">
      <w:pPr>
        <w:rPr>
          <w:rFonts w:cs="Arial"/>
          <w:b/>
          <w:bCs/>
          <w:lang w:val="en-GB"/>
        </w:rPr>
      </w:pPr>
      <w:r w:rsidRPr="009F146A">
        <w:rPr>
          <w:rFonts w:cs="Arial"/>
          <w:szCs w:val="22"/>
          <w:lang w:val="en-GB"/>
        </w:rPr>
        <w:t xml:space="preserve">The GC-TOF-MS system used comprises of an Agilent 7890A series gas chromatograph with Agilent 7693 auto sampler coupled to a LECO Pegasus HT time-of-flight mass analyser with an electron impact ionization source. </w:t>
      </w:r>
      <w:r>
        <w:rPr>
          <w:rFonts w:cs="Arial"/>
          <w:szCs w:val="22"/>
          <w:lang w:val="en-GB"/>
        </w:rPr>
        <w:t xml:space="preserve"> </w:t>
      </w:r>
      <w:r w:rsidRPr="009F146A">
        <w:rPr>
          <w:rFonts w:cs="Arial"/>
          <w:szCs w:val="22"/>
          <w:lang w:val="en-GB"/>
        </w:rPr>
        <w:t xml:space="preserve">One µL sample was injected (using a 1:10 split ratio) into the front inlet which remained at a constant temperature of 250 </w:t>
      </w:r>
      <w:bookmarkStart w:id="4" w:name="_Hlk118395804"/>
      <w:r w:rsidRPr="009F146A">
        <w:rPr>
          <w:rFonts w:cs="Arial"/>
          <w:szCs w:val="22"/>
          <w:lang w:val="en-GB"/>
        </w:rPr>
        <w:t>°C</w:t>
      </w:r>
      <w:bookmarkEnd w:id="4"/>
      <w:r w:rsidRPr="009F146A">
        <w:rPr>
          <w:rFonts w:cs="Arial"/>
          <w:szCs w:val="22"/>
          <w:lang w:val="en-GB"/>
        </w:rPr>
        <w:t>.  Helium was used as the carrier gas at constant flow of 1.4 mL/min.</w:t>
      </w:r>
      <w:r>
        <w:rPr>
          <w:rFonts w:cs="Arial"/>
          <w:szCs w:val="22"/>
          <w:lang w:val="en-GB"/>
        </w:rPr>
        <w:t xml:space="preserve"> </w:t>
      </w:r>
      <w:r w:rsidRPr="009F146A">
        <w:rPr>
          <w:rFonts w:cs="Arial"/>
          <w:szCs w:val="22"/>
          <w:lang w:val="en-GB"/>
        </w:rPr>
        <w:t xml:space="preserve"> Metabolites were separate in a Restek RXi-1MS column (30</w:t>
      </w:r>
      <w:r>
        <w:rPr>
          <w:rFonts w:cs="Arial"/>
          <w:szCs w:val="22"/>
          <w:lang w:val="en-GB"/>
        </w:rPr>
        <w:t xml:space="preserve"> </w:t>
      </w:r>
      <w:r w:rsidRPr="009F146A">
        <w:rPr>
          <w:rFonts w:cs="Arial"/>
          <w:szCs w:val="22"/>
          <w:lang w:val="en-GB"/>
        </w:rPr>
        <w:t>m x 0.18 mm x 0.18 µm) using the following oven temperature gradient: the oven remained at 50 °C for 1 min after injection and then increased 5 °C/min until it reached 100 °C. The temperature ramp then increased to 10 °C/min until 160 °C</w:t>
      </w:r>
      <w:r>
        <w:rPr>
          <w:rFonts w:cs="Arial"/>
          <w:szCs w:val="22"/>
          <w:lang w:val="en-GB"/>
        </w:rPr>
        <w:t>,</w:t>
      </w:r>
      <w:r w:rsidRPr="009F146A">
        <w:rPr>
          <w:rFonts w:cs="Arial"/>
          <w:szCs w:val="22"/>
          <w:lang w:val="en-GB"/>
        </w:rPr>
        <w:t xml:space="preserve"> whereafter the temperature </w:t>
      </w:r>
      <w:r w:rsidRPr="009F146A">
        <w:rPr>
          <w:rFonts w:cs="Arial"/>
          <w:szCs w:val="22"/>
          <w:lang w:val="en-GB"/>
        </w:rPr>
        <w:lastRenderedPageBreak/>
        <w:t xml:space="preserve">increased further until 230 °C at a rate of 13 °C/min. During the final phase, the oven temperature increased 20 °C/min until it reached 300 °C, where it remained for 2 min before cooling </w:t>
      </w:r>
      <w:r>
        <w:rPr>
          <w:rFonts w:cs="Arial"/>
          <w:szCs w:val="22"/>
          <w:lang w:val="en-GB"/>
        </w:rPr>
        <w:t>be</w:t>
      </w:r>
      <w:r w:rsidRPr="009F146A">
        <w:rPr>
          <w:rFonts w:cs="Arial"/>
          <w:szCs w:val="22"/>
          <w:lang w:val="en-GB"/>
        </w:rPr>
        <w:t xml:space="preserve">for the next run.  The transfer line and ion source temperature were kept constant at 225 °C and 200 °C, respectively. </w:t>
      </w:r>
      <w:r>
        <w:rPr>
          <w:rFonts w:cs="Arial"/>
          <w:szCs w:val="22"/>
          <w:lang w:val="en-GB"/>
        </w:rPr>
        <w:t xml:space="preserve"> </w:t>
      </w:r>
      <w:r w:rsidRPr="009F146A">
        <w:rPr>
          <w:rFonts w:cs="Arial"/>
          <w:szCs w:val="22"/>
          <w:lang w:val="en-GB"/>
        </w:rPr>
        <w:t>The data was obtained at an acquisition rate of 20 spectra</w:t>
      </w:r>
      <w:r>
        <w:rPr>
          <w:rFonts w:cs="Arial"/>
          <w:szCs w:val="22"/>
          <w:lang w:val="en-GB"/>
        </w:rPr>
        <w:t>/s</w:t>
      </w:r>
      <w:r w:rsidRPr="009F146A">
        <w:rPr>
          <w:rFonts w:cs="Arial"/>
          <w:szCs w:val="22"/>
          <w:lang w:val="en-GB"/>
        </w:rPr>
        <w:t xml:space="preserve"> (50 </w:t>
      </w:r>
      <w:r>
        <w:rPr>
          <w:rFonts w:cs="Arial"/>
          <w:szCs w:val="22"/>
          <w:lang w:val="en-GB"/>
        </w:rPr>
        <w:t>-</w:t>
      </w:r>
      <w:r w:rsidRPr="009F146A">
        <w:rPr>
          <w:rFonts w:cs="Arial"/>
          <w:szCs w:val="22"/>
          <w:lang w:val="en-GB"/>
        </w:rPr>
        <w:t xml:space="preserve"> 800 m/z).</w:t>
      </w:r>
    </w:p>
    <w:p w14:paraId="3A28816D" w14:textId="3EFA132E" w:rsidR="0064608B" w:rsidRPr="00A33A9F" w:rsidRDefault="0064608B" w:rsidP="00A33A9F">
      <w:pPr>
        <w:rPr>
          <w:rFonts w:cs="Arial"/>
          <w:b/>
          <w:bCs/>
          <w:lang w:val="en-GB"/>
        </w:rPr>
      </w:pPr>
      <w:r>
        <w:rPr>
          <w:rFonts w:cs="Arial"/>
          <w:b/>
          <w:bCs/>
          <w:lang w:val="en-GB"/>
        </w:rPr>
        <w:t>S</w:t>
      </w:r>
      <w:r w:rsidRPr="00A33A9F">
        <w:rPr>
          <w:rFonts w:cs="Arial"/>
          <w:b/>
          <w:bCs/>
          <w:lang w:val="en-GB"/>
        </w:rPr>
        <w:t>2</w:t>
      </w:r>
      <w:r w:rsidRPr="00A33A9F">
        <w:rPr>
          <w:rFonts w:cs="Arial"/>
          <w:b/>
          <w:bCs/>
          <w:lang w:val="en-GB"/>
        </w:rPr>
        <w:tab/>
      </w:r>
      <w:r>
        <w:rPr>
          <w:rFonts w:cs="Arial"/>
          <w:b/>
          <w:bCs/>
          <w:lang w:val="en-GB"/>
        </w:rPr>
        <w:t>Results</w:t>
      </w:r>
    </w:p>
    <w:p w14:paraId="37625685" w14:textId="770CD1FF" w:rsidR="00A33A9F" w:rsidRDefault="00A33A9F" w:rsidP="00A33A9F">
      <w:pPr>
        <w:rPr>
          <w:rFonts w:cs="Arial"/>
          <w:szCs w:val="22"/>
          <w:lang w:val="en-GB"/>
        </w:rPr>
      </w:pPr>
      <w:r w:rsidRPr="00A33A9F">
        <w:rPr>
          <w:rFonts w:cs="Arial"/>
          <w:lang w:val="en-GB"/>
        </w:rPr>
        <w:t xml:space="preserve">As discussed elsewhere, the findings of </w:t>
      </w:r>
      <w:r w:rsidRPr="0064608B">
        <w:rPr>
          <w:rFonts w:cs="Arial"/>
          <w:lang w:val="en-GB"/>
        </w:rPr>
        <w:t>the</w:t>
      </w:r>
      <w:r>
        <w:rPr>
          <w:rFonts w:cs="Arial"/>
          <w:i/>
          <w:iCs/>
          <w:lang w:val="en-GB"/>
        </w:rPr>
        <w:t xml:space="preserve"> </w:t>
      </w:r>
      <w:r w:rsidRPr="00A33A9F">
        <w:rPr>
          <w:rFonts w:cs="Arial"/>
          <w:lang w:val="en-GB"/>
        </w:rPr>
        <w:t xml:space="preserve">manuscript were interpreted and discussed in terms of the largest and statistically non-zero effect size.  For transparency, the data used to create </w:t>
      </w:r>
      <w:r>
        <w:rPr>
          <w:rFonts w:cs="Arial"/>
          <w:i/>
          <w:iCs/>
          <w:lang w:val="en-GB"/>
        </w:rPr>
        <w:t>Figure 3</w:t>
      </w:r>
      <w:r w:rsidRPr="00A33A9F">
        <w:rPr>
          <w:rFonts w:cs="Arial"/>
          <w:lang w:val="en-GB"/>
        </w:rPr>
        <w:t xml:space="preserve">, is presented in </w:t>
      </w:r>
      <w:r>
        <w:rPr>
          <w:rFonts w:cs="Arial"/>
          <w:i/>
          <w:iCs/>
          <w:lang w:val="en-GB"/>
        </w:rPr>
        <w:t>Table S1</w:t>
      </w:r>
      <w:r w:rsidRPr="00A33A9F">
        <w:rPr>
          <w:rFonts w:cs="Arial"/>
          <w:lang w:val="en-GB"/>
        </w:rPr>
        <w:t>, below, together with a</w:t>
      </w:r>
      <w:r w:rsidRPr="00A33A9F">
        <w:rPr>
          <w:rFonts w:cs="Arial"/>
          <w:szCs w:val="22"/>
          <w:lang w:val="en-GB"/>
        </w:rPr>
        <w:t>ll other significant findings.</w:t>
      </w:r>
    </w:p>
    <w:p w14:paraId="3E0CE3D7" w14:textId="43ABDF02" w:rsidR="00A33A9F" w:rsidRPr="00A33A9F" w:rsidRDefault="00A33A9F" w:rsidP="00A33A9F">
      <w:pPr>
        <w:spacing w:after="0"/>
        <w:jc w:val="center"/>
        <w:rPr>
          <w:b/>
          <w:bCs/>
          <w:sz w:val="18"/>
          <w:szCs w:val="16"/>
          <w:lang w:eastAsia="en-ZA"/>
        </w:rPr>
      </w:pPr>
      <w:r w:rsidRPr="00A33A9F">
        <w:rPr>
          <w:b/>
          <w:bCs/>
          <w:sz w:val="18"/>
          <w:szCs w:val="16"/>
          <w:lang w:eastAsia="en-ZA"/>
        </w:rPr>
        <w:t>Table S1: Summary of effect magnitude influences on behaviour</w:t>
      </w:r>
    </w:p>
    <w:p w14:paraId="41E11BD2" w14:textId="0F8D8820" w:rsidR="00A33A9F" w:rsidRPr="00A33A9F" w:rsidRDefault="00A33A9F" w:rsidP="00A33A9F">
      <w:pPr>
        <w:spacing w:after="0"/>
        <w:jc w:val="center"/>
        <w:rPr>
          <w:rFonts w:cs="Arial"/>
          <w:sz w:val="18"/>
          <w:szCs w:val="18"/>
          <w:lang w:val="en-GB"/>
        </w:rPr>
      </w:pPr>
      <w:r w:rsidRPr="00A33A9F">
        <w:rPr>
          <w:i/>
          <w:iCs/>
          <w:sz w:val="18"/>
          <w:szCs w:val="16"/>
          <w:lang w:eastAsia="en-ZA"/>
        </w:rPr>
        <w:t xml:space="preserve">Values are presented as partial eta squared.  </w:t>
      </w:r>
      <w:r w:rsidRPr="00A33A9F">
        <w:rPr>
          <w:b/>
          <w:bCs/>
          <w:i/>
          <w:iCs/>
          <w:sz w:val="18"/>
          <w:szCs w:val="16"/>
          <w:lang w:eastAsia="en-ZA"/>
        </w:rPr>
        <w:t>ELA:</w:t>
      </w:r>
      <w:r w:rsidRPr="00A33A9F">
        <w:rPr>
          <w:i/>
          <w:iCs/>
          <w:sz w:val="18"/>
          <w:szCs w:val="16"/>
          <w:lang w:eastAsia="en-ZA"/>
        </w:rPr>
        <w:t xml:space="preserve"> Early-life adversity.  </w:t>
      </w:r>
      <w:r w:rsidRPr="00A33A9F">
        <w:rPr>
          <w:b/>
          <w:bCs/>
          <w:i/>
          <w:iCs/>
          <w:sz w:val="18"/>
          <w:szCs w:val="16"/>
          <w:lang w:eastAsia="en-ZA"/>
        </w:rPr>
        <w:t>JUV:</w:t>
      </w:r>
      <w:r w:rsidRPr="00A33A9F">
        <w:rPr>
          <w:i/>
          <w:iCs/>
          <w:sz w:val="18"/>
          <w:szCs w:val="16"/>
          <w:lang w:eastAsia="en-ZA"/>
        </w:rPr>
        <w:t xml:space="preserve"> Juvenile activity.  </w:t>
      </w:r>
      <w:r w:rsidRPr="00A33A9F">
        <w:rPr>
          <w:b/>
          <w:bCs/>
          <w:i/>
          <w:iCs/>
          <w:sz w:val="18"/>
          <w:szCs w:val="16"/>
          <w:lang w:eastAsia="en-ZA"/>
        </w:rPr>
        <w:t>PRE:</w:t>
      </w:r>
      <w:r w:rsidRPr="00A33A9F">
        <w:rPr>
          <w:i/>
          <w:iCs/>
          <w:sz w:val="18"/>
          <w:szCs w:val="16"/>
          <w:lang w:eastAsia="en-ZA"/>
        </w:rPr>
        <w:t xml:space="preserve"> Prenatal activity.</w:t>
      </w:r>
    </w:p>
    <w:tbl>
      <w:tblPr>
        <w:tblStyle w:val="TableGrid"/>
        <w:tblW w:w="0" w:type="auto"/>
        <w:tblLook w:val="04A0" w:firstRow="1" w:lastRow="0" w:firstColumn="1" w:lastColumn="0" w:noHBand="0" w:noVBand="1"/>
      </w:tblPr>
      <w:tblGrid>
        <w:gridCol w:w="1255"/>
        <w:gridCol w:w="1024"/>
        <w:gridCol w:w="1023"/>
        <w:gridCol w:w="1015"/>
        <w:gridCol w:w="1194"/>
        <w:gridCol w:w="1182"/>
        <w:gridCol w:w="1170"/>
        <w:gridCol w:w="1708"/>
      </w:tblGrid>
      <w:tr w:rsidR="00A33A9F" w:rsidRPr="00A33A9F" w14:paraId="0EF734D8" w14:textId="77777777" w:rsidTr="00224685">
        <w:tc>
          <w:tcPr>
            <w:tcW w:w="1256" w:type="dxa"/>
            <w:tcBorders>
              <w:top w:val="double" w:sz="4" w:space="0" w:color="auto"/>
              <w:left w:val="double" w:sz="4" w:space="0" w:color="auto"/>
              <w:bottom w:val="double" w:sz="4" w:space="0" w:color="auto"/>
            </w:tcBorders>
            <w:vAlign w:val="center"/>
          </w:tcPr>
          <w:p w14:paraId="3F104F91" w14:textId="77777777" w:rsidR="00A33A9F" w:rsidRPr="00A33A9F" w:rsidRDefault="00A33A9F" w:rsidP="00224685">
            <w:pPr>
              <w:spacing w:before="60" w:after="60" w:line="240" w:lineRule="atLeast"/>
              <w:jc w:val="center"/>
              <w:rPr>
                <w:rFonts w:cs="Arial"/>
                <w:lang w:val="en-GB"/>
              </w:rPr>
            </w:pPr>
          </w:p>
        </w:tc>
        <w:tc>
          <w:tcPr>
            <w:tcW w:w="1033" w:type="dxa"/>
            <w:tcBorders>
              <w:top w:val="double" w:sz="4" w:space="0" w:color="auto"/>
              <w:bottom w:val="double" w:sz="4" w:space="0" w:color="auto"/>
            </w:tcBorders>
            <w:vAlign w:val="center"/>
          </w:tcPr>
          <w:p w14:paraId="6FC9347B" w14:textId="77777777" w:rsidR="00A33A9F" w:rsidRPr="00A33A9F" w:rsidRDefault="00A33A9F" w:rsidP="00224685">
            <w:pPr>
              <w:spacing w:before="60" w:after="60" w:line="240" w:lineRule="atLeast"/>
              <w:jc w:val="center"/>
              <w:rPr>
                <w:rFonts w:cs="Arial"/>
                <w:b/>
                <w:bCs/>
                <w:lang w:val="en-GB"/>
              </w:rPr>
            </w:pPr>
            <w:r w:rsidRPr="00A33A9F">
              <w:rPr>
                <w:rFonts w:cs="Arial"/>
                <w:b/>
                <w:bCs/>
                <w:lang w:val="en-GB"/>
              </w:rPr>
              <w:t>PRE</w:t>
            </w:r>
          </w:p>
        </w:tc>
        <w:tc>
          <w:tcPr>
            <w:tcW w:w="1032" w:type="dxa"/>
            <w:tcBorders>
              <w:top w:val="double" w:sz="4" w:space="0" w:color="auto"/>
              <w:bottom w:val="double" w:sz="4" w:space="0" w:color="auto"/>
            </w:tcBorders>
            <w:vAlign w:val="center"/>
          </w:tcPr>
          <w:p w14:paraId="14EF457A" w14:textId="77777777" w:rsidR="00A33A9F" w:rsidRPr="00A33A9F" w:rsidRDefault="00A33A9F" w:rsidP="00224685">
            <w:pPr>
              <w:spacing w:before="60" w:after="60" w:line="240" w:lineRule="atLeast"/>
              <w:jc w:val="center"/>
              <w:rPr>
                <w:rFonts w:cs="Arial"/>
                <w:b/>
                <w:bCs/>
                <w:lang w:val="en-GB"/>
              </w:rPr>
            </w:pPr>
            <w:r w:rsidRPr="00A33A9F">
              <w:rPr>
                <w:rFonts w:cs="Arial"/>
                <w:b/>
                <w:bCs/>
                <w:lang w:val="en-GB"/>
              </w:rPr>
              <w:t>ELA</w:t>
            </w:r>
          </w:p>
        </w:tc>
        <w:tc>
          <w:tcPr>
            <w:tcW w:w="1024" w:type="dxa"/>
            <w:tcBorders>
              <w:top w:val="double" w:sz="4" w:space="0" w:color="auto"/>
              <w:bottom w:val="double" w:sz="4" w:space="0" w:color="auto"/>
            </w:tcBorders>
            <w:vAlign w:val="center"/>
          </w:tcPr>
          <w:p w14:paraId="3A491749" w14:textId="77777777" w:rsidR="00A33A9F" w:rsidRPr="00A33A9F" w:rsidRDefault="00A33A9F" w:rsidP="00224685">
            <w:pPr>
              <w:spacing w:before="60" w:after="60" w:line="240" w:lineRule="atLeast"/>
              <w:jc w:val="center"/>
              <w:rPr>
                <w:rFonts w:cs="Arial"/>
                <w:b/>
                <w:bCs/>
                <w:lang w:val="en-GB"/>
              </w:rPr>
            </w:pPr>
            <w:r w:rsidRPr="00A33A9F">
              <w:rPr>
                <w:rFonts w:cs="Arial"/>
                <w:b/>
                <w:bCs/>
                <w:lang w:val="en-GB"/>
              </w:rPr>
              <w:t>JUV</w:t>
            </w:r>
          </w:p>
        </w:tc>
        <w:tc>
          <w:tcPr>
            <w:tcW w:w="1148" w:type="dxa"/>
            <w:tcBorders>
              <w:top w:val="double" w:sz="4" w:space="0" w:color="auto"/>
              <w:bottom w:val="double" w:sz="4" w:space="0" w:color="auto"/>
            </w:tcBorders>
            <w:vAlign w:val="center"/>
          </w:tcPr>
          <w:p w14:paraId="210F2DAE" w14:textId="77777777" w:rsidR="00A33A9F" w:rsidRPr="00A33A9F" w:rsidRDefault="00A33A9F" w:rsidP="00224685">
            <w:pPr>
              <w:spacing w:before="60" w:after="60" w:line="240" w:lineRule="atLeast"/>
              <w:jc w:val="center"/>
              <w:rPr>
                <w:rFonts w:cs="Arial"/>
                <w:b/>
                <w:bCs/>
                <w:lang w:val="en-GB"/>
              </w:rPr>
            </w:pPr>
            <w:r w:rsidRPr="00A33A9F">
              <w:rPr>
                <w:rFonts w:cs="Arial"/>
                <w:b/>
                <w:bCs/>
                <w:lang w:val="en-GB"/>
              </w:rPr>
              <w:t>PRE*ELA</w:t>
            </w:r>
          </w:p>
        </w:tc>
        <w:tc>
          <w:tcPr>
            <w:tcW w:w="1138" w:type="dxa"/>
            <w:tcBorders>
              <w:top w:val="double" w:sz="4" w:space="0" w:color="auto"/>
              <w:bottom w:val="double" w:sz="4" w:space="0" w:color="auto"/>
            </w:tcBorders>
            <w:vAlign w:val="center"/>
          </w:tcPr>
          <w:p w14:paraId="5E581DBD" w14:textId="77777777" w:rsidR="00A33A9F" w:rsidRPr="00A33A9F" w:rsidRDefault="00A33A9F" w:rsidP="00224685">
            <w:pPr>
              <w:spacing w:before="60" w:after="60" w:line="240" w:lineRule="atLeast"/>
              <w:jc w:val="center"/>
              <w:rPr>
                <w:rFonts w:cs="Arial"/>
                <w:b/>
                <w:bCs/>
                <w:lang w:val="en-GB"/>
              </w:rPr>
            </w:pPr>
            <w:r w:rsidRPr="00A33A9F">
              <w:rPr>
                <w:rFonts w:cs="Arial"/>
                <w:b/>
                <w:bCs/>
                <w:lang w:val="en-GB"/>
              </w:rPr>
              <w:t>PRE*JUV</w:t>
            </w:r>
          </w:p>
        </w:tc>
        <w:tc>
          <w:tcPr>
            <w:tcW w:w="1136" w:type="dxa"/>
            <w:tcBorders>
              <w:top w:val="double" w:sz="4" w:space="0" w:color="auto"/>
              <w:bottom w:val="double" w:sz="4" w:space="0" w:color="auto"/>
            </w:tcBorders>
            <w:vAlign w:val="center"/>
          </w:tcPr>
          <w:p w14:paraId="7579B7F8" w14:textId="77777777" w:rsidR="00A33A9F" w:rsidRPr="00A33A9F" w:rsidRDefault="00A33A9F" w:rsidP="00224685">
            <w:pPr>
              <w:spacing w:before="60" w:after="60" w:line="240" w:lineRule="atLeast"/>
              <w:jc w:val="center"/>
              <w:rPr>
                <w:rFonts w:cs="Arial"/>
                <w:b/>
                <w:bCs/>
                <w:lang w:val="en-GB"/>
              </w:rPr>
            </w:pPr>
            <w:r w:rsidRPr="00A33A9F">
              <w:rPr>
                <w:rFonts w:cs="Arial"/>
                <w:b/>
                <w:bCs/>
                <w:lang w:val="en-GB"/>
              </w:rPr>
              <w:t>ELA*JUV</w:t>
            </w:r>
          </w:p>
        </w:tc>
        <w:tc>
          <w:tcPr>
            <w:tcW w:w="1578" w:type="dxa"/>
            <w:tcBorders>
              <w:top w:val="double" w:sz="4" w:space="0" w:color="auto"/>
              <w:right w:val="double" w:sz="4" w:space="0" w:color="auto"/>
            </w:tcBorders>
            <w:vAlign w:val="center"/>
          </w:tcPr>
          <w:p w14:paraId="59939CE7" w14:textId="77777777" w:rsidR="00A33A9F" w:rsidRPr="00A33A9F" w:rsidRDefault="00A33A9F" w:rsidP="00224685">
            <w:pPr>
              <w:spacing w:before="60" w:after="60" w:line="240" w:lineRule="atLeast"/>
              <w:jc w:val="center"/>
              <w:rPr>
                <w:rFonts w:cs="Arial"/>
                <w:b/>
                <w:bCs/>
                <w:lang w:val="en-GB"/>
              </w:rPr>
            </w:pPr>
            <w:r w:rsidRPr="00A33A9F">
              <w:rPr>
                <w:rFonts w:cs="Arial"/>
                <w:b/>
                <w:bCs/>
                <w:lang w:val="en-GB"/>
              </w:rPr>
              <w:t>PRE*ELA*JUV</w:t>
            </w:r>
          </w:p>
        </w:tc>
      </w:tr>
      <w:tr w:rsidR="00A33A9F" w:rsidRPr="00A33A9F" w14:paraId="39BA2944" w14:textId="77777777" w:rsidTr="00224685">
        <w:tc>
          <w:tcPr>
            <w:tcW w:w="9345" w:type="dxa"/>
            <w:gridSpan w:val="8"/>
            <w:tcBorders>
              <w:top w:val="double" w:sz="4" w:space="0" w:color="auto"/>
              <w:left w:val="double" w:sz="4" w:space="0" w:color="auto"/>
              <w:bottom w:val="double" w:sz="4" w:space="0" w:color="auto"/>
              <w:right w:val="double" w:sz="4" w:space="0" w:color="auto"/>
            </w:tcBorders>
            <w:vAlign w:val="center"/>
          </w:tcPr>
          <w:p w14:paraId="3CB2FDAA" w14:textId="77777777" w:rsidR="00A33A9F" w:rsidRPr="00A33A9F" w:rsidRDefault="00A33A9F" w:rsidP="00224685">
            <w:pPr>
              <w:spacing w:before="60" w:after="60" w:line="240" w:lineRule="atLeast"/>
              <w:jc w:val="left"/>
              <w:rPr>
                <w:rFonts w:cs="Arial"/>
                <w:b/>
                <w:bCs/>
                <w:lang w:val="en-GB"/>
              </w:rPr>
            </w:pPr>
            <w:r w:rsidRPr="00A33A9F">
              <w:rPr>
                <w:rFonts w:cs="Arial"/>
                <w:b/>
                <w:bCs/>
                <w:lang w:val="en-GB"/>
              </w:rPr>
              <w:t>Open field test</w:t>
            </w:r>
          </w:p>
        </w:tc>
      </w:tr>
      <w:tr w:rsidR="00A33A9F" w:rsidRPr="00A33A9F" w14:paraId="6CDD7077" w14:textId="77777777" w:rsidTr="00224685">
        <w:tc>
          <w:tcPr>
            <w:tcW w:w="1256" w:type="dxa"/>
            <w:tcBorders>
              <w:top w:val="double" w:sz="4" w:space="0" w:color="auto"/>
              <w:left w:val="double" w:sz="4" w:space="0" w:color="auto"/>
              <w:bottom w:val="double" w:sz="4" w:space="0" w:color="auto"/>
            </w:tcBorders>
            <w:vAlign w:val="center"/>
          </w:tcPr>
          <w:p w14:paraId="35CDEC9F" w14:textId="77777777" w:rsidR="00A33A9F" w:rsidRPr="00A33A9F" w:rsidRDefault="00A33A9F" w:rsidP="00224685">
            <w:pPr>
              <w:spacing w:before="60" w:after="60" w:line="240" w:lineRule="atLeast"/>
              <w:jc w:val="center"/>
              <w:rPr>
                <w:rFonts w:cs="Arial"/>
                <w:i/>
                <w:iCs/>
                <w:lang w:val="en-GB"/>
              </w:rPr>
            </w:pPr>
            <w:r w:rsidRPr="00A33A9F">
              <w:rPr>
                <w:rFonts w:cs="Arial"/>
                <w:i/>
                <w:iCs/>
                <w:lang w:val="en-GB"/>
              </w:rPr>
              <w:t>Distance</w:t>
            </w:r>
          </w:p>
        </w:tc>
        <w:tc>
          <w:tcPr>
            <w:tcW w:w="1033" w:type="dxa"/>
            <w:tcBorders>
              <w:top w:val="double" w:sz="4" w:space="0" w:color="auto"/>
              <w:bottom w:val="double" w:sz="4" w:space="0" w:color="auto"/>
            </w:tcBorders>
            <w:vAlign w:val="center"/>
          </w:tcPr>
          <w:p w14:paraId="37FB5E36" w14:textId="77777777" w:rsidR="00A33A9F" w:rsidRPr="00A33A9F" w:rsidRDefault="00A33A9F" w:rsidP="00224685">
            <w:pPr>
              <w:spacing w:before="60" w:after="60" w:line="240" w:lineRule="atLeast"/>
              <w:jc w:val="center"/>
              <w:rPr>
                <w:rFonts w:cs="Arial"/>
                <w:lang w:val="en-GB"/>
              </w:rPr>
            </w:pPr>
            <w:r w:rsidRPr="00A33A9F">
              <w:rPr>
                <w:rFonts w:cs="Arial"/>
                <w:lang w:val="en-GB"/>
              </w:rPr>
              <w:t>0</w:t>
            </w:r>
          </w:p>
        </w:tc>
        <w:tc>
          <w:tcPr>
            <w:tcW w:w="1032" w:type="dxa"/>
            <w:tcBorders>
              <w:top w:val="double" w:sz="4" w:space="0" w:color="auto"/>
              <w:bottom w:val="double" w:sz="4" w:space="0" w:color="auto"/>
            </w:tcBorders>
            <w:vAlign w:val="center"/>
          </w:tcPr>
          <w:p w14:paraId="415A1E46" w14:textId="77777777" w:rsidR="00A33A9F" w:rsidRPr="00A33A9F" w:rsidRDefault="00A33A9F" w:rsidP="00224685">
            <w:pPr>
              <w:spacing w:before="60" w:after="60" w:line="240" w:lineRule="atLeast"/>
              <w:jc w:val="center"/>
              <w:rPr>
                <w:rFonts w:cs="Arial"/>
                <w:lang w:val="en-GB"/>
              </w:rPr>
            </w:pPr>
            <w:r w:rsidRPr="00A33A9F">
              <w:rPr>
                <w:rFonts w:cs="Arial"/>
                <w:lang w:val="en-GB"/>
              </w:rPr>
              <w:t>0.019</w:t>
            </w:r>
          </w:p>
        </w:tc>
        <w:tc>
          <w:tcPr>
            <w:tcW w:w="1024" w:type="dxa"/>
            <w:tcBorders>
              <w:top w:val="double" w:sz="4" w:space="0" w:color="auto"/>
              <w:bottom w:val="double" w:sz="4" w:space="0" w:color="auto"/>
            </w:tcBorders>
            <w:vAlign w:val="center"/>
          </w:tcPr>
          <w:p w14:paraId="39484968" w14:textId="77777777" w:rsidR="00A33A9F" w:rsidRPr="00A33A9F" w:rsidRDefault="00A33A9F" w:rsidP="00224685">
            <w:pPr>
              <w:spacing w:before="60" w:after="60" w:line="240" w:lineRule="atLeast"/>
              <w:jc w:val="center"/>
              <w:rPr>
                <w:rFonts w:cs="Arial"/>
                <w:lang w:val="en-GB"/>
              </w:rPr>
            </w:pPr>
            <w:r w:rsidRPr="00A33A9F">
              <w:rPr>
                <w:rFonts w:cs="Arial"/>
                <w:lang w:val="en-GB"/>
              </w:rPr>
              <w:t>0.032</w:t>
            </w:r>
          </w:p>
        </w:tc>
        <w:tc>
          <w:tcPr>
            <w:tcW w:w="1148" w:type="dxa"/>
            <w:tcBorders>
              <w:top w:val="double" w:sz="4" w:space="0" w:color="auto"/>
              <w:bottom w:val="double" w:sz="4" w:space="0" w:color="auto"/>
            </w:tcBorders>
            <w:vAlign w:val="center"/>
          </w:tcPr>
          <w:p w14:paraId="2534FCCA" w14:textId="77777777" w:rsidR="00A33A9F" w:rsidRPr="00A33A9F" w:rsidRDefault="00A33A9F" w:rsidP="00224685">
            <w:pPr>
              <w:spacing w:before="60" w:after="60" w:line="240" w:lineRule="atLeast"/>
              <w:jc w:val="center"/>
              <w:rPr>
                <w:rFonts w:cs="Arial"/>
                <w:lang w:val="en-GB"/>
              </w:rPr>
            </w:pPr>
            <w:r w:rsidRPr="00A33A9F">
              <w:rPr>
                <w:rFonts w:cs="Arial"/>
                <w:lang w:val="en-GB"/>
              </w:rPr>
              <w:t>0.056</w:t>
            </w:r>
          </w:p>
        </w:tc>
        <w:tc>
          <w:tcPr>
            <w:tcW w:w="1138" w:type="dxa"/>
            <w:tcBorders>
              <w:top w:val="double" w:sz="4" w:space="0" w:color="auto"/>
              <w:bottom w:val="double" w:sz="4" w:space="0" w:color="auto"/>
            </w:tcBorders>
            <w:vAlign w:val="center"/>
          </w:tcPr>
          <w:p w14:paraId="7CD29B55" w14:textId="77777777" w:rsidR="00A33A9F" w:rsidRPr="00A33A9F" w:rsidRDefault="00A33A9F" w:rsidP="00224685">
            <w:pPr>
              <w:spacing w:before="60" w:after="60" w:line="240" w:lineRule="atLeast"/>
              <w:jc w:val="center"/>
              <w:rPr>
                <w:rFonts w:cs="Arial"/>
                <w:lang w:val="en-GB"/>
              </w:rPr>
            </w:pPr>
            <w:r w:rsidRPr="00A33A9F">
              <w:rPr>
                <w:rFonts w:cs="Arial"/>
                <w:lang w:val="en-GB"/>
              </w:rPr>
              <w:t>0.001</w:t>
            </w:r>
          </w:p>
        </w:tc>
        <w:tc>
          <w:tcPr>
            <w:tcW w:w="1136" w:type="dxa"/>
            <w:tcBorders>
              <w:top w:val="double" w:sz="4" w:space="0" w:color="auto"/>
              <w:bottom w:val="double" w:sz="4" w:space="0" w:color="auto"/>
            </w:tcBorders>
            <w:vAlign w:val="center"/>
          </w:tcPr>
          <w:p w14:paraId="369E16CC" w14:textId="77777777" w:rsidR="00A33A9F" w:rsidRPr="00A33A9F" w:rsidRDefault="00A33A9F" w:rsidP="00224685">
            <w:pPr>
              <w:spacing w:before="60" w:after="60" w:line="240" w:lineRule="atLeast"/>
              <w:jc w:val="center"/>
              <w:rPr>
                <w:rFonts w:cs="Arial"/>
                <w:lang w:val="en-GB"/>
              </w:rPr>
            </w:pPr>
            <w:r w:rsidRPr="00A33A9F">
              <w:rPr>
                <w:rFonts w:cs="Arial"/>
                <w:lang w:val="en-GB"/>
              </w:rPr>
              <w:t>0.007</w:t>
            </w:r>
          </w:p>
        </w:tc>
        <w:tc>
          <w:tcPr>
            <w:tcW w:w="1578" w:type="dxa"/>
            <w:tcBorders>
              <w:top w:val="double" w:sz="4" w:space="0" w:color="auto"/>
              <w:right w:val="double" w:sz="4" w:space="0" w:color="auto"/>
            </w:tcBorders>
            <w:vAlign w:val="center"/>
          </w:tcPr>
          <w:p w14:paraId="69DD60F4" w14:textId="77777777" w:rsidR="00A33A9F" w:rsidRPr="00A33A9F" w:rsidRDefault="00A33A9F" w:rsidP="00224685">
            <w:pPr>
              <w:spacing w:before="60" w:after="60" w:line="240" w:lineRule="atLeast"/>
              <w:jc w:val="center"/>
              <w:rPr>
                <w:rFonts w:cs="Arial"/>
                <w:lang w:val="en-GB"/>
              </w:rPr>
            </w:pPr>
            <w:r w:rsidRPr="00A33A9F">
              <w:rPr>
                <w:rFonts w:cs="Arial"/>
                <w:lang w:val="en-GB"/>
              </w:rPr>
              <w:t>0.057</w:t>
            </w:r>
          </w:p>
        </w:tc>
      </w:tr>
      <w:tr w:rsidR="00A33A9F" w:rsidRPr="00A33A9F" w14:paraId="0DC98D18" w14:textId="77777777" w:rsidTr="00224685">
        <w:tc>
          <w:tcPr>
            <w:tcW w:w="9345" w:type="dxa"/>
            <w:gridSpan w:val="8"/>
            <w:tcBorders>
              <w:top w:val="double" w:sz="4" w:space="0" w:color="auto"/>
              <w:left w:val="double" w:sz="4" w:space="0" w:color="auto"/>
              <w:right w:val="double" w:sz="4" w:space="0" w:color="auto"/>
            </w:tcBorders>
            <w:vAlign w:val="center"/>
          </w:tcPr>
          <w:p w14:paraId="063080CB" w14:textId="77777777" w:rsidR="00A33A9F" w:rsidRPr="00A33A9F" w:rsidRDefault="00A33A9F" w:rsidP="00224685">
            <w:pPr>
              <w:spacing w:before="60" w:after="60" w:line="240" w:lineRule="atLeast"/>
              <w:jc w:val="left"/>
              <w:rPr>
                <w:rFonts w:cs="Arial"/>
                <w:b/>
                <w:bCs/>
                <w:lang w:val="en-GB"/>
              </w:rPr>
            </w:pPr>
            <w:r w:rsidRPr="00A33A9F">
              <w:rPr>
                <w:rFonts w:cs="Arial"/>
                <w:b/>
                <w:bCs/>
                <w:lang w:val="en-GB"/>
              </w:rPr>
              <w:t>Forced swim test</w:t>
            </w:r>
          </w:p>
        </w:tc>
      </w:tr>
      <w:tr w:rsidR="00A33A9F" w:rsidRPr="00A33A9F" w14:paraId="1BCD0A80" w14:textId="77777777" w:rsidTr="00224685">
        <w:tc>
          <w:tcPr>
            <w:tcW w:w="1256" w:type="dxa"/>
            <w:tcBorders>
              <w:top w:val="double" w:sz="4" w:space="0" w:color="auto"/>
              <w:left w:val="double" w:sz="4" w:space="0" w:color="auto"/>
              <w:bottom w:val="dotted" w:sz="4" w:space="0" w:color="auto"/>
            </w:tcBorders>
            <w:vAlign w:val="center"/>
          </w:tcPr>
          <w:p w14:paraId="08367EAE" w14:textId="77777777" w:rsidR="00A33A9F" w:rsidRPr="00A33A9F" w:rsidRDefault="00A33A9F" w:rsidP="00224685">
            <w:pPr>
              <w:spacing w:before="60" w:after="60" w:line="240" w:lineRule="atLeast"/>
              <w:jc w:val="center"/>
              <w:rPr>
                <w:rFonts w:cs="Arial"/>
                <w:i/>
                <w:iCs/>
                <w:lang w:val="en-GB"/>
              </w:rPr>
            </w:pPr>
            <w:r w:rsidRPr="00A33A9F">
              <w:rPr>
                <w:rFonts w:cs="Arial"/>
                <w:i/>
                <w:iCs/>
                <w:lang w:val="en-GB"/>
              </w:rPr>
              <w:t>Immobility</w:t>
            </w:r>
          </w:p>
        </w:tc>
        <w:tc>
          <w:tcPr>
            <w:tcW w:w="1033" w:type="dxa"/>
            <w:tcBorders>
              <w:top w:val="double" w:sz="4" w:space="0" w:color="auto"/>
              <w:bottom w:val="dotted" w:sz="4" w:space="0" w:color="auto"/>
            </w:tcBorders>
            <w:vAlign w:val="center"/>
          </w:tcPr>
          <w:p w14:paraId="2DA68C17" w14:textId="77777777" w:rsidR="00A33A9F" w:rsidRPr="00A33A9F" w:rsidRDefault="00A33A9F" w:rsidP="00224685">
            <w:pPr>
              <w:spacing w:before="60" w:after="60" w:line="240" w:lineRule="atLeast"/>
              <w:jc w:val="center"/>
              <w:rPr>
                <w:rFonts w:cs="Arial"/>
                <w:lang w:val="en-GB"/>
              </w:rPr>
            </w:pPr>
            <w:r w:rsidRPr="00A33A9F">
              <w:rPr>
                <w:rFonts w:cs="Arial"/>
                <w:lang w:val="en-GB"/>
              </w:rPr>
              <w:t>0.028</w:t>
            </w:r>
          </w:p>
        </w:tc>
        <w:tc>
          <w:tcPr>
            <w:tcW w:w="1032" w:type="dxa"/>
            <w:tcBorders>
              <w:top w:val="double" w:sz="4" w:space="0" w:color="auto"/>
              <w:bottom w:val="dotted" w:sz="4" w:space="0" w:color="auto"/>
            </w:tcBorders>
            <w:vAlign w:val="center"/>
          </w:tcPr>
          <w:p w14:paraId="69590EA4" w14:textId="77777777" w:rsidR="00A33A9F" w:rsidRPr="00A33A9F" w:rsidRDefault="00A33A9F" w:rsidP="00224685">
            <w:pPr>
              <w:spacing w:before="60" w:after="60" w:line="240" w:lineRule="atLeast"/>
              <w:jc w:val="center"/>
              <w:rPr>
                <w:rFonts w:cs="Arial"/>
                <w:lang w:val="en-GB"/>
              </w:rPr>
            </w:pPr>
            <w:r w:rsidRPr="00A33A9F">
              <w:rPr>
                <w:rFonts w:cs="Arial"/>
                <w:lang w:val="en-GB"/>
              </w:rPr>
              <w:t>0.038</w:t>
            </w:r>
          </w:p>
        </w:tc>
        <w:tc>
          <w:tcPr>
            <w:tcW w:w="1024" w:type="dxa"/>
            <w:tcBorders>
              <w:top w:val="double" w:sz="4" w:space="0" w:color="auto"/>
              <w:bottom w:val="dotted" w:sz="4" w:space="0" w:color="auto"/>
            </w:tcBorders>
            <w:vAlign w:val="center"/>
          </w:tcPr>
          <w:p w14:paraId="1893A3F0" w14:textId="77777777" w:rsidR="00A33A9F" w:rsidRPr="00A33A9F" w:rsidRDefault="00A33A9F" w:rsidP="00224685">
            <w:pPr>
              <w:spacing w:before="60" w:after="60" w:line="240" w:lineRule="atLeast"/>
              <w:jc w:val="center"/>
              <w:rPr>
                <w:rFonts w:cs="Arial"/>
                <w:lang w:val="en-GB"/>
              </w:rPr>
            </w:pPr>
            <w:r w:rsidRPr="00A33A9F">
              <w:rPr>
                <w:rFonts w:cs="Arial"/>
                <w:lang w:val="en-GB"/>
              </w:rPr>
              <w:t>0.050</w:t>
            </w:r>
          </w:p>
        </w:tc>
        <w:tc>
          <w:tcPr>
            <w:tcW w:w="1148" w:type="dxa"/>
            <w:tcBorders>
              <w:top w:val="double" w:sz="4" w:space="0" w:color="auto"/>
              <w:bottom w:val="dotted" w:sz="4" w:space="0" w:color="auto"/>
            </w:tcBorders>
            <w:vAlign w:val="center"/>
          </w:tcPr>
          <w:p w14:paraId="7304F96A" w14:textId="77777777" w:rsidR="00A33A9F" w:rsidRPr="00A33A9F" w:rsidRDefault="00A33A9F" w:rsidP="00224685">
            <w:pPr>
              <w:spacing w:before="60" w:after="60" w:line="240" w:lineRule="atLeast"/>
              <w:jc w:val="center"/>
              <w:rPr>
                <w:rFonts w:cs="Arial"/>
                <w:lang w:val="en-GB"/>
              </w:rPr>
            </w:pPr>
            <w:r w:rsidRPr="00A33A9F">
              <w:rPr>
                <w:rFonts w:cs="Arial"/>
                <w:lang w:val="en-GB"/>
              </w:rPr>
              <w:t>0.041</w:t>
            </w:r>
          </w:p>
        </w:tc>
        <w:tc>
          <w:tcPr>
            <w:tcW w:w="1138" w:type="dxa"/>
            <w:tcBorders>
              <w:top w:val="double" w:sz="4" w:space="0" w:color="auto"/>
              <w:bottom w:val="dotted" w:sz="4" w:space="0" w:color="auto"/>
            </w:tcBorders>
            <w:vAlign w:val="center"/>
          </w:tcPr>
          <w:p w14:paraId="20E13F70" w14:textId="77777777" w:rsidR="00A33A9F" w:rsidRPr="00A33A9F" w:rsidRDefault="00A33A9F" w:rsidP="00224685">
            <w:pPr>
              <w:spacing w:before="60" w:after="60" w:line="240" w:lineRule="atLeast"/>
              <w:jc w:val="center"/>
              <w:rPr>
                <w:rFonts w:cs="Arial"/>
                <w:lang w:val="en-GB"/>
              </w:rPr>
            </w:pPr>
            <w:r w:rsidRPr="00A33A9F">
              <w:rPr>
                <w:rFonts w:cs="Arial"/>
                <w:lang w:val="en-GB"/>
              </w:rPr>
              <w:t>0.001</w:t>
            </w:r>
          </w:p>
        </w:tc>
        <w:tc>
          <w:tcPr>
            <w:tcW w:w="1136" w:type="dxa"/>
            <w:tcBorders>
              <w:top w:val="double" w:sz="4" w:space="0" w:color="auto"/>
              <w:bottom w:val="dotted" w:sz="4" w:space="0" w:color="auto"/>
            </w:tcBorders>
            <w:vAlign w:val="center"/>
          </w:tcPr>
          <w:p w14:paraId="7C4B5CC3" w14:textId="77777777" w:rsidR="00A33A9F" w:rsidRPr="00A33A9F" w:rsidRDefault="00A33A9F" w:rsidP="00224685">
            <w:pPr>
              <w:spacing w:before="60" w:after="60" w:line="240" w:lineRule="atLeast"/>
              <w:jc w:val="center"/>
              <w:rPr>
                <w:rFonts w:cs="Arial"/>
                <w:lang w:val="en-GB"/>
              </w:rPr>
            </w:pPr>
            <w:r w:rsidRPr="00A33A9F">
              <w:rPr>
                <w:rFonts w:cs="Arial"/>
                <w:lang w:val="en-GB"/>
              </w:rPr>
              <w:t>0.010</w:t>
            </w:r>
          </w:p>
        </w:tc>
        <w:tc>
          <w:tcPr>
            <w:tcW w:w="1578" w:type="dxa"/>
            <w:tcBorders>
              <w:top w:val="double" w:sz="4" w:space="0" w:color="auto"/>
              <w:bottom w:val="dotted" w:sz="4" w:space="0" w:color="auto"/>
              <w:right w:val="double" w:sz="4" w:space="0" w:color="auto"/>
            </w:tcBorders>
            <w:vAlign w:val="center"/>
          </w:tcPr>
          <w:p w14:paraId="7232A411" w14:textId="77777777" w:rsidR="00A33A9F" w:rsidRPr="00A33A9F" w:rsidRDefault="00A33A9F" w:rsidP="00224685">
            <w:pPr>
              <w:spacing w:before="60" w:after="60" w:line="240" w:lineRule="atLeast"/>
              <w:jc w:val="center"/>
              <w:rPr>
                <w:rFonts w:cs="Arial"/>
                <w:lang w:val="en-GB"/>
              </w:rPr>
            </w:pPr>
            <w:r w:rsidRPr="00A33A9F">
              <w:rPr>
                <w:rFonts w:cs="Arial"/>
                <w:lang w:val="en-GB"/>
              </w:rPr>
              <w:t>0.002</w:t>
            </w:r>
          </w:p>
        </w:tc>
      </w:tr>
      <w:tr w:rsidR="00A33A9F" w:rsidRPr="00A33A9F" w14:paraId="04136705" w14:textId="77777777" w:rsidTr="00224685">
        <w:tc>
          <w:tcPr>
            <w:tcW w:w="1256" w:type="dxa"/>
            <w:tcBorders>
              <w:top w:val="dotted" w:sz="4" w:space="0" w:color="auto"/>
              <w:left w:val="double" w:sz="4" w:space="0" w:color="auto"/>
              <w:bottom w:val="dotted" w:sz="4" w:space="0" w:color="auto"/>
            </w:tcBorders>
            <w:vAlign w:val="center"/>
          </w:tcPr>
          <w:p w14:paraId="2418A0C0" w14:textId="77777777" w:rsidR="00A33A9F" w:rsidRPr="00A33A9F" w:rsidRDefault="00A33A9F" w:rsidP="00224685">
            <w:pPr>
              <w:spacing w:before="60" w:after="60" w:line="240" w:lineRule="atLeast"/>
              <w:jc w:val="center"/>
              <w:rPr>
                <w:rFonts w:cs="Arial"/>
                <w:i/>
                <w:iCs/>
                <w:lang w:val="en-GB"/>
              </w:rPr>
            </w:pPr>
            <w:r w:rsidRPr="00A33A9F">
              <w:rPr>
                <w:rFonts w:cs="Arial"/>
                <w:i/>
                <w:iCs/>
                <w:lang w:val="en-GB"/>
              </w:rPr>
              <w:t>Swimming</w:t>
            </w:r>
          </w:p>
        </w:tc>
        <w:tc>
          <w:tcPr>
            <w:tcW w:w="1033" w:type="dxa"/>
            <w:tcBorders>
              <w:top w:val="dotted" w:sz="4" w:space="0" w:color="auto"/>
              <w:bottom w:val="dotted" w:sz="4" w:space="0" w:color="auto"/>
            </w:tcBorders>
            <w:vAlign w:val="center"/>
          </w:tcPr>
          <w:p w14:paraId="5FDBADD4" w14:textId="77777777" w:rsidR="00A33A9F" w:rsidRPr="00A33A9F" w:rsidRDefault="00A33A9F" w:rsidP="00224685">
            <w:pPr>
              <w:spacing w:before="60" w:after="60" w:line="240" w:lineRule="atLeast"/>
              <w:jc w:val="center"/>
              <w:rPr>
                <w:rFonts w:cs="Arial"/>
                <w:lang w:val="en-GB"/>
              </w:rPr>
            </w:pPr>
            <w:r w:rsidRPr="00A33A9F">
              <w:rPr>
                <w:rFonts w:cs="Arial"/>
                <w:lang w:val="en-GB"/>
              </w:rPr>
              <w:t>0.092</w:t>
            </w:r>
          </w:p>
        </w:tc>
        <w:tc>
          <w:tcPr>
            <w:tcW w:w="1032" w:type="dxa"/>
            <w:tcBorders>
              <w:top w:val="dotted" w:sz="4" w:space="0" w:color="auto"/>
              <w:bottom w:val="dotted" w:sz="4" w:space="0" w:color="auto"/>
            </w:tcBorders>
            <w:vAlign w:val="center"/>
          </w:tcPr>
          <w:p w14:paraId="09A8942E" w14:textId="77777777" w:rsidR="00A33A9F" w:rsidRPr="00A33A9F" w:rsidRDefault="00A33A9F" w:rsidP="00224685">
            <w:pPr>
              <w:spacing w:before="60" w:after="60" w:line="240" w:lineRule="atLeast"/>
              <w:jc w:val="center"/>
              <w:rPr>
                <w:rFonts w:cs="Arial"/>
                <w:lang w:val="en-GB"/>
              </w:rPr>
            </w:pPr>
            <w:r w:rsidRPr="00A33A9F">
              <w:rPr>
                <w:rFonts w:cs="Arial"/>
                <w:lang w:val="en-GB"/>
              </w:rPr>
              <w:t>0.006</w:t>
            </w:r>
          </w:p>
        </w:tc>
        <w:tc>
          <w:tcPr>
            <w:tcW w:w="1024" w:type="dxa"/>
            <w:tcBorders>
              <w:top w:val="dotted" w:sz="4" w:space="0" w:color="auto"/>
              <w:bottom w:val="dotted" w:sz="4" w:space="0" w:color="auto"/>
            </w:tcBorders>
            <w:vAlign w:val="center"/>
          </w:tcPr>
          <w:p w14:paraId="23496D59" w14:textId="77777777" w:rsidR="00A33A9F" w:rsidRPr="00A33A9F" w:rsidRDefault="00A33A9F" w:rsidP="00224685">
            <w:pPr>
              <w:spacing w:before="60" w:after="60" w:line="240" w:lineRule="atLeast"/>
              <w:jc w:val="center"/>
              <w:rPr>
                <w:rFonts w:cs="Arial"/>
                <w:lang w:val="en-GB"/>
              </w:rPr>
            </w:pPr>
            <w:r w:rsidRPr="00A33A9F">
              <w:rPr>
                <w:rFonts w:cs="Arial"/>
                <w:lang w:val="en-GB"/>
              </w:rPr>
              <w:t>0.019</w:t>
            </w:r>
          </w:p>
        </w:tc>
        <w:tc>
          <w:tcPr>
            <w:tcW w:w="1148" w:type="dxa"/>
            <w:tcBorders>
              <w:top w:val="dotted" w:sz="4" w:space="0" w:color="auto"/>
              <w:bottom w:val="dotted" w:sz="4" w:space="0" w:color="auto"/>
            </w:tcBorders>
            <w:vAlign w:val="center"/>
          </w:tcPr>
          <w:p w14:paraId="52F4B17E" w14:textId="77777777" w:rsidR="00A33A9F" w:rsidRPr="00A33A9F" w:rsidRDefault="00A33A9F" w:rsidP="00224685">
            <w:pPr>
              <w:spacing w:before="60" w:after="60" w:line="240" w:lineRule="atLeast"/>
              <w:jc w:val="center"/>
              <w:rPr>
                <w:rFonts w:cs="Arial"/>
                <w:lang w:val="en-GB"/>
              </w:rPr>
            </w:pPr>
            <w:r w:rsidRPr="00A33A9F">
              <w:rPr>
                <w:rFonts w:cs="Arial"/>
                <w:lang w:val="en-GB"/>
              </w:rPr>
              <w:t>0.142</w:t>
            </w:r>
          </w:p>
        </w:tc>
        <w:tc>
          <w:tcPr>
            <w:tcW w:w="1138" w:type="dxa"/>
            <w:tcBorders>
              <w:top w:val="dotted" w:sz="4" w:space="0" w:color="auto"/>
              <w:bottom w:val="dotted" w:sz="4" w:space="0" w:color="auto"/>
            </w:tcBorders>
            <w:vAlign w:val="center"/>
          </w:tcPr>
          <w:p w14:paraId="104A1787" w14:textId="77777777" w:rsidR="00A33A9F" w:rsidRPr="00A33A9F" w:rsidRDefault="00A33A9F" w:rsidP="00224685">
            <w:pPr>
              <w:spacing w:before="60" w:after="60" w:line="240" w:lineRule="atLeast"/>
              <w:jc w:val="center"/>
              <w:rPr>
                <w:rFonts w:cs="Arial"/>
                <w:lang w:val="en-GB"/>
              </w:rPr>
            </w:pPr>
            <w:r w:rsidRPr="00A33A9F">
              <w:rPr>
                <w:rFonts w:cs="Arial"/>
                <w:lang w:val="en-GB"/>
              </w:rPr>
              <w:t>0.090</w:t>
            </w:r>
          </w:p>
        </w:tc>
        <w:tc>
          <w:tcPr>
            <w:tcW w:w="1136" w:type="dxa"/>
            <w:tcBorders>
              <w:top w:val="dotted" w:sz="4" w:space="0" w:color="auto"/>
              <w:bottom w:val="dotted" w:sz="4" w:space="0" w:color="auto"/>
            </w:tcBorders>
            <w:vAlign w:val="center"/>
          </w:tcPr>
          <w:p w14:paraId="057546FA" w14:textId="77777777" w:rsidR="00A33A9F" w:rsidRPr="00A33A9F" w:rsidRDefault="00A33A9F" w:rsidP="00224685">
            <w:pPr>
              <w:spacing w:before="60" w:after="60" w:line="240" w:lineRule="atLeast"/>
              <w:jc w:val="center"/>
              <w:rPr>
                <w:rFonts w:cs="Arial"/>
                <w:lang w:val="en-GB"/>
              </w:rPr>
            </w:pPr>
            <w:r w:rsidRPr="00A33A9F">
              <w:rPr>
                <w:rFonts w:cs="Arial"/>
                <w:lang w:val="en-GB"/>
              </w:rPr>
              <w:t>0.042</w:t>
            </w:r>
          </w:p>
        </w:tc>
        <w:tc>
          <w:tcPr>
            <w:tcW w:w="1578" w:type="dxa"/>
            <w:tcBorders>
              <w:top w:val="dotted" w:sz="4" w:space="0" w:color="auto"/>
              <w:bottom w:val="dotted" w:sz="4" w:space="0" w:color="auto"/>
              <w:right w:val="double" w:sz="4" w:space="0" w:color="auto"/>
            </w:tcBorders>
            <w:vAlign w:val="center"/>
          </w:tcPr>
          <w:p w14:paraId="7F308962" w14:textId="77777777" w:rsidR="00A33A9F" w:rsidRPr="00A33A9F" w:rsidRDefault="00A33A9F" w:rsidP="00224685">
            <w:pPr>
              <w:spacing w:before="60" w:after="60" w:line="240" w:lineRule="atLeast"/>
              <w:jc w:val="center"/>
              <w:rPr>
                <w:rFonts w:cs="Arial"/>
                <w:lang w:val="en-GB"/>
              </w:rPr>
            </w:pPr>
            <w:r w:rsidRPr="00A33A9F">
              <w:rPr>
                <w:rFonts w:cs="Arial"/>
                <w:lang w:val="en-GB"/>
              </w:rPr>
              <w:t>0.001</w:t>
            </w:r>
          </w:p>
        </w:tc>
      </w:tr>
      <w:tr w:rsidR="00A33A9F" w:rsidRPr="00A33A9F" w14:paraId="7EDE1BE4" w14:textId="77777777" w:rsidTr="00224685">
        <w:tc>
          <w:tcPr>
            <w:tcW w:w="1256" w:type="dxa"/>
            <w:tcBorders>
              <w:top w:val="dotted" w:sz="4" w:space="0" w:color="auto"/>
              <w:left w:val="double" w:sz="4" w:space="0" w:color="auto"/>
              <w:bottom w:val="double" w:sz="4" w:space="0" w:color="auto"/>
            </w:tcBorders>
            <w:vAlign w:val="center"/>
          </w:tcPr>
          <w:p w14:paraId="7763EC60" w14:textId="77777777" w:rsidR="00A33A9F" w:rsidRPr="00A33A9F" w:rsidRDefault="00A33A9F" w:rsidP="00224685">
            <w:pPr>
              <w:spacing w:before="60" w:after="60" w:line="240" w:lineRule="atLeast"/>
              <w:jc w:val="center"/>
              <w:rPr>
                <w:rFonts w:cs="Arial"/>
                <w:i/>
                <w:iCs/>
                <w:lang w:val="en-GB"/>
              </w:rPr>
            </w:pPr>
            <w:r w:rsidRPr="00A33A9F">
              <w:rPr>
                <w:rFonts w:cs="Arial"/>
                <w:i/>
                <w:iCs/>
                <w:lang w:val="en-GB"/>
              </w:rPr>
              <w:t>Struggling</w:t>
            </w:r>
          </w:p>
        </w:tc>
        <w:tc>
          <w:tcPr>
            <w:tcW w:w="1033" w:type="dxa"/>
            <w:tcBorders>
              <w:top w:val="dotted" w:sz="4" w:space="0" w:color="auto"/>
              <w:bottom w:val="double" w:sz="4" w:space="0" w:color="auto"/>
            </w:tcBorders>
            <w:vAlign w:val="center"/>
          </w:tcPr>
          <w:p w14:paraId="4F701C9B" w14:textId="77777777" w:rsidR="00A33A9F" w:rsidRPr="00A33A9F" w:rsidRDefault="00A33A9F" w:rsidP="00224685">
            <w:pPr>
              <w:spacing w:before="60" w:after="60" w:line="240" w:lineRule="atLeast"/>
              <w:jc w:val="center"/>
              <w:rPr>
                <w:rFonts w:cs="Arial"/>
                <w:lang w:val="en-GB"/>
              </w:rPr>
            </w:pPr>
            <w:r w:rsidRPr="00A33A9F">
              <w:rPr>
                <w:rFonts w:cs="Arial"/>
                <w:lang w:val="en-GB"/>
              </w:rPr>
              <w:t>0.001</w:t>
            </w:r>
          </w:p>
        </w:tc>
        <w:tc>
          <w:tcPr>
            <w:tcW w:w="1032" w:type="dxa"/>
            <w:tcBorders>
              <w:top w:val="dotted" w:sz="4" w:space="0" w:color="auto"/>
              <w:bottom w:val="double" w:sz="4" w:space="0" w:color="auto"/>
            </w:tcBorders>
            <w:vAlign w:val="center"/>
          </w:tcPr>
          <w:p w14:paraId="1B06385C" w14:textId="77777777" w:rsidR="00A33A9F" w:rsidRPr="00A33A9F" w:rsidRDefault="00A33A9F" w:rsidP="00224685">
            <w:pPr>
              <w:spacing w:before="60" w:after="60" w:line="240" w:lineRule="atLeast"/>
              <w:jc w:val="center"/>
              <w:rPr>
                <w:rFonts w:cs="Arial"/>
                <w:lang w:val="en-GB"/>
              </w:rPr>
            </w:pPr>
            <w:r w:rsidRPr="00A33A9F">
              <w:rPr>
                <w:rFonts w:cs="Arial"/>
                <w:lang w:val="en-GB"/>
              </w:rPr>
              <w:t>0.030</w:t>
            </w:r>
          </w:p>
        </w:tc>
        <w:tc>
          <w:tcPr>
            <w:tcW w:w="1024" w:type="dxa"/>
            <w:tcBorders>
              <w:top w:val="dotted" w:sz="4" w:space="0" w:color="auto"/>
              <w:bottom w:val="double" w:sz="4" w:space="0" w:color="auto"/>
            </w:tcBorders>
            <w:vAlign w:val="center"/>
          </w:tcPr>
          <w:p w14:paraId="58ACD0ED" w14:textId="77777777" w:rsidR="00A33A9F" w:rsidRPr="00A33A9F" w:rsidRDefault="00A33A9F" w:rsidP="00224685">
            <w:pPr>
              <w:spacing w:before="60" w:after="60" w:line="240" w:lineRule="atLeast"/>
              <w:jc w:val="center"/>
              <w:rPr>
                <w:rFonts w:cs="Arial"/>
                <w:lang w:val="en-GB"/>
              </w:rPr>
            </w:pPr>
            <w:r w:rsidRPr="00A33A9F">
              <w:rPr>
                <w:rFonts w:cs="Arial"/>
                <w:lang w:val="en-GB"/>
              </w:rPr>
              <w:t>0.036</w:t>
            </w:r>
          </w:p>
        </w:tc>
        <w:tc>
          <w:tcPr>
            <w:tcW w:w="1148" w:type="dxa"/>
            <w:tcBorders>
              <w:top w:val="dotted" w:sz="4" w:space="0" w:color="auto"/>
              <w:bottom w:val="double" w:sz="4" w:space="0" w:color="auto"/>
            </w:tcBorders>
            <w:vAlign w:val="center"/>
          </w:tcPr>
          <w:p w14:paraId="78D7F414" w14:textId="77777777" w:rsidR="00A33A9F" w:rsidRPr="00A33A9F" w:rsidRDefault="00A33A9F" w:rsidP="00224685">
            <w:pPr>
              <w:spacing w:before="60" w:after="60" w:line="240" w:lineRule="atLeast"/>
              <w:jc w:val="center"/>
              <w:rPr>
                <w:rFonts w:cs="Arial"/>
                <w:lang w:val="en-GB"/>
              </w:rPr>
            </w:pPr>
            <w:r w:rsidRPr="00A33A9F">
              <w:rPr>
                <w:rFonts w:cs="Arial"/>
                <w:lang w:val="en-GB"/>
              </w:rPr>
              <w:t>0</w:t>
            </w:r>
          </w:p>
        </w:tc>
        <w:tc>
          <w:tcPr>
            <w:tcW w:w="1138" w:type="dxa"/>
            <w:tcBorders>
              <w:top w:val="dotted" w:sz="4" w:space="0" w:color="auto"/>
              <w:bottom w:val="double" w:sz="4" w:space="0" w:color="auto"/>
            </w:tcBorders>
            <w:vAlign w:val="center"/>
          </w:tcPr>
          <w:p w14:paraId="0FBB9742" w14:textId="77777777" w:rsidR="00A33A9F" w:rsidRPr="00A33A9F" w:rsidRDefault="00A33A9F" w:rsidP="00224685">
            <w:pPr>
              <w:spacing w:before="60" w:after="60" w:line="240" w:lineRule="atLeast"/>
              <w:jc w:val="center"/>
              <w:rPr>
                <w:rFonts w:cs="Arial"/>
                <w:lang w:val="en-GB"/>
              </w:rPr>
            </w:pPr>
            <w:r w:rsidRPr="00A33A9F">
              <w:rPr>
                <w:rFonts w:cs="Arial"/>
                <w:lang w:val="en-GB"/>
              </w:rPr>
              <w:t>0.016</w:t>
            </w:r>
          </w:p>
        </w:tc>
        <w:tc>
          <w:tcPr>
            <w:tcW w:w="1136" w:type="dxa"/>
            <w:tcBorders>
              <w:top w:val="dotted" w:sz="4" w:space="0" w:color="auto"/>
              <w:bottom w:val="double" w:sz="4" w:space="0" w:color="auto"/>
            </w:tcBorders>
            <w:vAlign w:val="center"/>
          </w:tcPr>
          <w:p w14:paraId="2AA67959" w14:textId="77777777" w:rsidR="00A33A9F" w:rsidRPr="00A33A9F" w:rsidRDefault="00A33A9F" w:rsidP="00224685">
            <w:pPr>
              <w:spacing w:before="60" w:after="60" w:line="240" w:lineRule="atLeast"/>
              <w:jc w:val="center"/>
              <w:rPr>
                <w:rFonts w:cs="Arial"/>
                <w:lang w:val="en-GB"/>
              </w:rPr>
            </w:pPr>
            <w:r w:rsidRPr="00A33A9F">
              <w:rPr>
                <w:rFonts w:cs="Arial"/>
                <w:lang w:val="en-GB"/>
              </w:rPr>
              <w:t>0</w:t>
            </w:r>
          </w:p>
        </w:tc>
        <w:tc>
          <w:tcPr>
            <w:tcW w:w="1578" w:type="dxa"/>
            <w:tcBorders>
              <w:top w:val="dotted" w:sz="4" w:space="0" w:color="auto"/>
              <w:bottom w:val="double" w:sz="4" w:space="0" w:color="auto"/>
              <w:right w:val="double" w:sz="4" w:space="0" w:color="auto"/>
            </w:tcBorders>
            <w:vAlign w:val="center"/>
          </w:tcPr>
          <w:p w14:paraId="4F8A11EA" w14:textId="77777777" w:rsidR="00A33A9F" w:rsidRPr="00A33A9F" w:rsidRDefault="00A33A9F" w:rsidP="00224685">
            <w:pPr>
              <w:spacing w:before="60" w:after="60" w:line="240" w:lineRule="atLeast"/>
              <w:jc w:val="center"/>
              <w:rPr>
                <w:rFonts w:cs="Arial"/>
                <w:lang w:val="en-GB"/>
              </w:rPr>
            </w:pPr>
            <w:r w:rsidRPr="00A33A9F">
              <w:rPr>
                <w:rFonts w:cs="Arial"/>
                <w:lang w:val="en-GB"/>
              </w:rPr>
              <w:t>0.005</w:t>
            </w:r>
          </w:p>
        </w:tc>
      </w:tr>
      <w:tr w:rsidR="00A33A9F" w:rsidRPr="00A33A9F" w14:paraId="3491D159" w14:textId="77777777" w:rsidTr="00224685">
        <w:tc>
          <w:tcPr>
            <w:tcW w:w="9345" w:type="dxa"/>
            <w:gridSpan w:val="8"/>
            <w:tcBorders>
              <w:top w:val="double" w:sz="4" w:space="0" w:color="auto"/>
              <w:left w:val="double" w:sz="4" w:space="0" w:color="auto"/>
              <w:bottom w:val="double" w:sz="4" w:space="0" w:color="auto"/>
              <w:right w:val="double" w:sz="4" w:space="0" w:color="auto"/>
            </w:tcBorders>
            <w:vAlign w:val="center"/>
          </w:tcPr>
          <w:p w14:paraId="29E0EA86" w14:textId="77777777" w:rsidR="00A33A9F" w:rsidRPr="00A33A9F" w:rsidRDefault="00A33A9F" w:rsidP="00224685">
            <w:pPr>
              <w:spacing w:before="60" w:after="60" w:line="240" w:lineRule="atLeast"/>
              <w:jc w:val="left"/>
              <w:rPr>
                <w:rFonts w:cs="Arial"/>
                <w:b/>
                <w:bCs/>
                <w:lang w:val="en-GB"/>
              </w:rPr>
            </w:pPr>
            <w:r w:rsidRPr="00A33A9F">
              <w:rPr>
                <w:rFonts w:cs="Arial"/>
                <w:b/>
                <w:bCs/>
                <w:lang w:val="en-GB"/>
              </w:rPr>
              <w:t>Elevated plus maze</w:t>
            </w:r>
          </w:p>
        </w:tc>
      </w:tr>
      <w:tr w:rsidR="00A33A9F" w:rsidRPr="00A33A9F" w14:paraId="181B4F38" w14:textId="77777777" w:rsidTr="00224685">
        <w:tc>
          <w:tcPr>
            <w:tcW w:w="1256" w:type="dxa"/>
            <w:tcBorders>
              <w:top w:val="double" w:sz="4" w:space="0" w:color="auto"/>
              <w:left w:val="double" w:sz="4" w:space="0" w:color="auto"/>
              <w:bottom w:val="double" w:sz="4" w:space="0" w:color="auto"/>
            </w:tcBorders>
            <w:vAlign w:val="center"/>
          </w:tcPr>
          <w:p w14:paraId="591925C9" w14:textId="77777777" w:rsidR="00A33A9F" w:rsidRPr="00A33A9F" w:rsidRDefault="00A33A9F" w:rsidP="00224685">
            <w:pPr>
              <w:spacing w:before="60" w:after="60" w:line="240" w:lineRule="atLeast"/>
              <w:jc w:val="center"/>
              <w:rPr>
                <w:rFonts w:cs="Arial"/>
                <w:i/>
                <w:iCs/>
                <w:lang w:val="en-GB"/>
              </w:rPr>
            </w:pPr>
            <w:r w:rsidRPr="00A33A9F">
              <w:rPr>
                <w:rFonts w:cs="Arial"/>
                <w:i/>
                <w:iCs/>
                <w:lang w:val="en-GB"/>
              </w:rPr>
              <w:t>Open arms</w:t>
            </w:r>
          </w:p>
        </w:tc>
        <w:tc>
          <w:tcPr>
            <w:tcW w:w="1033" w:type="dxa"/>
            <w:tcBorders>
              <w:top w:val="double" w:sz="4" w:space="0" w:color="auto"/>
              <w:bottom w:val="double" w:sz="4" w:space="0" w:color="auto"/>
            </w:tcBorders>
            <w:vAlign w:val="center"/>
          </w:tcPr>
          <w:p w14:paraId="34CB83C9" w14:textId="77777777" w:rsidR="00A33A9F" w:rsidRPr="00A33A9F" w:rsidRDefault="00A33A9F" w:rsidP="00224685">
            <w:pPr>
              <w:spacing w:before="60" w:after="60" w:line="240" w:lineRule="atLeast"/>
              <w:jc w:val="center"/>
              <w:rPr>
                <w:rFonts w:cs="Arial"/>
                <w:lang w:val="en-GB"/>
              </w:rPr>
            </w:pPr>
            <w:r w:rsidRPr="00A33A9F">
              <w:rPr>
                <w:rFonts w:cs="Arial"/>
                <w:lang w:val="en-GB"/>
              </w:rPr>
              <w:t>0.040</w:t>
            </w:r>
          </w:p>
        </w:tc>
        <w:tc>
          <w:tcPr>
            <w:tcW w:w="1032" w:type="dxa"/>
            <w:tcBorders>
              <w:top w:val="double" w:sz="4" w:space="0" w:color="auto"/>
              <w:bottom w:val="double" w:sz="4" w:space="0" w:color="auto"/>
            </w:tcBorders>
            <w:vAlign w:val="center"/>
          </w:tcPr>
          <w:p w14:paraId="7E8B81D8" w14:textId="77777777" w:rsidR="00A33A9F" w:rsidRPr="00A33A9F" w:rsidRDefault="00A33A9F" w:rsidP="00224685">
            <w:pPr>
              <w:spacing w:before="60" w:after="60" w:line="240" w:lineRule="atLeast"/>
              <w:jc w:val="center"/>
              <w:rPr>
                <w:rFonts w:cs="Arial"/>
                <w:lang w:val="en-GB"/>
              </w:rPr>
            </w:pPr>
            <w:r w:rsidRPr="00A33A9F">
              <w:rPr>
                <w:rFonts w:cs="Arial"/>
                <w:lang w:val="en-GB"/>
              </w:rPr>
              <w:t>0.005</w:t>
            </w:r>
          </w:p>
        </w:tc>
        <w:tc>
          <w:tcPr>
            <w:tcW w:w="1024" w:type="dxa"/>
            <w:tcBorders>
              <w:top w:val="double" w:sz="4" w:space="0" w:color="auto"/>
              <w:bottom w:val="double" w:sz="4" w:space="0" w:color="auto"/>
            </w:tcBorders>
            <w:vAlign w:val="center"/>
          </w:tcPr>
          <w:p w14:paraId="490134C7" w14:textId="77777777" w:rsidR="00A33A9F" w:rsidRPr="00A33A9F" w:rsidRDefault="00A33A9F" w:rsidP="00224685">
            <w:pPr>
              <w:spacing w:before="60" w:after="60" w:line="240" w:lineRule="atLeast"/>
              <w:jc w:val="center"/>
              <w:rPr>
                <w:rFonts w:cs="Arial"/>
                <w:lang w:val="en-GB"/>
              </w:rPr>
            </w:pPr>
            <w:r w:rsidRPr="00A33A9F">
              <w:rPr>
                <w:rFonts w:cs="Arial"/>
                <w:lang w:val="en-GB"/>
              </w:rPr>
              <w:t>0.054</w:t>
            </w:r>
          </w:p>
        </w:tc>
        <w:tc>
          <w:tcPr>
            <w:tcW w:w="1148" w:type="dxa"/>
            <w:tcBorders>
              <w:top w:val="double" w:sz="4" w:space="0" w:color="auto"/>
              <w:bottom w:val="double" w:sz="4" w:space="0" w:color="auto"/>
            </w:tcBorders>
            <w:vAlign w:val="center"/>
          </w:tcPr>
          <w:p w14:paraId="4E529321" w14:textId="77777777" w:rsidR="00A33A9F" w:rsidRPr="00A33A9F" w:rsidRDefault="00A33A9F" w:rsidP="00224685">
            <w:pPr>
              <w:spacing w:before="60" w:after="60" w:line="240" w:lineRule="atLeast"/>
              <w:jc w:val="center"/>
              <w:rPr>
                <w:rFonts w:cs="Arial"/>
                <w:lang w:val="en-GB"/>
              </w:rPr>
            </w:pPr>
            <w:r w:rsidRPr="00A33A9F">
              <w:rPr>
                <w:rFonts w:cs="Arial"/>
                <w:lang w:val="en-GB"/>
              </w:rPr>
              <w:t>0</w:t>
            </w:r>
          </w:p>
        </w:tc>
        <w:tc>
          <w:tcPr>
            <w:tcW w:w="1138" w:type="dxa"/>
            <w:tcBorders>
              <w:top w:val="double" w:sz="4" w:space="0" w:color="auto"/>
              <w:bottom w:val="double" w:sz="4" w:space="0" w:color="auto"/>
            </w:tcBorders>
            <w:vAlign w:val="center"/>
          </w:tcPr>
          <w:p w14:paraId="50E334DA" w14:textId="77777777" w:rsidR="00A33A9F" w:rsidRPr="00A33A9F" w:rsidRDefault="00A33A9F" w:rsidP="00224685">
            <w:pPr>
              <w:spacing w:before="60" w:after="60" w:line="240" w:lineRule="atLeast"/>
              <w:jc w:val="center"/>
              <w:rPr>
                <w:rFonts w:cs="Arial"/>
                <w:lang w:val="en-GB"/>
              </w:rPr>
            </w:pPr>
            <w:r w:rsidRPr="00A33A9F">
              <w:rPr>
                <w:rFonts w:cs="Arial"/>
                <w:lang w:val="en-GB"/>
              </w:rPr>
              <w:t>0</w:t>
            </w:r>
          </w:p>
        </w:tc>
        <w:tc>
          <w:tcPr>
            <w:tcW w:w="1136" w:type="dxa"/>
            <w:tcBorders>
              <w:top w:val="double" w:sz="4" w:space="0" w:color="auto"/>
              <w:bottom w:val="double" w:sz="4" w:space="0" w:color="auto"/>
            </w:tcBorders>
            <w:vAlign w:val="center"/>
          </w:tcPr>
          <w:p w14:paraId="376F5D32" w14:textId="77777777" w:rsidR="00A33A9F" w:rsidRPr="00A33A9F" w:rsidRDefault="00A33A9F" w:rsidP="00224685">
            <w:pPr>
              <w:spacing w:before="60" w:after="60" w:line="240" w:lineRule="atLeast"/>
              <w:jc w:val="center"/>
              <w:rPr>
                <w:rFonts w:cs="Arial"/>
                <w:lang w:val="en-GB"/>
              </w:rPr>
            </w:pPr>
            <w:r w:rsidRPr="00A33A9F">
              <w:rPr>
                <w:rFonts w:cs="Arial"/>
                <w:lang w:val="en-GB"/>
              </w:rPr>
              <w:t>0.007</w:t>
            </w:r>
          </w:p>
        </w:tc>
        <w:tc>
          <w:tcPr>
            <w:tcW w:w="1578" w:type="dxa"/>
            <w:tcBorders>
              <w:top w:val="double" w:sz="4" w:space="0" w:color="auto"/>
              <w:bottom w:val="double" w:sz="4" w:space="0" w:color="auto"/>
              <w:right w:val="double" w:sz="4" w:space="0" w:color="auto"/>
            </w:tcBorders>
            <w:vAlign w:val="center"/>
          </w:tcPr>
          <w:p w14:paraId="46572460" w14:textId="77777777" w:rsidR="00A33A9F" w:rsidRPr="00A33A9F" w:rsidRDefault="00A33A9F" w:rsidP="00224685">
            <w:pPr>
              <w:spacing w:before="60" w:after="60" w:line="240" w:lineRule="atLeast"/>
              <w:jc w:val="center"/>
              <w:rPr>
                <w:rFonts w:cs="Arial"/>
                <w:lang w:val="en-GB"/>
              </w:rPr>
            </w:pPr>
            <w:r w:rsidRPr="00A33A9F">
              <w:rPr>
                <w:rFonts w:cs="Arial"/>
                <w:lang w:val="en-GB"/>
              </w:rPr>
              <w:t>0.008</w:t>
            </w:r>
          </w:p>
        </w:tc>
      </w:tr>
      <w:tr w:rsidR="00A33A9F" w:rsidRPr="00A33A9F" w14:paraId="24F343E5" w14:textId="77777777" w:rsidTr="00224685">
        <w:tc>
          <w:tcPr>
            <w:tcW w:w="1256" w:type="dxa"/>
            <w:tcBorders>
              <w:top w:val="double" w:sz="4" w:space="0" w:color="auto"/>
              <w:left w:val="double" w:sz="4" w:space="0" w:color="auto"/>
              <w:bottom w:val="double" w:sz="4" w:space="0" w:color="auto"/>
            </w:tcBorders>
            <w:vAlign w:val="center"/>
          </w:tcPr>
          <w:p w14:paraId="6ABAD0BD"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Average</w:t>
            </w:r>
          </w:p>
        </w:tc>
        <w:tc>
          <w:tcPr>
            <w:tcW w:w="1033" w:type="dxa"/>
            <w:tcBorders>
              <w:top w:val="double" w:sz="4" w:space="0" w:color="auto"/>
              <w:bottom w:val="double" w:sz="4" w:space="0" w:color="auto"/>
            </w:tcBorders>
            <w:vAlign w:val="center"/>
          </w:tcPr>
          <w:p w14:paraId="1BE6C1BF"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0.032</w:t>
            </w:r>
          </w:p>
        </w:tc>
        <w:tc>
          <w:tcPr>
            <w:tcW w:w="1032" w:type="dxa"/>
            <w:tcBorders>
              <w:top w:val="double" w:sz="4" w:space="0" w:color="auto"/>
              <w:bottom w:val="double" w:sz="4" w:space="0" w:color="auto"/>
            </w:tcBorders>
            <w:vAlign w:val="center"/>
          </w:tcPr>
          <w:p w14:paraId="7EA3831E"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0.020</w:t>
            </w:r>
          </w:p>
        </w:tc>
        <w:tc>
          <w:tcPr>
            <w:tcW w:w="1024" w:type="dxa"/>
            <w:tcBorders>
              <w:top w:val="double" w:sz="4" w:space="0" w:color="auto"/>
              <w:bottom w:val="double" w:sz="4" w:space="0" w:color="auto"/>
            </w:tcBorders>
            <w:vAlign w:val="center"/>
          </w:tcPr>
          <w:p w14:paraId="61EA01B8"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0.038</w:t>
            </w:r>
          </w:p>
        </w:tc>
        <w:tc>
          <w:tcPr>
            <w:tcW w:w="1148" w:type="dxa"/>
            <w:tcBorders>
              <w:top w:val="double" w:sz="4" w:space="0" w:color="auto"/>
              <w:bottom w:val="double" w:sz="4" w:space="0" w:color="auto"/>
            </w:tcBorders>
            <w:vAlign w:val="center"/>
          </w:tcPr>
          <w:p w14:paraId="6950D85E"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0.048</w:t>
            </w:r>
          </w:p>
        </w:tc>
        <w:tc>
          <w:tcPr>
            <w:tcW w:w="1138" w:type="dxa"/>
            <w:tcBorders>
              <w:top w:val="double" w:sz="4" w:space="0" w:color="auto"/>
              <w:bottom w:val="double" w:sz="4" w:space="0" w:color="auto"/>
            </w:tcBorders>
            <w:vAlign w:val="center"/>
          </w:tcPr>
          <w:p w14:paraId="5D8976E6"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0.022</w:t>
            </w:r>
          </w:p>
        </w:tc>
        <w:tc>
          <w:tcPr>
            <w:tcW w:w="1136" w:type="dxa"/>
            <w:tcBorders>
              <w:top w:val="double" w:sz="4" w:space="0" w:color="auto"/>
              <w:bottom w:val="double" w:sz="4" w:space="0" w:color="auto"/>
            </w:tcBorders>
            <w:vAlign w:val="center"/>
          </w:tcPr>
          <w:p w14:paraId="7DA32CD8"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0.013</w:t>
            </w:r>
          </w:p>
        </w:tc>
        <w:tc>
          <w:tcPr>
            <w:tcW w:w="1578" w:type="dxa"/>
            <w:tcBorders>
              <w:top w:val="double" w:sz="4" w:space="0" w:color="auto"/>
              <w:right w:val="double" w:sz="4" w:space="0" w:color="auto"/>
            </w:tcBorders>
            <w:vAlign w:val="center"/>
          </w:tcPr>
          <w:p w14:paraId="77FC4BC2"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0.015</w:t>
            </w:r>
          </w:p>
        </w:tc>
      </w:tr>
      <w:tr w:rsidR="00A33A9F" w:rsidRPr="00A33A9F" w14:paraId="1065E87C" w14:textId="77777777" w:rsidTr="00224685">
        <w:tc>
          <w:tcPr>
            <w:tcW w:w="9345" w:type="dxa"/>
            <w:gridSpan w:val="8"/>
            <w:tcBorders>
              <w:top w:val="double" w:sz="4" w:space="0" w:color="auto"/>
              <w:left w:val="double" w:sz="4" w:space="0" w:color="auto"/>
              <w:right w:val="double" w:sz="4" w:space="0" w:color="auto"/>
            </w:tcBorders>
            <w:vAlign w:val="center"/>
          </w:tcPr>
          <w:p w14:paraId="238069C1" w14:textId="77777777" w:rsidR="00A33A9F" w:rsidRPr="00A33A9F" w:rsidRDefault="00A33A9F" w:rsidP="00224685">
            <w:pPr>
              <w:spacing w:before="60" w:after="60" w:line="240" w:lineRule="atLeast"/>
              <w:jc w:val="left"/>
              <w:rPr>
                <w:rFonts w:cs="Arial"/>
                <w:b/>
                <w:bCs/>
                <w:lang w:val="en-GB"/>
              </w:rPr>
            </w:pPr>
            <w:r w:rsidRPr="00A33A9F">
              <w:rPr>
                <w:rFonts w:cs="Arial"/>
                <w:b/>
                <w:bCs/>
                <w:lang w:val="en-GB"/>
              </w:rPr>
              <w:t>95% Confidence interval limits</w:t>
            </w:r>
          </w:p>
        </w:tc>
      </w:tr>
      <w:tr w:rsidR="00A33A9F" w:rsidRPr="00A33A9F" w14:paraId="44CB40DE" w14:textId="77777777" w:rsidTr="00224685">
        <w:tc>
          <w:tcPr>
            <w:tcW w:w="1256" w:type="dxa"/>
            <w:tcBorders>
              <w:top w:val="double" w:sz="4" w:space="0" w:color="auto"/>
              <w:left w:val="double" w:sz="4" w:space="0" w:color="auto"/>
              <w:bottom w:val="dotted" w:sz="4" w:space="0" w:color="auto"/>
            </w:tcBorders>
            <w:vAlign w:val="center"/>
          </w:tcPr>
          <w:p w14:paraId="30948895"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Lower</w:t>
            </w:r>
          </w:p>
        </w:tc>
        <w:tc>
          <w:tcPr>
            <w:tcW w:w="1033" w:type="dxa"/>
            <w:tcBorders>
              <w:top w:val="double" w:sz="4" w:space="0" w:color="auto"/>
              <w:bottom w:val="dotted" w:sz="4" w:space="0" w:color="auto"/>
            </w:tcBorders>
            <w:vAlign w:val="center"/>
          </w:tcPr>
          <w:p w14:paraId="4D48840F"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-0.010</w:t>
            </w:r>
          </w:p>
        </w:tc>
        <w:tc>
          <w:tcPr>
            <w:tcW w:w="1032" w:type="dxa"/>
            <w:tcBorders>
              <w:top w:val="double" w:sz="4" w:space="0" w:color="auto"/>
              <w:bottom w:val="dotted" w:sz="4" w:space="0" w:color="auto"/>
            </w:tcBorders>
            <w:vAlign w:val="center"/>
          </w:tcPr>
          <w:p w14:paraId="71FF1BAC"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0.001</w:t>
            </w:r>
          </w:p>
        </w:tc>
        <w:tc>
          <w:tcPr>
            <w:tcW w:w="1024" w:type="dxa"/>
            <w:tcBorders>
              <w:top w:val="double" w:sz="4" w:space="0" w:color="auto"/>
              <w:bottom w:val="dotted" w:sz="4" w:space="0" w:color="auto"/>
            </w:tcBorders>
            <w:vAlign w:val="center"/>
          </w:tcPr>
          <w:p w14:paraId="62D588B9"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0.021</w:t>
            </w:r>
          </w:p>
        </w:tc>
        <w:tc>
          <w:tcPr>
            <w:tcW w:w="1148" w:type="dxa"/>
            <w:tcBorders>
              <w:top w:val="double" w:sz="4" w:space="0" w:color="auto"/>
              <w:bottom w:val="dotted" w:sz="4" w:space="0" w:color="auto"/>
            </w:tcBorders>
            <w:vAlign w:val="center"/>
          </w:tcPr>
          <w:p w14:paraId="34EB0922"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-0.025</w:t>
            </w:r>
          </w:p>
        </w:tc>
        <w:tc>
          <w:tcPr>
            <w:tcW w:w="1138" w:type="dxa"/>
            <w:tcBorders>
              <w:top w:val="double" w:sz="4" w:space="0" w:color="auto"/>
              <w:bottom w:val="dotted" w:sz="4" w:space="0" w:color="auto"/>
            </w:tcBorders>
            <w:vAlign w:val="center"/>
          </w:tcPr>
          <w:p w14:paraId="37CA34B8"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-0.027</w:t>
            </w:r>
          </w:p>
        </w:tc>
        <w:tc>
          <w:tcPr>
            <w:tcW w:w="1136" w:type="dxa"/>
            <w:tcBorders>
              <w:top w:val="double" w:sz="4" w:space="0" w:color="auto"/>
              <w:bottom w:val="dotted" w:sz="4" w:space="0" w:color="auto"/>
            </w:tcBorders>
            <w:vAlign w:val="center"/>
          </w:tcPr>
          <w:p w14:paraId="635548BD"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-0.007</w:t>
            </w:r>
          </w:p>
        </w:tc>
        <w:tc>
          <w:tcPr>
            <w:tcW w:w="1578" w:type="dxa"/>
            <w:tcBorders>
              <w:top w:val="double" w:sz="4" w:space="0" w:color="auto"/>
              <w:bottom w:val="dotted" w:sz="4" w:space="0" w:color="auto"/>
              <w:right w:val="double" w:sz="4" w:space="0" w:color="auto"/>
            </w:tcBorders>
            <w:vAlign w:val="center"/>
          </w:tcPr>
          <w:p w14:paraId="59D468F4"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-0.015</w:t>
            </w:r>
          </w:p>
        </w:tc>
      </w:tr>
      <w:tr w:rsidR="00A33A9F" w:rsidRPr="00A33A9F" w14:paraId="3AB15E17" w14:textId="77777777" w:rsidTr="00224685">
        <w:tc>
          <w:tcPr>
            <w:tcW w:w="1256" w:type="dxa"/>
            <w:tcBorders>
              <w:top w:val="dotted" w:sz="4" w:space="0" w:color="auto"/>
              <w:left w:val="double" w:sz="4" w:space="0" w:color="auto"/>
              <w:bottom w:val="double" w:sz="4" w:space="0" w:color="auto"/>
            </w:tcBorders>
            <w:vAlign w:val="center"/>
          </w:tcPr>
          <w:p w14:paraId="44845186"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Upper</w:t>
            </w:r>
          </w:p>
        </w:tc>
        <w:tc>
          <w:tcPr>
            <w:tcW w:w="1033" w:type="dxa"/>
            <w:tcBorders>
              <w:top w:val="dotted" w:sz="4" w:space="0" w:color="auto"/>
              <w:bottom w:val="double" w:sz="4" w:space="0" w:color="auto"/>
            </w:tcBorders>
            <w:vAlign w:val="center"/>
          </w:tcPr>
          <w:p w14:paraId="23386975"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0.080</w:t>
            </w:r>
          </w:p>
        </w:tc>
        <w:tc>
          <w:tcPr>
            <w:tcW w:w="1032" w:type="dxa"/>
            <w:tcBorders>
              <w:top w:val="dotted" w:sz="4" w:space="0" w:color="auto"/>
              <w:bottom w:val="double" w:sz="4" w:space="0" w:color="auto"/>
            </w:tcBorders>
            <w:vAlign w:val="center"/>
          </w:tcPr>
          <w:p w14:paraId="463276EF"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0.038</w:t>
            </w:r>
          </w:p>
        </w:tc>
        <w:tc>
          <w:tcPr>
            <w:tcW w:w="1024" w:type="dxa"/>
            <w:tcBorders>
              <w:top w:val="dotted" w:sz="4" w:space="0" w:color="auto"/>
              <w:bottom w:val="double" w:sz="4" w:space="0" w:color="auto"/>
            </w:tcBorders>
            <w:vAlign w:val="center"/>
          </w:tcPr>
          <w:p w14:paraId="190988F7"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0.056</w:t>
            </w:r>
          </w:p>
        </w:tc>
        <w:tc>
          <w:tcPr>
            <w:tcW w:w="1148" w:type="dxa"/>
            <w:tcBorders>
              <w:top w:val="dotted" w:sz="4" w:space="0" w:color="auto"/>
              <w:bottom w:val="double" w:sz="4" w:space="0" w:color="auto"/>
            </w:tcBorders>
            <w:vAlign w:val="center"/>
          </w:tcPr>
          <w:p w14:paraId="1DD832EA"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0.120</w:t>
            </w:r>
          </w:p>
        </w:tc>
        <w:tc>
          <w:tcPr>
            <w:tcW w:w="1138" w:type="dxa"/>
            <w:tcBorders>
              <w:top w:val="dotted" w:sz="4" w:space="0" w:color="auto"/>
              <w:bottom w:val="double" w:sz="4" w:space="0" w:color="auto"/>
            </w:tcBorders>
            <w:vAlign w:val="center"/>
          </w:tcPr>
          <w:p w14:paraId="0A2603EB"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0.070</w:t>
            </w:r>
          </w:p>
        </w:tc>
        <w:tc>
          <w:tcPr>
            <w:tcW w:w="1136" w:type="dxa"/>
            <w:tcBorders>
              <w:top w:val="dotted" w:sz="4" w:space="0" w:color="auto"/>
              <w:bottom w:val="double" w:sz="4" w:space="0" w:color="auto"/>
            </w:tcBorders>
            <w:vAlign w:val="center"/>
          </w:tcPr>
          <w:p w14:paraId="6F70F7BB"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0.034</w:t>
            </w:r>
          </w:p>
        </w:tc>
        <w:tc>
          <w:tcPr>
            <w:tcW w:w="1578" w:type="dxa"/>
            <w:tcBorders>
              <w:top w:val="dotted" w:sz="4" w:space="0" w:color="auto"/>
              <w:bottom w:val="double" w:sz="4" w:space="0" w:color="auto"/>
              <w:right w:val="double" w:sz="4" w:space="0" w:color="auto"/>
            </w:tcBorders>
            <w:vAlign w:val="center"/>
          </w:tcPr>
          <w:p w14:paraId="5BDCA4F6" w14:textId="77777777" w:rsidR="00A33A9F" w:rsidRPr="00A33A9F" w:rsidRDefault="00A33A9F" w:rsidP="00224685">
            <w:pPr>
              <w:spacing w:before="60" w:after="60" w:line="240" w:lineRule="atLeast"/>
              <w:jc w:val="center"/>
              <w:rPr>
                <w:rFonts w:cs="Arial"/>
                <w:b/>
                <w:bCs/>
                <w:i/>
                <w:iCs/>
                <w:lang w:val="en-GB"/>
              </w:rPr>
            </w:pPr>
            <w:r w:rsidRPr="00A33A9F">
              <w:rPr>
                <w:rFonts w:cs="Arial"/>
                <w:b/>
                <w:bCs/>
                <w:i/>
                <w:iCs/>
                <w:lang w:val="en-GB"/>
              </w:rPr>
              <w:t>0.044</w:t>
            </w:r>
          </w:p>
        </w:tc>
      </w:tr>
    </w:tbl>
    <w:p w14:paraId="65A3BFC2" w14:textId="77777777" w:rsidR="00A33A9F" w:rsidRPr="00A33A9F" w:rsidRDefault="00A33A9F" w:rsidP="00A33A9F">
      <w:pPr>
        <w:jc w:val="center"/>
        <w:rPr>
          <w:rFonts w:cs="Arial"/>
          <w:szCs w:val="22"/>
          <w:lang w:val="en-GB"/>
        </w:rPr>
      </w:pPr>
    </w:p>
    <w:p w14:paraId="218B0BC4" w14:textId="05133B43" w:rsidR="00A33A9F" w:rsidRDefault="00A33A9F" w:rsidP="00A33A9F">
      <w:pPr>
        <w:rPr>
          <w:rFonts w:cs="Arial"/>
          <w:b/>
          <w:bCs/>
          <w:lang w:val="en-GB"/>
        </w:rPr>
      </w:pPr>
      <w:bookmarkStart w:id="5" w:name="_Toc117681755"/>
      <w:r>
        <w:rPr>
          <w:rFonts w:cs="Arial"/>
          <w:b/>
          <w:bCs/>
          <w:lang w:val="en-GB"/>
        </w:rPr>
        <w:t>S</w:t>
      </w:r>
      <w:r w:rsidRPr="00A33A9F">
        <w:rPr>
          <w:rFonts w:cs="Arial"/>
          <w:b/>
          <w:bCs/>
          <w:lang w:val="en-GB"/>
        </w:rPr>
        <w:t>2</w:t>
      </w:r>
      <w:r w:rsidRPr="00A33A9F">
        <w:rPr>
          <w:rFonts w:cs="Arial"/>
          <w:b/>
          <w:bCs/>
          <w:lang w:val="en-GB"/>
        </w:rPr>
        <w:tab/>
      </w:r>
      <w:r>
        <w:rPr>
          <w:rFonts w:cs="Arial"/>
          <w:b/>
          <w:bCs/>
          <w:lang w:val="en-GB"/>
        </w:rPr>
        <w:t>Results</w:t>
      </w:r>
    </w:p>
    <w:p w14:paraId="5E22CA3E" w14:textId="2AD7CEF8" w:rsidR="00A33A9F" w:rsidRPr="00A33A9F" w:rsidRDefault="00A33A9F" w:rsidP="00A33A9F">
      <w:pPr>
        <w:rPr>
          <w:rFonts w:cs="Arial"/>
          <w:b/>
          <w:bCs/>
          <w:lang w:val="en-GB"/>
        </w:rPr>
      </w:pPr>
      <w:r>
        <w:rPr>
          <w:rFonts w:cs="Arial"/>
          <w:b/>
          <w:bCs/>
          <w:lang w:val="en-GB"/>
        </w:rPr>
        <w:t>S2.1</w:t>
      </w:r>
      <w:r>
        <w:rPr>
          <w:rFonts w:cs="Arial"/>
          <w:b/>
          <w:bCs/>
          <w:lang w:val="en-GB"/>
        </w:rPr>
        <w:tab/>
      </w:r>
      <w:r w:rsidRPr="00A33A9F">
        <w:rPr>
          <w:rFonts w:cs="Arial"/>
          <w:b/>
          <w:bCs/>
          <w:lang w:val="en-GB"/>
        </w:rPr>
        <w:t>Open field test</w:t>
      </w:r>
      <w:bookmarkEnd w:id="5"/>
    </w:p>
    <w:p w14:paraId="77B5A53B" w14:textId="429D740E" w:rsidR="00A33A9F" w:rsidRPr="00A33A9F" w:rsidRDefault="00A33A9F" w:rsidP="00A33A9F">
      <w:pPr>
        <w:rPr>
          <w:rFonts w:cs="Arial"/>
          <w:szCs w:val="22"/>
          <w:lang w:val="en-GB"/>
        </w:rPr>
      </w:pPr>
      <w:r w:rsidRPr="00A33A9F">
        <w:rPr>
          <w:rFonts w:cs="Arial"/>
          <w:szCs w:val="22"/>
          <w:lang w:val="en-GB"/>
        </w:rPr>
        <w:t>Based on the significant three-way interaction, no specific intergroup differences were identified by the Bonferroni multiple comparison test (</w:t>
      </w:r>
      <w:r w:rsidRPr="00A33A9F">
        <w:rPr>
          <w:rFonts w:cs="Arial"/>
          <w:i/>
          <w:iCs/>
          <w:szCs w:val="22"/>
          <w:lang w:val="en-GB"/>
        </w:rPr>
        <w:t>p</w:t>
      </w:r>
      <w:r w:rsidRPr="00A33A9F">
        <w:rPr>
          <w:rFonts w:cs="Arial"/>
          <w:szCs w:val="22"/>
          <w:lang w:val="en-GB"/>
        </w:rPr>
        <w:t xml:space="preserve"> &gt; 0.05 in all instances) for distance moved in the open field on PND36 (</w:t>
      </w:r>
      <w:r>
        <w:rPr>
          <w:rFonts w:cs="Arial"/>
          <w:i/>
          <w:iCs/>
          <w:szCs w:val="22"/>
          <w:lang w:val="en-GB"/>
        </w:rPr>
        <w:t>Figure 4</w:t>
      </w:r>
      <w:r w:rsidRPr="00A33A9F">
        <w:rPr>
          <w:rFonts w:cs="Arial"/>
          <w:i/>
          <w:iCs/>
          <w:szCs w:val="22"/>
          <w:lang w:val="en-GB"/>
        </w:rPr>
        <w:t>A</w:t>
      </w:r>
      <w:r w:rsidRPr="00A33A9F">
        <w:rPr>
          <w:rFonts w:cs="Arial"/>
          <w:szCs w:val="22"/>
          <w:lang w:val="en-GB"/>
        </w:rPr>
        <w:t xml:space="preserve">).  As </w:t>
      </w:r>
      <w:r>
        <w:rPr>
          <w:rFonts w:cs="Arial"/>
          <w:szCs w:val="22"/>
          <w:lang w:val="en-GB"/>
        </w:rPr>
        <w:t>discussed in the manuscript</w:t>
      </w:r>
      <w:r w:rsidRPr="00A33A9F">
        <w:rPr>
          <w:rFonts w:cs="Arial"/>
          <w:szCs w:val="22"/>
          <w:lang w:val="en-GB"/>
        </w:rPr>
        <w:t>, d</w:t>
      </w:r>
      <w:r w:rsidRPr="00A33A9F">
        <w:rPr>
          <w:rFonts w:cs="Arial"/>
          <w:lang w:val="en-GB"/>
        </w:rPr>
        <w:t xml:space="preserve">istance moved in the open </w:t>
      </w:r>
      <w:r w:rsidRPr="00A33A9F">
        <w:rPr>
          <w:rFonts w:cs="Arial"/>
          <w:lang w:val="en-GB"/>
        </w:rPr>
        <w:lastRenderedPageBreak/>
        <w:t>field test had no statistically significant effect on any of the forced swim test behavioural parameters (</w:t>
      </w:r>
      <w:r w:rsidRPr="00A33A9F">
        <w:rPr>
          <w:rFonts w:cs="Arial"/>
          <w:i/>
          <w:iCs/>
          <w:lang w:val="en-GB"/>
        </w:rPr>
        <w:t>p</w:t>
      </w:r>
      <w:r w:rsidRPr="00A33A9F">
        <w:rPr>
          <w:rFonts w:cs="Arial"/>
          <w:lang w:val="en-GB"/>
        </w:rPr>
        <w:t xml:space="preserve"> &gt; 0.05 in all instances; </w:t>
      </w:r>
      <w:r>
        <w:rPr>
          <w:rFonts w:cs="Arial"/>
          <w:i/>
          <w:iCs/>
          <w:lang w:val="en-GB"/>
        </w:rPr>
        <w:t>Table 2</w:t>
      </w:r>
      <w:r w:rsidRPr="00A33A9F">
        <w:rPr>
          <w:rFonts w:cs="Arial"/>
          <w:lang w:val="en-GB"/>
        </w:rPr>
        <w:t>).</w:t>
      </w:r>
    </w:p>
    <w:p w14:paraId="0E90BA2E" w14:textId="77777777" w:rsidR="00A33A9F" w:rsidRPr="00A33A9F" w:rsidRDefault="00A33A9F" w:rsidP="00A33A9F">
      <w:pPr>
        <w:rPr>
          <w:rFonts w:cs="Arial"/>
          <w:b/>
          <w:bCs/>
          <w:lang w:val="en-GB"/>
        </w:rPr>
      </w:pPr>
      <w:bookmarkStart w:id="6" w:name="_Toc117681756"/>
      <w:r w:rsidRPr="00A33A9F">
        <w:rPr>
          <w:rFonts w:cs="Arial"/>
          <w:b/>
          <w:bCs/>
          <w:lang w:val="en-GB"/>
        </w:rPr>
        <w:t>A2.2</w:t>
      </w:r>
      <w:r w:rsidRPr="00A33A9F">
        <w:rPr>
          <w:rFonts w:cs="Arial"/>
          <w:b/>
          <w:bCs/>
          <w:lang w:val="en-GB"/>
        </w:rPr>
        <w:tab/>
        <w:t>Forced swim test</w:t>
      </w:r>
      <w:bookmarkEnd w:id="6"/>
    </w:p>
    <w:p w14:paraId="61431FFF" w14:textId="02973D62" w:rsidR="00A33A9F" w:rsidRPr="00A33A9F" w:rsidRDefault="00A33A9F" w:rsidP="00A33A9F">
      <w:pPr>
        <w:rPr>
          <w:rFonts w:cs="Arial"/>
          <w:szCs w:val="22"/>
          <w:lang w:val="en-GB"/>
        </w:rPr>
      </w:pPr>
      <w:r w:rsidRPr="00A33A9F">
        <w:rPr>
          <w:rFonts w:cs="Arial"/>
          <w:szCs w:val="22"/>
          <w:lang w:val="en-GB"/>
        </w:rPr>
        <w:t>Based on the significant PRE*ELA interaction (</w:t>
      </w:r>
      <w:r>
        <w:rPr>
          <w:rFonts w:cs="Arial"/>
          <w:i/>
          <w:iCs/>
          <w:szCs w:val="22"/>
          <w:lang w:val="en-GB"/>
        </w:rPr>
        <w:t>Figure S1-A</w:t>
      </w:r>
      <w:r w:rsidRPr="00A33A9F">
        <w:rPr>
          <w:rFonts w:cs="Arial"/>
          <w:szCs w:val="22"/>
          <w:lang w:val="en-GB"/>
        </w:rPr>
        <w:t>;</w:t>
      </w:r>
      <w:r w:rsidRPr="00A33A9F">
        <w:rPr>
          <w:rFonts w:cs="Arial"/>
          <w:i/>
          <w:iCs/>
          <w:lang w:val="en-GB"/>
        </w:rPr>
        <w:t xml:space="preserve"> F</w:t>
      </w:r>
      <w:r w:rsidRPr="00A33A9F">
        <w:rPr>
          <w:rFonts w:cs="Arial"/>
          <w:vertAlign w:val="subscript"/>
          <w:lang w:val="en-GB"/>
        </w:rPr>
        <w:t>1, 113</w:t>
      </w:r>
      <w:r w:rsidRPr="00A33A9F">
        <w:rPr>
          <w:rFonts w:cs="Arial"/>
          <w:lang w:val="en-GB"/>
        </w:rPr>
        <w:t xml:space="preserve"> = 4.85, </w:t>
      </w:r>
      <w:r w:rsidRPr="00A33A9F">
        <w:rPr>
          <w:rFonts w:cs="Arial"/>
          <w:i/>
          <w:iCs/>
          <w:lang w:val="en-GB"/>
        </w:rPr>
        <w:t>p</w:t>
      </w:r>
      <w:r w:rsidRPr="00A33A9F">
        <w:rPr>
          <w:rFonts w:cs="Arial"/>
          <w:lang w:val="en-GB"/>
        </w:rPr>
        <w:t xml:space="preserve"> = 0.03,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0.04),</w:t>
      </w:r>
      <w:r w:rsidR="005855D1">
        <w:rPr>
          <w:rFonts w:cs="Arial"/>
          <w:szCs w:val="22"/>
          <w:lang w:val="en-GB"/>
        </w:rPr>
        <w:t xml:space="preserve"> both </w:t>
      </w:r>
      <w:r w:rsidR="00712682" w:rsidRPr="00A33A9F">
        <w:rPr>
          <w:rFonts w:cs="Arial"/>
          <w:szCs w:val="22"/>
          <w:lang w:val="en-GB"/>
        </w:rPr>
        <w:t>EXE/non-MSEW</w:t>
      </w:r>
      <w:r w:rsidR="00712682">
        <w:rPr>
          <w:rFonts w:cs="Arial"/>
          <w:szCs w:val="22"/>
          <w:lang w:val="en-GB"/>
        </w:rPr>
        <w:t xml:space="preserve"> </w:t>
      </w:r>
      <w:r w:rsidR="00712682" w:rsidRPr="00A33A9F">
        <w:rPr>
          <w:rFonts w:cs="Arial"/>
          <w:szCs w:val="22"/>
          <w:lang w:val="en-GB"/>
        </w:rPr>
        <w:t>(</w:t>
      </w:r>
      <w:r w:rsidR="00712682" w:rsidRPr="00A33A9F">
        <w:rPr>
          <w:rFonts w:cs="Arial"/>
          <w:i/>
          <w:iCs/>
          <w:szCs w:val="22"/>
          <w:lang w:val="en-GB"/>
        </w:rPr>
        <w:t>p</w:t>
      </w:r>
      <w:r w:rsidR="00712682" w:rsidRPr="00A33A9F">
        <w:rPr>
          <w:rFonts w:cs="Arial"/>
          <w:szCs w:val="22"/>
          <w:lang w:val="en-GB"/>
        </w:rPr>
        <w:t xml:space="preserve"> = 0.004, </w:t>
      </w:r>
      <w:r w:rsidR="00712682" w:rsidRPr="00A33A9F">
        <w:rPr>
          <w:rFonts w:cs="Arial"/>
          <w:i/>
          <w:iCs/>
          <w:szCs w:val="22"/>
          <w:lang w:val="en-GB"/>
        </w:rPr>
        <w:t>d</w:t>
      </w:r>
      <w:r w:rsidR="00712682" w:rsidRPr="00A33A9F">
        <w:rPr>
          <w:rFonts w:cs="Arial"/>
          <w:i/>
          <w:iCs/>
          <w:szCs w:val="22"/>
          <w:vertAlign w:val="subscript"/>
          <w:lang w:val="en-GB"/>
        </w:rPr>
        <w:t>unb</w:t>
      </w:r>
      <w:r w:rsidR="00712682" w:rsidRPr="00A33A9F">
        <w:rPr>
          <w:rFonts w:cs="Arial"/>
          <w:i/>
          <w:iCs/>
          <w:szCs w:val="22"/>
          <w:lang w:val="en-GB"/>
        </w:rPr>
        <w:t xml:space="preserve"> </w:t>
      </w:r>
      <w:r w:rsidR="00712682" w:rsidRPr="00A33A9F">
        <w:rPr>
          <w:rFonts w:cs="Arial"/>
          <w:szCs w:val="22"/>
          <w:lang w:val="en-GB"/>
        </w:rPr>
        <w:t>= 0.7 [0.2; 1.2])</w:t>
      </w:r>
      <w:r w:rsidR="00712682">
        <w:rPr>
          <w:rFonts w:cs="Arial"/>
          <w:szCs w:val="22"/>
          <w:lang w:val="en-GB"/>
        </w:rPr>
        <w:t xml:space="preserve"> and </w:t>
      </w:r>
      <w:r w:rsidR="00712682" w:rsidRPr="00A33A9F">
        <w:rPr>
          <w:rFonts w:cs="Arial"/>
          <w:szCs w:val="22"/>
          <w:lang w:val="en-GB"/>
        </w:rPr>
        <w:t>SED/MSEW</w:t>
      </w:r>
      <w:r w:rsidR="00712682">
        <w:rPr>
          <w:rFonts w:cs="Arial"/>
          <w:szCs w:val="22"/>
          <w:lang w:val="en-GB"/>
        </w:rPr>
        <w:t xml:space="preserve"> </w:t>
      </w:r>
      <w:r w:rsidR="00712682" w:rsidRPr="00A33A9F">
        <w:rPr>
          <w:rFonts w:cs="Arial"/>
          <w:szCs w:val="22"/>
          <w:lang w:val="en-GB"/>
        </w:rPr>
        <w:t>(</w:t>
      </w:r>
      <w:r w:rsidR="00712682" w:rsidRPr="00A33A9F">
        <w:rPr>
          <w:rFonts w:cs="Arial"/>
          <w:i/>
          <w:iCs/>
          <w:szCs w:val="22"/>
          <w:lang w:val="en-GB"/>
        </w:rPr>
        <w:t>p</w:t>
      </w:r>
      <w:r w:rsidR="00712682" w:rsidRPr="00A33A9F">
        <w:rPr>
          <w:rFonts w:cs="Arial"/>
          <w:szCs w:val="22"/>
          <w:lang w:val="en-GB"/>
        </w:rPr>
        <w:t xml:space="preserve"> = 0.002, </w:t>
      </w:r>
      <w:r w:rsidR="00712682" w:rsidRPr="00A33A9F">
        <w:rPr>
          <w:rFonts w:cs="Arial"/>
          <w:i/>
          <w:iCs/>
          <w:szCs w:val="22"/>
          <w:lang w:val="en-GB"/>
        </w:rPr>
        <w:t>d</w:t>
      </w:r>
      <w:r w:rsidR="00712682" w:rsidRPr="00A33A9F">
        <w:rPr>
          <w:rFonts w:cs="Arial"/>
          <w:i/>
          <w:iCs/>
          <w:szCs w:val="22"/>
          <w:vertAlign w:val="subscript"/>
          <w:lang w:val="en-GB"/>
        </w:rPr>
        <w:t>unb</w:t>
      </w:r>
      <w:r w:rsidR="00712682" w:rsidRPr="00A33A9F">
        <w:rPr>
          <w:rFonts w:cs="Arial"/>
          <w:i/>
          <w:iCs/>
          <w:szCs w:val="22"/>
          <w:lang w:val="en-GB"/>
        </w:rPr>
        <w:t xml:space="preserve"> </w:t>
      </w:r>
      <w:r w:rsidR="00712682" w:rsidRPr="00A33A9F">
        <w:rPr>
          <w:rFonts w:cs="Arial"/>
          <w:szCs w:val="22"/>
          <w:lang w:val="en-GB"/>
        </w:rPr>
        <w:t>= 0.7 [0.2; 1.2])</w:t>
      </w:r>
      <w:r w:rsidR="002A26CD">
        <w:rPr>
          <w:rFonts w:cs="Arial"/>
          <w:szCs w:val="22"/>
          <w:lang w:val="en-GB"/>
        </w:rPr>
        <w:t xml:space="preserve"> spent more time immobile in the FST, compared to </w:t>
      </w:r>
      <w:r w:rsidR="002A26CD" w:rsidRPr="00A33A9F">
        <w:rPr>
          <w:rFonts w:cs="Arial"/>
          <w:szCs w:val="22"/>
          <w:lang w:val="en-GB"/>
        </w:rPr>
        <w:t>SED/non-MSEW controls</w:t>
      </w:r>
      <w:r w:rsidRPr="00A33A9F">
        <w:rPr>
          <w:rFonts w:cs="Arial"/>
          <w:szCs w:val="22"/>
          <w:lang w:val="en-GB"/>
        </w:rPr>
        <w:t>.</w:t>
      </w:r>
    </w:p>
    <w:p w14:paraId="672F56B2" w14:textId="77777777" w:rsidR="00A33A9F" w:rsidRPr="00A33A9F" w:rsidRDefault="00A33A9F" w:rsidP="00A33A9F">
      <w:pPr>
        <w:keepNext/>
        <w:spacing w:after="0"/>
        <w:jc w:val="center"/>
        <w:rPr>
          <w:rFonts w:cs="Arial"/>
          <w:lang w:val="en-GB"/>
        </w:rPr>
      </w:pPr>
      <w:r w:rsidRPr="00A33A9F">
        <w:rPr>
          <w:rFonts w:cs="Arial"/>
          <w:noProof/>
          <w:lang w:val="en-GB"/>
        </w:rPr>
        <w:object w:dxaOrig="11052" w:dyaOrig="5292" w14:anchorId="1B691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6pt;height:196.1pt;mso-width-percent:0;mso-height-percent:0;mso-width-percent:0;mso-height-percent:0" o:ole="" o:bordertopcolor="this" o:borderleftcolor="this" o:borderbottomcolor="this" o:borderrightcolor="this">
            <v:imagedata r:id="rId8" o:title=""/>
            <w10:bordertop type="single" width="8"/>
            <w10:borderleft type="single" width="8"/>
            <w10:borderbottom type="single" width="8"/>
            <w10:borderright type="single" width="8"/>
          </v:shape>
          <o:OLEObject Type="Embed" ProgID="Prism9.Document" ShapeID="_x0000_i1025" DrawAspect="Content" ObjectID="_1754294308" r:id="rId9"/>
        </w:object>
      </w:r>
    </w:p>
    <w:p w14:paraId="1E1DDB6F" w14:textId="7CF1C1A7" w:rsidR="00A33A9F" w:rsidRPr="00A33A9F" w:rsidRDefault="00A33A9F" w:rsidP="00A33A9F">
      <w:pPr>
        <w:pStyle w:val="Caption"/>
        <w:spacing w:after="0"/>
        <w:jc w:val="center"/>
        <w:rPr>
          <w:rFonts w:cs="Arial"/>
          <w:color w:val="auto"/>
          <w:lang w:val="en-GB"/>
        </w:rPr>
      </w:pPr>
      <w:bookmarkStart w:id="7" w:name="_Ref117669020"/>
      <w:bookmarkStart w:id="8" w:name="_Toc118889412"/>
      <w:r w:rsidRPr="00A33A9F">
        <w:rPr>
          <w:rFonts w:cs="Arial"/>
          <w:color w:val="auto"/>
          <w:lang w:val="en-GB"/>
        </w:rPr>
        <w:t xml:space="preserve">Figure </w:t>
      </w:r>
      <w:bookmarkEnd w:id="7"/>
      <w:r>
        <w:rPr>
          <w:rFonts w:cs="Arial"/>
          <w:color w:val="auto"/>
          <w:lang w:val="en-GB"/>
        </w:rPr>
        <w:t>S1</w:t>
      </w:r>
      <w:r w:rsidRPr="00A33A9F">
        <w:rPr>
          <w:rFonts w:cs="Arial"/>
          <w:color w:val="auto"/>
          <w:lang w:val="en-GB"/>
        </w:rPr>
        <w:t>: Significant two-way interaction for forced swim test behaviour (supplementary)</w:t>
      </w:r>
      <w:bookmarkEnd w:id="8"/>
    </w:p>
    <w:p w14:paraId="7A77F2F5" w14:textId="781EC809" w:rsidR="00A33A9F" w:rsidRPr="00A33A9F" w:rsidRDefault="00A33A9F" w:rsidP="00A33A9F">
      <w:pPr>
        <w:spacing w:line="240" w:lineRule="auto"/>
        <w:jc w:val="center"/>
        <w:rPr>
          <w:rFonts w:cs="Arial"/>
          <w:i/>
          <w:iCs/>
          <w:sz w:val="18"/>
          <w:szCs w:val="18"/>
          <w:lang w:val="en-GB"/>
        </w:rPr>
      </w:pPr>
      <w:bookmarkStart w:id="9" w:name="OLE_LINK10"/>
      <w:r w:rsidRPr="00A33A9F">
        <w:rPr>
          <w:rFonts w:cs="Arial"/>
          <w:b/>
          <w:bCs/>
          <w:i/>
          <w:iCs/>
          <w:sz w:val="18"/>
          <w:szCs w:val="18"/>
          <w:lang w:val="en-GB"/>
        </w:rPr>
        <w:t>(A)</w:t>
      </w:r>
      <w:r w:rsidRPr="00A33A9F">
        <w:rPr>
          <w:rFonts w:cs="Arial"/>
          <w:sz w:val="18"/>
          <w:szCs w:val="18"/>
          <w:lang w:val="en-GB"/>
        </w:rPr>
        <w:t xml:space="preserve"> </w:t>
      </w:r>
      <w:r w:rsidRPr="00A33A9F">
        <w:rPr>
          <w:rFonts w:cs="Arial"/>
          <w:i/>
          <w:iCs/>
          <w:sz w:val="18"/>
          <w:szCs w:val="18"/>
          <w:lang w:val="en-GB"/>
        </w:rPr>
        <w:t xml:space="preserve">Time spent immobile and </w:t>
      </w:r>
      <w:r w:rsidRPr="00A33A9F">
        <w:rPr>
          <w:rFonts w:cs="Arial"/>
          <w:b/>
          <w:bCs/>
          <w:i/>
          <w:iCs/>
          <w:sz w:val="18"/>
          <w:szCs w:val="18"/>
          <w:lang w:val="en-GB"/>
        </w:rPr>
        <w:t>(B)</w:t>
      </w:r>
      <w:r w:rsidRPr="00A33A9F">
        <w:rPr>
          <w:rFonts w:cs="Arial"/>
          <w:i/>
          <w:iCs/>
          <w:sz w:val="18"/>
          <w:szCs w:val="18"/>
          <w:lang w:val="en-GB"/>
        </w:rPr>
        <w:t xml:space="preserve"> swimming in the FST. Data points represent the mean ± 95% CI, with male and female indicated in blue and pink respectively.  Statistical analyses are reported in the text.  </w:t>
      </w:r>
      <w:r w:rsidRPr="00A33A9F">
        <w:rPr>
          <w:rFonts w:cs="Arial"/>
          <w:b/>
          <w:bCs/>
          <w:i/>
          <w:iCs/>
          <w:sz w:val="18"/>
          <w:szCs w:val="18"/>
          <w:lang w:val="en-GB"/>
        </w:rPr>
        <w:t>FST:</w:t>
      </w:r>
      <w:r w:rsidRPr="00A33A9F">
        <w:rPr>
          <w:rFonts w:cs="Arial"/>
          <w:i/>
          <w:iCs/>
          <w:sz w:val="18"/>
          <w:szCs w:val="18"/>
          <w:lang w:val="en-GB"/>
        </w:rPr>
        <w:t xml:space="preserve"> Forced swim test.  </w:t>
      </w:r>
      <w:r w:rsidRPr="00A33A9F">
        <w:rPr>
          <w:rFonts w:cs="Arial"/>
          <w:b/>
          <w:bCs/>
          <w:i/>
          <w:iCs/>
          <w:sz w:val="18"/>
          <w:szCs w:val="18"/>
          <w:lang w:val="en-GB"/>
        </w:rPr>
        <w:t>EXE:</w:t>
      </w:r>
      <w:r w:rsidRPr="00A33A9F">
        <w:rPr>
          <w:rFonts w:cs="Arial"/>
          <w:i/>
          <w:iCs/>
          <w:sz w:val="18"/>
          <w:szCs w:val="18"/>
          <w:lang w:val="en-GB"/>
        </w:rPr>
        <w:t xml:space="preserve"> Low intensity exercise.  </w:t>
      </w:r>
      <w:r w:rsidRPr="00A33A9F">
        <w:rPr>
          <w:rFonts w:cs="Arial"/>
          <w:b/>
          <w:bCs/>
          <w:i/>
          <w:iCs/>
          <w:sz w:val="18"/>
          <w:szCs w:val="18"/>
          <w:lang w:val="en-GB"/>
        </w:rPr>
        <w:t>SED:</w:t>
      </w:r>
      <w:r w:rsidRPr="00A33A9F">
        <w:rPr>
          <w:rFonts w:cs="Arial"/>
          <w:i/>
          <w:iCs/>
          <w:sz w:val="18"/>
          <w:szCs w:val="18"/>
          <w:lang w:val="en-GB"/>
        </w:rPr>
        <w:t xml:space="preserve"> Sedentary.</w:t>
      </w:r>
      <w:bookmarkEnd w:id="9"/>
    </w:p>
    <w:p w14:paraId="292FB335" w14:textId="6B21E586" w:rsidR="00A33A9F" w:rsidRPr="00A33A9F" w:rsidRDefault="00A33A9F" w:rsidP="00A33A9F">
      <w:pPr>
        <w:rPr>
          <w:rFonts w:cs="Arial"/>
          <w:szCs w:val="22"/>
          <w:lang w:val="en-GB"/>
        </w:rPr>
      </w:pPr>
      <w:bookmarkStart w:id="10" w:name="_Toc117681757"/>
      <w:r w:rsidRPr="00A33A9F">
        <w:rPr>
          <w:rFonts w:cs="Arial"/>
          <w:szCs w:val="22"/>
          <w:lang w:val="en-GB"/>
        </w:rPr>
        <w:t>For time spent swimming (</w:t>
      </w:r>
      <w:r>
        <w:rPr>
          <w:rFonts w:cs="Arial"/>
          <w:i/>
          <w:iCs/>
          <w:szCs w:val="22"/>
          <w:lang w:val="en-GB"/>
        </w:rPr>
        <w:t>Figure S1-</w:t>
      </w:r>
      <w:r w:rsidRPr="00A33A9F">
        <w:rPr>
          <w:rFonts w:cs="Arial"/>
          <w:i/>
          <w:iCs/>
          <w:szCs w:val="22"/>
          <w:lang w:val="en-GB"/>
        </w:rPr>
        <w:t>B</w:t>
      </w:r>
      <w:r w:rsidRPr="00A33A9F">
        <w:rPr>
          <w:rFonts w:cs="Arial"/>
          <w:szCs w:val="22"/>
          <w:lang w:val="en-GB"/>
        </w:rPr>
        <w:t>), the interactions between ELA*JUV (</w:t>
      </w:r>
      <w:r w:rsidRPr="00A33A9F">
        <w:rPr>
          <w:rFonts w:cs="Arial"/>
          <w:i/>
          <w:iCs/>
          <w:lang w:val="en-GB"/>
        </w:rPr>
        <w:t>F</w:t>
      </w:r>
      <w:r w:rsidRPr="00A33A9F">
        <w:rPr>
          <w:rFonts w:cs="Arial"/>
          <w:vertAlign w:val="subscript"/>
          <w:lang w:val="en-GB"/>
        </w:rPr>
        <w:t>1, 113</w:t>
      </w:r>
      <w:r w:rsidRPr="00A33A9F">
        <w:rPr>
          <w:rFonts w:cs="Arial"/>
          <w:lang w:val="en-GB"/>
        </w:rPr>
        <w:t xml:space="preserve"> = 5.02, </w:t>
      </w:r>
      <w:r w:rsidRPr="00A33A9F">
        <w:rPr>
          <w:rFonts w:cs="Arial"/>
          <w:i/>
          <w:iCs/>
          <w:lang w:val="en-GB"/>
        </w:rPr>
        <w:t>p</w:t>
      </w:r>
      <w:r w:rsidRPr="00A33A9F">
        <w:rPr>
          <w:rFonts w:cs="Arial"/>
          <w:lang w:val="en-GB"/>
        </w:rPr>
        <w:t xml:space="preserve"> = 0.03,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0.04), PRE*JUV (</w:t>
      </w:r>
      <w:r w:rsidRPr="00A33A9F">
        <w:rPr>
          <w:rFonts w:cs="Arial"/>
          <w:i/>
          <w:iCs/>
          <w:lang w:val="en-GB"/>
        </w:rPr>
        <w:t>F</w:t>
      </w:r>
      <w:r w:rsidRPr="00A33A9F">
        <w:rPr>
          <w:rFonts w:cs="Arial"/>
          <w:vertAlign w:val="subscript"/>
          <w:lang w:val="en-GB"/>
        </w:rPr>
        <w:t>1, 113</w:t>
      </w:r>
      <w:r w:rsidRPr="00A33A9F">
        <w:rPr>
          <w:rFonts w:cs="Arial"/>
          <w:lang w:val="en-GB"/>
        </w:rPr>
        <w:t xml:space="preserve"> = 11.21, </w:t>
      </w:r>
      <w:r w:rsidRPr="00A33A9F">
        <w:rPr>
          <w:rFonts w:cs="Arial"/>
          <w:i/>
          <w:iCs/>
          <w:lang w:val="en-GB"/>
        </w:rPr>
        <w:t>p</w:t>
      </w:r>
      <w:r w:rsidRPr="00A33A9F">
        <w:rPr>
          <w:rFonts w:cs="Arial"/>
          <w:lang w:val="en-GB"/>
        </w:rPr>
        <w:t xml:space="preserve"> = 0.001,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0.09) and PRE*ELA (</w:t>
      </w:r>
      <w:r w:rsidRPr="00A33A9F">
        <w:rPr>
          <w:rFonts w:cs="Arial"/>
          <w:i/>
          <w:iCs/>
          <w:lang w:val="en-GB"/>
        </w:rPr>
        <w:t>F</w:t>
      </w:r>
      <w:r w:rsidRPr="00A33A9F">
        <w:rPr>
          <w:rFonts w:cs="Arial"/>
          <w:vertAlign w:val="subscript"/>
          <w:lang w:val="en-GB"/>
        </w:rPr>
        <w:t>1, 113</w:t>
      </w:r>
      <w:r w:rsidRPr="00A33A9F">
        <w:rPr>
          <w:rFonts w:cs="Arial"/>
          <w:lang w:val="en-GB"/>
        </w:rPr>
        <w:t xml:space="preserve"> = 18.64, </w:t>
      </w:r>
      <w:r w:rsidRPr="00A33A9F">
        <w:rPr>
          <w:rFonts w:cs="Arial"/>
          <w:i/>
          <w:iCs/>
          <w:lang w:val="en-GB"/>
        </w:rPr>
        <w:t>p</w:t>
      </w:r>
      <w:r w:rsidRPr="00A33A9F">
        <w:rPr>
          <w:rFonts w:cs="Arial"/>
          <w:lang w:val="en-GB"/>
        </w:rPr>
        <w:t xml:space="preserve"> ≤ 0.0005,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0.14) were all significant after correcting for distance moved in the open field test.  However, based on effect magnitudes, the latter was considered the most robust and used for multiple comparison reporting.  In this regard, EXE/non-MSEW pups (irrespective of JUV) swam 21 s [13; 28 s] less than SED/non-MSEW controls (</w:t>
      </w:r>
      <w:r w:rsidRPr="00A33A9F">
        <w:rPr>
          <w:rFonts w:cs="Arial"/>
          <w:i/>
          <w:iCs/>
          <w:szCs w:val="22"/>
          <w:lang w:val="en-GB"/>
        </w:rPr>
        <w:t>p</w:t>
      </w:r>
      <w:r w:rsidRPr="00A33A9F">
        <w:rPr>
          <w:rFonts w:cs="Arial"/>
          <w:szCs w:val="22"/>
          <w:lang w:val="en-GB"/>
        </w:rPr>
        <w:t xml:space="preserve"> </w:t>
      </w:r>
      <w:r w:rsidRPr="00A33A9F">
        <w:rPr>
          <w:rFonts w:cs="Arial"/>
          <w:lang w:val="en-GB"/>
        </w:rPr>
        <w:t>≤ 0.0005</w:t>
      </w:r>
      <w:r w:rsidRPr="00A33A9F">
        <w:rPr>
          <w:rFonts w:cs="Arial"/>
          <w:szCs w:val="22"/>
          <w:lang w:val="en-GB"/>
        </w:rPr>
        <w:t xml:space="preserve">,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1.5 [0.9; 2.0]).  Of note, MSEW (irrespective of JUV)</w:t>
      </w:r>
      <w:r w:rsidR="00D604E1">
        <w:rPr>
          <w:rFonts w:cs="Arial"/>
          <w:szCs w:val="22"/>
          <w:lang w:val="en-GB"/>
        </w:rPr>
        <w:t xml:space="preserve"> also</w:t>
      </w:r>
      <w:r w:rsidRPr="00A33A9F">
        <w:rPr>
          <w:rFonts w:cs="Arial"/>
          <w:szCs w:val="22"/>
          <w:lang w:val="en-GB"/>
        </w:rPr>
        <w:t xml:space="preserve"> reduced swimming in pups born to a SED dam by 14 s [7; 21 s], in relation to SED/non-MSEW controls (</w:t>
      </w:r>
      <w:r w:rsidRPr="00A33A9F">
        <w:rPr>
          <w:rFonts w:cs="Arial"/>
          <w:i/>
          <w:iCs/>
          <w:szCs w:val="22"/>
          <w:lang w:val="en-GB"/>
        </w:rPr>
        <w:t>p</w:t>
      </w:r>
      <w:r w:rsidRPr="00A33A9F">
        <w:rPr>
          <w:rFonts w:cs="Arial"/>
          <w:szCs w:val="22"/>
          <w:lang w:val="en-GB"/>
        </w:rPr>
        <w:t xml:space="preserve"> </w:t>
      </w:r>
      <w:r w:rsidRPr="00A33A9F">
        <w:rPr>
          <w:rFonts w:cs="Arial"/>
          <w:lang w:val="en-GB"/>
        </w:rPr>
        <w:t>≤ 0.0005</w:t>
      </w:r>
      <w:r w:rsidRPr="00A33A9F">
        <w:rPr>
          <w:rFonts w:cs="Arial"/>
          <w:szCs w:val="22"/>
          <w:lang w:val="en-GB"/>
        </w:rPr>
        <w:t xml:space="preserve">,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xml:space="preserve">= 0.8 [0.3; 1.4]).  In contrast, </w:t>
      </w:r>
      <w:r w:rsidR="00F71387">
        <w:rPr>
          <w:rFonts w:cs="Arial"/>
          <w:szCs w:val="22"/>
          <w:lang w:val="en-GB"/>
        </w:rPr>
        <w:t xml:space="preserve">when combined with PRE, </w:t>
      </w:r>
      <w:r w:rsidRPr="00A33A9F">
        <w:rPr>
          <w:rFonts w:cs="Arial"/>
          <w:szCs w:val="22"/>
          <w:lang w:val="en-GB"/>
        </w:rPr>
        <w:t xml:space="preserve">MSEW (again irrespective of JUV) increased swimming behaviour by 10 s [2; 17 s], </w:t>
      </w:r>
      <w:r w:rsidR="00BC36C4">
        <w:rPr>
          <w:rFonts w:cs="Arial"/>
          <w:szCs w:val="22"/>
          <w:lang w:val="en-GB"/>
        </w:rPr>
        <w:t>when compared</w:t>
      </w:r>
      <w:r w:rsidRPr="00A33A9F">
        <w:rPr>
          <w:rFonts w:cs="Arial"/>
          <w:szCs w:val="22"/>
          <w:lang w:val="en-GB"/>
        </w:rPr>
        <w:t xml:space="preserve"> to EXE/non-MSEW controls (</w:t>
      </w:r>
      <w:r w:rsidRPr="00A33A9F">
        <w:rPr>
          <w:rFonts w:cs="Arial"/>
          <w:i/>
          <w:iCs/>
          <w:szCs w:val="22"/>
          <w:lang w:val="en-GB"/>
        </w:rPr>
        <w:t>p</w:t>
      </w:r>
      <w:r w:rsidRPr="00A33A9F">
        <w:rPr>
          <w:rFonts w:cs="Arial"/>
          <w:szCs w:val="22"/>
          <w:lang w:val="en-GB"/>
        </w:rPr>
        <w:t xml:space="preserve"> </w:t>
      </w:r>
      <w:r w:rsidRPr="00A33A9F">
        <w:rPr>
          <w:rFonts w:cs="Arial"/>
          <w:lang w:val="en-GB"/>
        </w:rPr>
        <w:t>≤ 0.0005</w:t>
      </w:r>
      <w:r w:rsidRPr="00A33A9F">
        <w:rPr>
          <w:rFonts w:cs="Arial"/>
          <w:szCs w:val="22"/>
          <w:lang w:val="en-GB"/>
        </w:rPr>
        <w:t xml:space="preserve">,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xml:space="preserve">= 0.6 [0.1; 1.2]). </w:t>
      </w:r>
    </w:p>
    <w:p w14:paraId="21D1B83E" w14:textId="77777777" w:rsidR="00A33A9F" w:rsidRPr="00A33A9F" w:rsidRDefault="00A33A9F" w:rsidP="00A33A9F">
      <w:pPr>
        <w:rPr>
          <w:rFonts w:cs="Arial"/>
          <w:lang w:val="en-GB"/>
        </w:rPr>
      </w:pPr>
      <w:r w:rsidRPr="00A33A9F">
        <w:rPr>
          <w:rFonts w:cs="Arial"/>
          <w:b/>
          <w:bCs/>
          <w:lang w:val="en-GB"/>
        </w:rPr>
        <w:t>A2.3</w:t>
      </w:r>
      <w:r w:rsidRPr="00A33A9F">
        <w:rPr>
          <w:rFonts w:cs="Arial"/>
          <w:b/>
          <w:bCs/>
          <w:lang w:val="en-GB"/>
        </w:rPr>
        <w:tab/>
        <w:t>Anatomical markers</w:t>
      </w:r>
      <w:bookmarkEnd w:id="10"/>
    </w:p>
    <w:p w14:paraId="0595F1CD" w14:textId="1ABC5025" w:rsidR="00A33A9F" w:rsidRPr="00A33A9F" w:rsidRDefault="00A33A9F" w:rsidP="00A33A9F">
      <w:pPr>
        <w:rPr>
          <w:rFonts w:cs="Arial"/>
          <w:szCs w:val="22"/>
          <w:lang w:val="en-GB"/>
        </w:rPr>
      </w:pPr>
      <w:r w:rsidRPr="00A33A9F">
        <w:rPr>
          <w:rFonts w:cs="Arial"/>
          <w:szCs w:val="22"/>
          <w:lang w:val="en-GB"/>
        </w:rPr>
        <w:t xml:space="preserve">In addition to the significant influence of JUV on whole brain weight, </w:t>
      </w:r>
      <w:r w:rsidR="00EB021B">
        <w:rPr>
          <w:rFonts w:cs="Arial"/>
          <w:szCs w:val="22"/>
          <w:lang w:val="en-GB"/>
        </w:rPr>
        <w:t>both PRE</w:t>
      </w:r>
      <w:r w:rsidR="005731BE">
        <w:rPr>
          <w:rFonts w:cs="Arial"/>
          <w:szCs w:val="22"/>
          <w:lang w:val="en-GB"/>
        </w:rPr>
        <w:t xml:space="preserve"> (</w:t>
      </w:r>
      <w:r w:rsidR="005731BE" w:rsidRPr="00A33A9F">
        <w:rPr>
          <w:rFonts w:cs="Arial"/>
          <w:i/>
          <w:iCs/>
          <w:lang w:val="en-GB"/>
        </w:rPr>
        <w:t>F</w:t>
      </w:r>
      <w:r w:rsidR="005731BE" w:rsidRPr="00A33A9F">
        <w:rPr>
          <w:rFonts w:cs="Arial"/>
          <w:vertAlign w:val="subscript"/>
          <w:lang w:val="en-GB"/>
        </w:rPr>
        <w:t>1, 10</w:t>
      </w:r>
      <w:r w:rsidR="005731BE">
        <w:rPr>
          <w:rFonts w:cs="Arial"/>
          <w:vertAlign w:val="subscript"/>
          <w:lang w:val="en-GB"/>
        </w:rPr>
        <w:t>7</w:t>
      </w:r>
      <w:r w:rsidR="005731BE" w:rsidRPr="00A33A9F">
        <w:rPr>
          <w:rFonts w:cs="Arial"/>
          <w:lang w:val="en-GB"/>
        </w:rPr>
        <w:t xml:space="preserve"> = </w:t>
      </w:r>
      <w:r w:rsidR="007E7E58">
        <w:rPr>
          <w:rFonts w:cs="Arial"/>
          <w:lang w:val="en-GB"/>
        </w:rPr>
        <w:t>6.43</w:t>
      </w:r>
      <w:r w:rsidR="005731BE" w:rsidRPr="00A33A9F">
        <w:rPr>
          <w:rFonts w:cs="Arial"/>
          <w:lang w:val="en-GB"/>
        </w:rPr>
        <w:t xml:space="preserve">, </w:t>
      </w:r>
      <w:r w:rsidR="005731BE" w:rsidRPr="00A33A9F">
        <w:rPr>
          <w:rFonts w:cs="Arial"/>
          <w:i/>
          <w:iCs/>
          <w:lang w:val="en-GB"/>
        </w:rPr>
        <w:t>p</w:t>
      </w:r>
      <w:r w:rsidR="005731BE" w:rsidRPr="00A33A9F">
        <w:rPr>
          <w:rFonts w:cs="Arial"/>
          <w:lang w:val="en-GB"/>
        </w:rPr>
        <w:t xml:space="preserve"> = 0.</w:t>
      </w:r>
      <w:r w:rsidR="007E7E58">
        <w:rPr>
          <w:rFonts w:cs="Arial"/>
          <w:lang w:val="en-GB"/>
        </w:rPr>
        <w:t>013</w:t>
      </w:r>
      <w:r w:rsidR="005731BE" w:rsidRPr="00A33A9F">
        <w:rPr>
          <w:rFonts w:cs="Arial"/>
          <w:lang w:val="en-GB"/>
        </w:rPr>
        <w:t xml:space="preserve">, </w:t>
      </w:r>
      <w:r w:rsidR="005731BE" w:rsidRPr="00A33A9F">
        <w:rPr>
          <w:rFonts w:cs="Arial"/>
          <w:i/>
          <w:iCs/>
          <w:szCs w:val="22"/>
          <w:lang w:val="en-GB"/>
        </w:rPr>
        <w:t>η</w:t>
      </w:r>
      <w:r w:rsidR="005731BE" w:rsidRPr="00A33A9F">
        <w:rPr>
          <w:rFonts w:cs="Arial"/>
          <w:i/>
          <w:iCs/>
          <w:szCs w:val="22"/>
          <w:vertAlign w:val="subscript"/>
          <w:lang w:val="en-GB"/>
        </w:rPr>
        <w:t>p</w:t>
      </w:r>
      <w:r w:rsidR="005731BE" w:rsidRPr="00A33A9F">
        <w:rPr>
          <w:rFonts w:cs="Arial"/>
          <w:i/>
          <w:iCs/>
          <w:szCs w:val="22"/>
          <w:vertAlign w:val="superscript"/>
          <w:lang w:val="en-GB"/>
        </w:rPr>
        <w:t>2</w:t>
      </w:r>
      <w:r w:rsidR="005731BE" w:rsidRPr="00A33A9F">
        <w:rPr>
          <w:rFonts w:cs="Arial"/>
          <w:szCs w:val="22"/>
          <w:lang w:val="en-GB"/>
        </w:rPr>
        <w:t xml:space="preserve"> = 0.0</w:t>
      </w:r>
      <w:r w:rsidR="007E7E58">
        <w:rPr>
          <w:rFonts w:cs="Arial"/>
          <w:szCs w:val="22"/>
          <w:lang w:val="en-GB"/>
        </w:rPr>
        <w:t>6</w:t>
      </w:r>
      <w:r w:rsidR="005731BE">
        <w:rPr>
          <w:rFonts w:cs="Arial"/>
          <w:szCs w:val="22"/>
          <w:lang w:val="en-GB"/>
        </w:rPr>
        <w:t>)</w:t>
      </w:r>
      <w:r w:rsidR="00EB021B">
        <w:rPr>
          <w:rFonts w:cs="Arial"/>
          <w:szCs w:val="22"/>
          <w:lang w:val="en-GB"/>
        </w:rPr>
        <w:t xml:space="preserve"> and</w:t>
      </w:r>
      <w:r w:rsidRPr="00A33A9F">
        <w:rPr>
          <w:rFonts w:cs="Arial"/>
          <w:szCs w:val="22"/>
          <w:lang w:val="en-GB"/>
        </w:rPr>
        <w:t xml:space="preserve"> ELA (</w:t>
      </w:r>
      <w:r>
        <w:rPr>
          <w:rFonts w:cs="Arial"/>
          <w:i/>
          <w:iCs/>
          <w:szCs w:val="22"/>
          <w:lang w:val="en-GB"/>
        </w:rPr>
        <w:t>Figure S2</w:t>
      </w:r>
      <w:r w:rsidRPr="00A33A9F">
        <w:rPr>
          <w:rFonts w:cs="Arial"/>
          <w:szCs w:val="22"/>
          <w:lang w:val="en-GB"/>
        </w:rPr>
        <w:t xml:space="preserve">; </w:t>
      </w:r>
      <w:r w:rsidRPr="00A33A9F">
        <w:rPr>
          <w:rFonts w:cs="Arial"/>
          <w:i/>
          <w:iCs/>
          <w:lang w:val="en-GB"/>
        </w:rPr>
        <w:t>F</w:t>
      </w:r>
      <w:r w:rsidRPr="00A33A9F">
        <w:rPr>
          <w:rFonts w:cs="Arial"/>
          <w:vertAlign w:val="subscript"/>
          <w:lang w:val="en-GB"/>
        </w:rPr>
        <w:t>1, 10</w:t>
      </w:r>
      <w:r w:rsidR="001F531C">
        <w:rPr>
          <w:rFonts w:cs="Arial"/>
          <w:vertAlign w:val="subscript"/>
          <w:lang w:val="en-GB"/>
        </w:rPr>
        <w:t>7</w:t>
      </w:r>
      <w:r w:rsidRPr="00A33A9F">
        <w:rPr>
          <w:rFonts w:cs="Arial"/>
          <w:lang w:val="en-GB"/>
        </w:rPr>
        <w:t xml:space="preserve"> = </w:t>
      </w:r>
      <w:r w:rsidR="001F531C">
        <w:rPr>
          <w:rFonts w:cs="Arial"/>
          <w:lang w:val="en-GB"/>
        </w:rPr>
        <w:t>15.83</w:t>
      </w:r>
      <w:r w:rsidRPr="00A33A9F">
        <w:rPr>
          <w:rFonts w:cs="Arial"/>
          <w:lang w:val="en-GB"/>
        </w:rPr>
        <w:t xml:space="preserve">, </w:t>
      </w:r>
      <w:r w:rsidRPr="00A33A9F">
        <w:rPr>
          <w:rFonts w:cs="Arial"/>
          <w:i/>
          <w:iCs/>
          <w:lang w:val="en-GB"/>
        </w:rPr>
        <w:t>p</w:t>
      </w:r>
      <w:r w:rsidRPr="00A33A9F">
        <w:rPr>
          <w:rFonts w:cs="Arial"/>
          <w:lang w:val="en-GB"/>
        </w:rPr>
        <w:t xml:space="preserve"> </w:t>
      </w:r>
      <w:r w:rsidR="001F531C">
        <w:rPr>
          <w:rFonts w:cs="Arial"/>
          <w:lang w:val="en-GB"/>
        </w:rPr>
        <w:t>≤ 0.005</w:t>
      </w:r>
      <w:r w:rsidRPr="00A33A9F">
        <w:rPr>
          <w:rFonts w:cs="Arial"/>
          <w:lang w:val="en-GB"/>
        </w:rPr>
        <w:t xml:space="preserve">,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w:t>
      </w:r>
      <w:r w:rsidR="001F531C">
        <w:rPr>
          <w:rFonts w:cs="Arial"/>
          <w:szCs w:val="22"/>
          <w:lang w:val="en-GB"/>
        </w:rPr>
        <w:t>13</w:t>
      </w:r>
      <w:r w:rsidRPr="00A33A9F">
        <w:rPr>
          <w:rFonts w:cs="Arial"/>
          <w:szCs w:val="22"/>
          <w:lang w:val="en-GB"/>
        </w:rPr>
        <w:t>)</w:t>
      </w:r>
      <w:r w:rsidR="005A5984">
        <w:rPr>
          <w:rFonts w:cs="Arial"/>
          <w:szCs w:val="22"/>
          <w:lang w:val="en-GB"/>
        </w:rPr>
        <w:t xml:space="preserve"> significantly </w:t>
      </w:r>
      <w:r w:rsidR="005A5984">
        <w:rPr>
          <w:rFonts w:cs="Arial"/>
          <w:szCs w:val="22"/>
          <w:lang w:val="en-GB"/>
        </w:rPr>
        <w:lastRenderedPageBreak/>
        <w:t>influenced the brain weight on PND</w:t>
      </w:r>
      <w:r w:rsidR="009E71B9">
        <w:rPr>
          <w:rFonts w:cs="Arial"/>
          <w:szCs w:val="22"/>
          <w:lang w:val="en-GB"/>
        </w:rPr>
        <w:t xml:space="preserve">38, with the latter inducing a </w:t>
      </w:r>
      <w:r w:rsidR="005706B6">
        <w:rPr>
          <w:rFonts w:cs="Arial"/>
          <w:szCs w:val="22"/>
          <w:lang w:val="en-GB"/>
        </w:rPr>
        <w:t xml:space="preserve">larger effect.  Still, </w:t>
      </w:r>
      <w:r w:rsidR="00284CE2">
        <w:rPr>
          <w:rFonts w:cs="Arial"/>
          <w:szCs w:val="22"/>
          <w:lang w:val="en-GB"/>
        </w:rPr>
        <w:t>the brain weight of pups</w:t>
      </w:r>
      <w:r w:rsidR="005706B6">
        <w:rPr>
          <w:rFonts w:cs="Arial"/>
          <w:szCs w:val="22"/>
          <w:lang w:val="en-GB"/>
        </w:rPr>
        <w:t xml:space="preserve"> born to a </w:t>
      </w:r>
      <w:r w:rsidR="00DE373C">
        <w:rPr>
          <w:rFonts w:cs="Arial"/>
          <w:szCs w:val="22"/>
          <w:lang w:val="en-GB"/>
        </w:rPr>
        <w:t>dam that exercised</w:t>
      </w:r>
      <w:r w:rsidR="00C7375F">
        <w:rPr>
          <w:rFonts w:cs="Arial"/>
          <w:szCs w:val="22"/>
          <w:lang w:val="en-GB"/>
        </w:rPr>
        <w:t xml:space="preserve"> (irrespective of ELA and JUV)</w:t>
      </w:r>
      <w:r w:rsidR="00DE373C">
        <w:rPr>
          <w:rFonts w:cs="Arial"/>
          <w:szCs w:val="22"/>
          <w:lang w:val="en-GB"/>
        </w:rPr>
        <w:t xml:space="preserve"> </w:t>
      </w:r>
      <w:r w:rsidR="00222A13">
        <w:rPr>
          <w:rFonts w:cs="Arial"/>
          <w:szCs w:val="22"/>
          <w:lang w:val="en-GB"/>
        </w:rPr>
        <w:t>were 0.08%</w:t>
      </w:r>
      <w:r w:rsidR="00F30DFA">
        <w:rPr>
          <w:rFonts w:cs="Arial"/>
          <w:szCs w:val="22"/>
          <w:lang w:val="en-GB"/>
        </w:rPr>
        <w:t xml:space="preserve"> [0.02; 0.14%]</w:t>
      </w:r>
      <w:r w:rsidR="00222A13">
        <w:rPr>
          <w:rFonts w:cs="Arial"/>
          <w:szCs w:val="22"/>
          <w:lang w:val="en-GB"/>
        </w:rPr>
        <w:t xml:space="preserve"> heavier than those born to a sedentary dam</w:t>
      </w:r>
      <w:r w:rsidR="00F30DFA">
        <w:rPr>
          <w:rFonts w:cs="Arial"/>
          <w:szCs w:val="22"/>
          <w:lang w:val="en-GB"/>
        </w:rPr>
        <w:t xml:space="preserve">.  </w:t>
      </w:r>
      <w:r w:rsidR="0091017B">
        <w:rPr>
          <w:rFonts w:cs="Arial"/>
          <w:szCs w:val="22"/>
          <w:lang w:val="en-GB"/>
        </w:rPr>
        <w:t>In contrast, the brain weight of MSEW pups</w:t>
      </w:r>
      <w:r w:rsidR="00780910">
        <w:rPr>
          <w:rFonts w:cs="Arial"/>
          <w:szCs w:val="22"/>
          <w:lang w:val="en-GB"/>
        </w:rPr>
        <w:t xml:space="preserve"> (irrespective of </w:t>
      </w:r>
      <w:r w:rsidR="00C7375F">
        <w:rPr>
          <w:rFonts w:cs="Arial"/>
          <w:szCs w:val="22"/>
          <w:lang w:val="en-GB"/>
        </w:rPr>
        <w:t>PRE and JUV</w:t>
      </w:r>
      <w:r w:rsidR="00780910">
        <w:rPr>
          <w:rFonts w:cs="Arial"/>
          <w:szCs w:val="22"/>
          <w:lang w:val="en-GB"/>
        </w:rPr>
        <w:t>)</w:t>
      </w:r>
      <w:r w:rsidR="0091017B">
        <w:rPr>
          <w:rFonts w:cs="Arial"/>
          <w:szCs w:val="22"/>
          <w:lang w:val="en-GB"/>
        </w:rPr>
        <w:t xml:space="preserve"> weighed </w:t>
      </w:r>
      <w:r w:rsidR="00780910">
        <w:rPr>
          <w:rFonts w:cs="Arial"/>
          <w:szCs w:val="22"/>
          <w:lang w:val="en-GB"/>
        </w:rPr>
        <w:t xml:space="preserve">0.12% [0.06; 0.18% less than </w:t>
      </w:r>
      <w:r w:rsidR="00C7375F">
        <w:rPr>
          <w:rFonts w:cs="Arial"/>
          <w:szCs w:val="22"/>
          <w:lang w:val="en-GB"/>
        </w:rPr>
        <w:t xml:space="preserve">those of </w:t>
      </w:r>
      <w:r w:rsidRPr="00A33A9F">
        <w:rPr>
          <w:rFonts w:cs="Arial"/>
          <w:szCs w:val="22"/>
          <w:lang w:val="en-GB"/>
        </w:rPr>
        <w:t xml:space="preserve">non-MSEW controls.  No other significant contributing factor than described in </w:t>
      </w:r>
      <w:r>
        <w:rPr>
          <w:rFonts w:cs="Arial"/>
          <w:i/>
          <w:iCs/>
          <w:szCs w:val="22"/>
          <w:lang w:val="en-GB"/>
        </w:rPr>
        <w:t>the manuscript</w:t>
      </w:r>
      <w:r w:rsidRPr="00A33A9F">
        <w:rPr>
          <w:rFonts w:cs="Arial"/>
          <w:szCs w:val="22"/>
          <w:lang w:val="en-GB"/>
        </w:rPr>
        <w:t xml:space="preserve"> was identified for heart weights.</w:t>
      </w:r>
    </w:p>
    <w:p w14:paraId="6469FFB1" w14:textId="77777777" w:rsidR="00A33A9F" w:rsidRPr="00A33A9F" w:rsidRDefault="00A33A9F" w:rsidP="00A33A9F">
      <w:pPr>
        <w:keepNext/>
        <w:spacing w:after="0"/>
        <w:jc w:val="center"/>
        <w:rPr>
          <w:rFonts w:cs="Arial"/>
          <w:lang w:val="en-GB"/>
        </w:rPr>
      </w:pPr>
      <w:r w:rsidRPr="00A33A9F">
        <w:rPr>
          <w:rFonts w:cs="Arial"/>
          <w:noProof/>
          <w:lang w:val="en-GB"/>
        </w:rPr>
        <w:object w:dxaOrig="3929" w:dyaOrig="4171" w14:anchorId="2AA7BF59">
          <v:shape id="_x0000_i1026" type="#_x0000_t75" alt="" style="width:228.9pt;height:235.9pt;mso-width-percent:0;mso-height-percent:0;mso-width-percent:0;mso-height-percent:0" o:ole="" o:bordertopcolor="this" o:borderleftcolor="this" o:borderbottomcolor="this" o:borderrightcolor="this">
            <v:imagedata r:id="rId10" o:title=""/>
            <w10:bordertop type="single" width="8"/>
            <w10:borderleft type="single" width="8"/>
            <w10:borderbottom type="single" width="8"/>
            <w10:borderright type="single" width="8"/>
          </v:shape>
          <o:OLEObject Type="Embed" ProgID="Prism9.Document" ShapeID="_x0000_i1026" DrawAspect="Content" ObjectID="_1754294309" r:id="rId11"/>
        </w:object>
      </w:r>
    </w:p>
    <w:p w14:paraId="5183084F" w14:textId="7CF5940C" w:rsidR="00A33A9F" w:rsidRPr="00A33A9F" w:rsidRDefault="00A33A9F" w:rsidP="008F2F55">
      <w:pPr>
        <w:pStyle w:val="Caption"/>
        <w:spacing w:after="0"/>
        <w:jc w:val="center"/>
        <w:rPr>
          <w:rFonts w:cs="Arial"/>
          <w:color w:val="auto"/>
          <w:lang w:val="en-GB"/>
        </w:rPr>
      </w:pPr>
      <w:bookmarkStart w:id="11" w:name="_Ref117669230"/>
      <w:bookmarkStart w:id="12" w:name="_Toc118889413"/>
      <w:r w:rsidRPr="00A33A9F">
        <w:rPr>
          <w:rFonts w:cs="Arial"/>
          <w:color w:val="auto"/>
          <w:lang w:val="en-GB"/>
        </w:rPr>
        <w:t xml:space="preserve">Figure </w:t>
      </w:r>
      <w:bookmarkEnd w:id="11"/>
      <w:r>
        <w:rPr>
          <w:rFonts w:cs="Arial"/>
          <w:color w:val="auto"/>
          <w:lang w:val="en-GB"/>
        </w:rPr>
        <w:t>S2</w:t>
      </w:r>
      <w:r w:rsidRPr="00A33A9F">
        <w:rPr>
          <w:rFonts w:cs="Arial"/>
          <w:color w:val="auto"/>
          <w:lang w:val="en-GB"/>
        </w:rPr>
        <w:t>: Significant effect of an early-life stressor on whole brain weight of</w:t>
      </w:r>
      <w:r w:rsidR="009A37FD">
        <w:rPr>
          <w:rFonts w:cs="Arial"/>
          <w:color w:val="auto"/>
          <w:lang w:val="en-GB"/>
        </w:rPr>
        <w:t xml:space="preserve"> MSEW and non-MSEW </w:t>
      </w:r>
      <w:r w:rsidRPr="00A33A9F">
        <w:rPr>
          <w:rFonts w:cs="Arial"/>
          <w:color w:val="auto"/>
          <w:lang w:val="en-GB"/>
        </w:rPr>
        <w:t>FSL rats</w:t>
      </w:r>
      <w:r w:rsidR="009A37FD">
        <w:rPr>
          <w:rFonts w:cs="Arial"/>
          <w:color w:val="auto"/>
          <w:lang w:val="en-GB"/>
        </w:rPr>
        <w:t xml:space="preserve">, irrespective of </w:t>
      </w:r>
      <w:r w:rsidR="004F09FD">
        <w:rPr>
          <w:rFonts w:cs="Arial"/>
          <w:color w:val="auto"/>
          <w:lang w:val="en-GB"/>
        </w:rPr>
        <w:t>PRE and JUV</w:t>
      </w:r>
      <w:r w:rsidRPr="00A33A9F">
        <w:rPr>
          <w:rFonts w:cs="Arial"/>
          <w:color w:val="auto"/>
          <w:lang w:val="en-GB"/>
        </w:rPr>
        <w:t xml:space="preserve"> (supplementary)</w:t>
      </w:r>
      <w:bookmarkEnd w:id="12"/>
      <w:r w:rsidRPr="00A33A9F">
        <w:rPr>
          <w:rFonts w:cs="Arial"/>
          <w:color w:val="auto"/>
          <w:lang w:val="en-GB"/>
        </w:rPr>
        <w:t xml:space="preserve"> </w:t>
      </w:r>
    </w:p>
    <w:p w14:paraId="2AE2A4D4" w14:textId="565D9D78" w:rsidR="00A33A9F" w:rsidRPr="00A33A9F" w:rsidRDefault="00A33A9F" w:rsidP="00A33A9F">
      <w:pPr>
        <w:pStyle w:val="Caption"/>
        <w:jc w:val="center"/>
        <w:rPr>
          <w:rFonts w:cs="Arial"/>
          <w:color w:val="auto"/>
          <w:lang w:val="en-GB"/>
        </w:rPr>
      </w:pPr>
      <w:r w:rsidRPr="00A33A9F">
        <w:rPr>
          <w:rFonts w:cs="Arial"/>
          <w:b w:val="0"/>
          <w:bCs w:val="0"/>
          <w:i/>
          <w:iCs/>
          <w:color w:val="000000" w:themeColor="text1"/>
          <w:lang w:val="en-GB"/>
        </w:rPr>
        <w:t>Data points represent the mean ± 95% CI, with male and female indicated in blue and pink respectively.  Statistical analyses are reported in the text.</w:t>
      </w:r>
      <w:r w:rsidR="004F09FD">
        <w:rPr>
          <w:rFonts w:cs="Arial"/>
          <w:b w:val="0"/>
          <w:bCs w:val="0"/>
          <w:i/>
          <w:iCs/>
          <w:color w:val="000000" w:themeColor="text1"/>
          <w:lang w:val="en-GB"/>
        </w:rPr>
        <w:t xml:space="preserve">  </w:t>
      </w:r>
      <w:r w:rsidR="004F09FD" w:rsidRPr="008B7481">
        <w:rPr>
          <w:rFonts w:cs="Arial"/>
          <w:i/>
          <w:iCs/>
          <w:color w:val="000000" w:themeColor="text1"/>
          <w:lang w:val="en-GB"/>
        </w:rPr>
        <w:t>EXE:</w:t>
      </w:r>
      <w:r w:rsidR="004F09FD">
        <w:rPr>
          <w:rFonts w:cs="Arial"/>
          <w:b w:val="0"/>
          <w:bCs w:val="0"/>
          <w:i/>
          <w:iCs/>
          <w:color w:val="000000" w:themeColor="text1"/>
          <w:lang w:val="en-GB"/>
        </w:rPr>
        <w:t xml:space="preserve"> Low intensity exercise.</w:t>
      </w:r>
      <w:r w:rsidR="008B7481">
        <w:rPr>
          <w:rFonts w:cs="Arial"/>
          <w:b w:val="0"/>
          <w:bCs w:val="0"/>
          <w:i/>
          <w:iCs/>
          <w:color w:val="000000" w:themeColor="text1"/>
          <w:lang w:val="en-GB"/>
        </w:rPr>
        <w:t xml:space="preserve">  </w:t>
      </w:r>
      <w:r w:rsidR="008B7481" w:rsidRPr="008B7481">
        <w:rPr>
          <w:rFonts w:cs="Arial"/>
          <w:i/>
          <w:iCs/>
          <w:color w:val="000000" w:themeColor="text1"/>
          <w:lang w:val="en-GB"/>
        </w:rPr>
        <w:t>JUV:</w:t>
      </w:r>
      <w:r w:rsidR="008B7481">
        <w:rPr>
          <w:rFonts w:cs="Arial"/>
          <w:b w:val="0"/>
          <w:bCs w:val="0"/>
          <w:i/>
          <w:iCs/>
          <w:color w:val="000000" w:themeColor="text1"/>
          <w:lang w:val="en-GB"/>
        </w:rPr>
        <w:t xml:space="preserve"> Juvenile exercise.</w:t>
      </w:r>
      <w:r w:rsidRPr="00A33A9F">
        <w:rPr>
          <w:rFonts w:cs="Arial"/>
          <w:b w:val="0"/>
          <w:bCs w:val="0"/>
          <w:i/>
          <w:iCs/>
          <w:color w:val="000000" w:themeColor="text1"/>
          <w:lang w:val="en-GB"/>
        </w:rPr>
        <w:t xml:space="preserve">  </w:t>
      </w:r>
      <w:r w:rsidRPr="00A33A9F">
        <w:rPr>
          <w:rFonts w:cs="Arial"/>
          <w:i/>
          <w:iCs/>
          <w:color w:val="000000" w:themeColor="text1"/>
          <w:lang w:val="en-GB"/>
        </w:rPr>
        <w:t>MSEW</w:t>
      </w:r>
      <w:r w:rsidRPr="00A33A9F">
        <w:rPr>
          <w:rFonts w:cs="Arial"/>
          <w:b w:val="0"/>
          <w:bCs w:val="0"/>
          <w:i/>
          <w:iCs/>
          <w:color w:val="000000" w:themeColor="text1"/>
          <w:lang w:val="en-GB"/>
        </w:rPr>
        <w:t>: Maternal separation and early weaning</w:t>
      </w:r>
      <w:r w:rsidR="004F09FD">
        <w:rPr>
          <w:rFonts w:cs="Arial"/>
          <w:b w:val="0"/>
          <w:bCs w:val="0"/>
          <w:i/>
          <w:iCs/>
          <w:color w:val="000000" w:themeColor="text1"/>
          <w:lang w:val="en-GB"/>
        </w:rPr>
        <w:t xml:space="preserve">.  </w:t>
      </w:r>
      <w:r w:rsidR="004F09FD" w:rsidRPr="008B7481">
        <w:rPr>
          <w:rFonts w:cs="Arial"/>
          <w:i/>
          <w:iCs/>
          <w:color w:val="000000" w:themeColor="text1"/>
          <w:lang w:val="en-GB"/>
        </w:rPr>
        <w:t>PRE:</w:t>
      </w:r>
      <w:r w:rsidR="004F09FD">
        <w:rPr>
          <w:rFonts w:cs="Arial"/>
          <w:b w:val="0"/>
          <w:bCs w:val="0"/>
          <w:i/>
          <w:iCs/>
          <w:color w:val="000000" w:themeColor="text1"/>
          <w:lang w:val="en-GB"/>
        </w:rPr>
        <w:t xml:space="preserve"> Prenatal exercise.  </w:t>
      </w:r>
      <w:r w:rsidR="004F09FD" w:rsidRPr="008B7481">
        <w:rPr>
          <w:rFonts w:cs="Arial"/>
          <w:i/>
          <w:iCs/>
          <w:color w:val="000000" w:themeColor="text1"/>
          <w:lang w:val="en-GB"/>
        </w:rPr>
        <w:t>SED:</w:t>
      </w:r>
      <w:r w:rsidR="004F09FD">
        <w:rPr>
          <w:rFonts w:cs="Arial"/>
          <w:b w:val="0"/>
          <w:bCs w:val="0"/>
          <w:i/>
          <w:iCs/>
          <w:color w:val="000000" w:themeColor="text1"/>
          <w:lang w:val="en-GB"/>
        </w:rPr>
        <w:t xml:space="preserve"> Sedentary.</w:t>
      </w:r>
    </w:p>
    <w:p w14:paraId="53DA2298" w14:textId="77777777" w:rsidR="00A33A9F" w:rsidRPr="00A33A9F" w:rsidRDefault="00A33A9F" w:rsidP="00A33A9F">
      <w:pPr>
        <w:rPr>
          <w:rFonts w:cs="Arial"/>
          <w:lang w:val="en-GB"/>
        </w:rPr>
      </w:pPr>
      <w:bookmarkStart w:id="13" w:name="_Toc117681758"/>
      <w:r w:rsidRPr="00A33A9F">
        <w:rPr>
          <w:rFonts w:cs="Arial"/>
          <w:b/>
          <w:bCs/>
          <w:lang w:val="en-GB"/>
        </w:rPr>
        <w:t>A2.4</w:t>
      </w:r>
      <w:r w:rsidRPr="00A33A9F">
        <w:rPr>
          <w:rFonts w:cs="Arial"/>
          <w:b/>
          <w:bCs/>
          <w:lang w:val="en-GB"/>
        </w:rPr>
        <w:tab/>
        <w:t>Hippocampal monoamine levels and redox state</w:t>
      </w:r>
      <w:bookmarkEnd w:id="13"/>
    </w:p>
    <w:p w14:paraId="726E094B" w14:textId="0CBA9F43" w:rsidR="00A33A9F" w:rsidRPr="00A33A9F" w:rsidRDefault="00A33A9F" w:rsidP="00A33A9F">
      <w:pPr>
        <w:rPr>
          <w:rFonts w:cs="Arial"/>
          <w:szCs w:val="22"/>
          <w:lang w:val="en-GB"/>
        </w:rPr>
      </w:pPr>
      <w:r w:rsidRPr="00A33A9F">
        <w:rPr>
          <w:rFonts w:cs="Arial"/>
          <w:szCs w:val="22"/>
          <w:lang w:val="en-GB"/>
        </w:rPr>
        <w:t>For hippocampal norepinephrine (</w:t>
      </w:r>
      <w:r>
        <w:rPr>
          <w:rFonts w:cs="Arial"/>
          <w:i/>
          <w:iCs/>
          <w:szCs w:val="22"/>
          <w:lang w:val="en-GB"/>
        </w:rPr>
        <w:t>Figure S3-</w:t>
      </w:r>
      <w:r w:rsidRPr="00A33A9F">
        <w:rPr>
          <w:rFonts w:cs="Arial"/>
          <w:i/>
          <w:iCs/>
          <w:szCs w:val="22"/>
          <w:lang w:val="en-GB"/>
        </w:rPr>
        <w:t>A</w:t>
      </w:r>
      <w:r w:rsidRPr="00A33A9F">
        <w:rPr>
          <w:rFonts w:cs="Arial"/>
          <w:szCs w:val="22"/>
          <w:lang w:val="en-GB"/>
        </w:rPr>
        <w:t>), a significant three-way interaction (</w:t>
      </w:r>
      <w:r w:rsidRPr="00A33A9F">
        <w:rPr>
          <w:rFonts w:cs="Arial"/>
          <w:i/>
          <w:iCs/>
          <w:lang w:val="en-GB"/>
        </w:rPr>
        <w:t>F</w:t>
      </w:r>
      <w:r w:rsidRPr="00A33A9F">
        <w:rPr>
          <w:rFonts w:cs="Arial"/>
          <w:vertAlign w:val="subscript"/>
          <w:lang w:val="en-GB"/>
        </w:rPr>
        <w:t>1, 102</w:t>
      </w:r>
      <w:r w:rsidRPr="00A33A9F">
        <w:rPr>
          <w:rFonts w:cs="Arial"/>
          <w:lang w:val="en-GB"/>
        </w:rPr>
        <w:t xml:space="preserve"> = 18.033, </w:t>
      </w:r>
      <w:r w:rsidRPr="00A33A9F">
        <w:rPr>
          <w:rFonts w:cs="Arial"/>
          <w:i/>
          <w:iCs/>
          <w:lang w:val="en-GB"/>
        </w:rPr>
        <w:t>p</w:t>
      </w:r>
      <w:r w:rsidRPr="00A33A9F">
        <w:rPr>
          <w:rFonts w:cs="Arial"/>
          <w:lang w:val="en-GB"/>
        </w:rPr>
        <w:t xml:space="preserve"> ≤ 0.0005,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0.150) was identified, together with two-way interactions for PRE*ELA (</w:t>
      </w:r>
      <w:r w:rsidRPr="00A33A9F">
        <w:rPr>
          <w:rFonts w:cs="Arial"/>
          <w:i/>
          <w:iCs/>
          <w:lang w:val="en-GB"/>
        </w:rPr>
        <w:t>F</w:t>
      </w:r>
      <w:r w:rsidRPr="00A33A9F">
        <w:rPr>
          <w:rFonts w:cs="Arial"/>
          <w:vertAlign w:val="subscript"/>
          <w:lang w:val="en-GB"/>
        </w:rPr>
        <w:t>1, 102</w:t>
      </w:r>
      <w:r w:rsidRPr="00A33A9F">
        <w:rPr>
          <w:rFonts w:cs="Arial"/>
          <w:lang w:val="en-GB"/>
        </w:rPr>
        <w:t xml:space="preserve"> = 24.51, </w:t>
      </w:r>
      <w:r w:rsidRPr="00A33A9F">
        <w:rPr>
          <w:rFonts w:cs="Arial"/>
          <w:i/>
          <w:iCs/>
          <w:lang w:val="en-GB"/>
        </w:rPr>
        <w:t>p</w:t>
      </w:r>
      <w:r w:rsidRPr="00A33A9F">
        <w:rPr>
          <w:rFonts w:cs="Arial"/>
          <w:lang w:val="en-GB"/>
        </w:rPr>
        <w:t xml:space="preserve"> ≤ 0.0005,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0.194) and ELA*JUV (</w:t>
      </w:r>
      <w:r w:rsidRPr="00A33A9F">
        <w:rPr>
          <w:rFonts w:cs="Arial"/>
          <w:i/>
          <w:iCs/>
          <w:lang w:val="en-GB"/>
        </w:rPr>
        <w:t>F</w:t>
      </w:r>
      <w:r w:rsidRPr="00A33A9F">
        <w:rPr>
          <w:rFonts w:cs="Arial"/>
          <w:vertAlign w:val="subscript"/>
          <w:lang w:val="en-GB"/>
        </w:rPr>
        <w:t>1, 102</w:t>
      </w:r>
      <w:r w:rsidRPr="00A33A9F">
        <w:rPr>
          <w:rFonts w:cs="Arial"/>
          <w:lang w:val="en-GB"/>
        </w:rPr>
        <w:t xml:space="preserve"> = 17.17, </w:t>
      </w:r>
      <w:r w:rsidRPr="00A33A9F">
        <w:rPr>
          <w:rFonts w:cs="Arial"/>
          <w:i/>
          <w:iCs/>
          <w:lang w:val="en-GB"/>
        </w:rPr>
        <w:t>p</w:t>
      </w:r>
      <w:r w:rsidRPr="00A33A9F">
        <w:rPr>
          <w:rFonts w:cs="Arial"/>
          <w:lang w:val="en-GB"/>
        </w:rPr>
        <w:t xml:space="preserve"> ≤ 0.0005,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0.144) but not PRE*JUV (</w:t>
      </w:r>
      <w:r w:rsidRPr="00A33A9F">
        <w:rPr>
          <w:rFonts w:cs="Arial"/>
          <w:i/>
          <w:iCs/>
          <w:lang w:val="en-GB"/>
        </w:rPr>
        <w:t>F</w:t>
      </w:r>
      <w:r w:rsidRPr="00A33A9F">
        <w:rPr>
          <w:rFonts w:cs="Arial"/>
          <w:vertAlign w:val="subscript"/>
          <w:lang w:val="en-GB"/>
        </w:rPr>
        <w:t>1, 102</w:t>
      </w:r>
      <w:r w:rsidRPr="00A33A9F">
        <w:rPr>
          <w:rFonts w:cs="Arial"/>
          <w:lang w:val="en-GB"/>
        </w:rPr>
        <w:t xml:space="preserve"> = 3.54, </w:t>
      </w:r>
      <w:r w:rsidRPr="00A33A9F">
        <w:rPr>
          <w:rFonts w:cs="Arial"/>
          <w:i/>
          <w:iCs/>
          <w:lang w:val="en-GB"/>
        </w:rPr>
        <w:t>p</w:t>
      </w:r>
      <w:r w:rsidRPr="00A33A9F">
        <w:rPr>
          <w:rFonts w:cs="Arial"/>
          <w:lang w:val="en-GB"/>
        </w:rPr>
        <w:t xml:space="preserve"> = 0.063,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0.034).  Noteworthy differences that were identified by the Bonferroni multiple comparison test for the three-way interaction, included that between EXE/MSEW/EXE, SED/non-MSEW/SED (</w:t>
      </w:r>
      <w:r w:rsidRPr="00A33A9F">
        <w:rPr>
          <w:rFonts w:cs="Arial"/>
          <w:i/>
          <w:iCs/>
          <w:szCs w:val="22"/>
          <w:lang w:val="en-GB"/>
        </w:rPr>
        <w:t>p</w:t>
      </w:r>
      <w:r w:rsidRPr="00A33A9F">
        <w:rPr>
          <w:rFonts w:cs="Arial"/>
          <w:szCs w:val="22"/>
          <w:lang w:val="en-GB"/>
        </w:rPr>
        <w:t xml:space="preserve"> </w:t>
      </w:r>
      <w:r w:rsidRPr="00A33A9F">
        <w:rPr>
          <w:rFonts w:cs="Arial"/>
          <w:lang w:val="en-GB"/>
        </w:rPr>
        <w:t xml:space="preserve">≤ 0.0005,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2.7 [1.7; 4.0]), EXE/non-MSEW/EXE (</w:t>
      </w:r>
      <w:r w:rsidRPr="00A33A9F">
        <w:rPr>
          <w:rFonts w:cs="Arial"/>
          <w:i/>
          <w:iCs/>
          <w:szCs w:val="22"/>
          <w:lang w:val="en-GB"/>
        </w:rPr>
        <w:t>p</w:t>
      </w:r>
      <w:r w:rsidRPr="00A33A9F">
        <w:rPr>
          <w:rFonts w:cs="Arial"/>
          <w:szCs w:val="22"/>
          <w:lang w:val="en-GB"/>
        </w:rPr>
        <w:t xml:space="preserve"> </w:t>
      </w:r>
      <w:r w:rsidRPr="00A33A9F">
        <w:rPr>
          <w:rFonts w:cs="Arial"/>
          <w:lang w:val="en-GB"/>
        </w:rPr>
        <w:t xml:space="preserve">≤ 0.0005,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2.6 [1.6; 3.7]), and SED/MSEW/SED (</w:t>
      </w:r>
      <w:r w:rsidRPr="00A33A9F">
        <w:rPr>
          <w:rFonts w:cs="Arial"/>
          <w:i/>
          <w:iCs/>
          <w:szCs w:val="22"/>
          <w:lang w:val="en-GB"/>
        </w:rPr>
        <w:t>p</w:t>
      </w:r>
      <w:r w:rsidRPr="00A33A9F">
        <w:rPr>
          <w:rFonts w:cs="Arial"/>
          <w:szCs w:val="22"/>
          <w:lang w:val="en-GB"/>
        </w:rPr>
        <w:t xml:space="preserve"> </w:t>
      </w:r>
      <w:r w:rsidRPr="00A33A9F">
        <w:rPr>
          <w:rFonts w:cs="Arial"/>
          <w:lang w:val="en-GB"/>
        </w:rPr>
        <w:t xml:space="preserve">≤ 0.0005,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2.3 [1.3; 3.5]), respectively.</w:t>
      </w:r>
    </w:p>
    <w:p w14:paraId="0267678E" w14:textId="450ADA2F" w:rsidR="00A33A9F" w:rsidRPr="00A33A9F" w:rsidRDefault="00A33A9F" w:rsidP="00A33A9F">
      <w:pPr>
        <w:rPr>
          <w:rFonts w:cs="Arial"/>
          <w:szCs w:val="22"/>
          <w:lang w:val="en-GB"/>
        </w:rPr>
      </w:pPr>
      <w:r w:rsidRPr="00A33A9F">
        <w:rPr>
          <w:rFonts w:cs="Arial"/>
          <w:szCs w:val="22"/>
          <w:lang w:val="en-GB"/>
        </w:rPr>
        <w:t>Similarly, hippocampal serotonin levels (</w:t>
      </w:r>
      <w:r>
        <w:rPr>
          <w:rFonts w:cs="Arial"/>
          <w:i/>
          <w:iCs/>
          <w:szCs w:val="22"/>
          <w:lang w:val="en-GB"/>
        </w:rPr>
        <w:t>Figure S3-</w:t>
      </w:r>
      <w:r w:rsidRPr="00A33A9F">
        <w:rPr>
          <w:rFonts w:cs="Arial"/>
          <w:i/>
          <w:iCs/>
          <w:szCs w:val="22"/>
          <w:lang w:val="en-GB"/>
        </w:rPr>
        <w:t>B</w:t>
      </w:r>
      <w:r w:rsidRPr="00A33A9F">
        <w:rPr>
          <w:rFonts w:cs="Arial"/>
          <w:szCs w:val="22"/>
          <w:lang w:val="en-GB"/>
        </w:rPr>
        <w:t>) were also influenced by all three factors (</w:t>
      </w:r>
      <w:r w:rsidRPr="00A33A9F">
        <w:rPr>
          <w:rFonts w:cs="Arial"/>
          <w:i/>
          <w:iCs/>
          <w:lang w:val="en-GB"/>
        </w:rPr>
        <w:t>F</w:t>
      </w:r>
      <w:r w:rsidRPr="00A33A9F">
        <w:rPr>
          <w:rFonts w:cs="Arial"/>
          <w:vertAlign w:val="subscript"/>
          <w:lang w:val="en-GB"/>
        </w:rPr>
        <w:t>1, 106</w:t>
      </w:r>
      <w:r w:rsidRPr="00A33A9F">
        <w:rPr>
          <w:rFonts w:cs="Arial"/>
          <w:lang w:val="en-GB"/>
        </w:rPr>
        <w:t xml:space="preserve"> = 13.05, </w:t>
      </w:r>
      <w:r w:rsidRPr="00A33A9F">
        <w:rPr>
          <w:rFonts w:cs="Arial"/>
          <w:i/>
          <w:iCs/>
          <w:lang w:val="en-GB"/>
        </w:rPr>
        <w:t>p</w:t>
      </w:r>
      <w:r w:rsidRPr="00A33A9F">
        <w:rPr>
          <w:rFonts w:cs="Arial"/>
          <w:lang w:val="en-GB"/>
        </w:rPr>
        <w:t xml:space="preserve"> ≤ 0.0005,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0.11), with similar differences identified for norepinephrine levels.  Compared to EXE/MSEW/EXE animals, SED/non-MSEW/SED (</w:t>
      </w:r>
      <w:r w:rsidRPr="00A33A9F">
        <w:rPr>
          <w:rFonts w:cs="Arial"/>
          <w:i/>
          <w:iCs/>
          <w:szCs w:val="22"/>
          <w:lang w:val="en-GB"/>
        </w:rPr>
        <w:t>p</w:t>
      </w:r>
      <w:r w:rsidRPr="00A33A9F">
        <w:rPr>
          <w:rFonts w:cs="Arial"/>
          <w:szCs w:val="22"/>
          <w:lang w:val="en-GB"/>
        </w:rPr>
        <w:t xml:space="preserve"> </w:t>
      </w:r>
      <w:r w:rsidRPr="00A33A9F">
        <w:rPr>
          <w:rFonts w:cs="Arial"/>
          <w:lang w:val="en-GB"/>
        </w:rPr>
        <w:t xml:space="preserve">≤ 0.0005,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xml:space="preserve">= 1.4 </w:t>
      </w:r>
      <w:r w:rsidRPr="00A33A9F">
        <w:rPr>
          <w:rFonts w:cs="Arial"/>
          <w:szCs w:val="22"/>
          <w:lang w:val="en-GB"/>
        </w:rPr>
        <w:lastRenderedPageBreak/>
        <w:t>[0.6; 2.3]), non-EXE/MSEW/EXE (</w:t>
      </w:r>
      <w:r w:rsidRPr="00A33A9F">
        <w:rPr>
          <w:rFonts w:cs="Arial"/>
          <w:i/>
          <w:iCs/>
          <w:szCs w:val="22"/>
          <w:lang w:val="en-GB"/>
        </w:rPr>
        <w:t>p</w:t>
      </w:r>
      <w:r w:rsidRPr="00A33A9F">
        <w:rPr>
          <w:rFonts w:cs="Arial"/>
          <w:szCs w:val="22"/>
          <w:lang w:val="en-GB"/>
        </w:rPr>
        <w:t xml:space="preserve"> </w:t>
      </w:r>
      <w:r w:rsidRPr="00A33A9F">
        <w:rPr>
          <w:rFonts w:cs="Arial"/>
          <w:lang w:val="en-GB"/>
        </w:rPr>
        <w:t xml:space="preserve">≤ 0.0005,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1.7 [0.8; 2.6]), and SED/MSEW/SED (</w:t>
      </w:r>
      <w:r w:rsidRPr="00A33A9F">
        <w:rPr>
          <w:rFonts w:cs="Arial"/>
          <w:i/>
          <w:iCs/>
          <w:szCs w:val="22"/>
          <w:lang w:val="en-GB"/>
        </w:rPr>
        <w:t>p</w:t>
      </w:r>
      <w:r w:rsidRPr="00A33A9F">
        <w:rPr>
          <w:rFonts w:cs="Arial"/>
          <w:szCs w:val="22"/>
          <w:lang w:val="en-GB"/>
        </w:rPr>
        <w:t xml:space="preserve"> </w:t>
      </w:r>
      <w:r w:rsidRPr="00A33A9F">
        <w:rPr>
          <w:rFonts w:cs="Arial"/>
          <w:lang w:val="en-GB"/>
        </w:rPr>
        <w:t xml:space="preserve">≤ 0.0005,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1.4 [0.6; 2.3]) differed significantly.</w:t>
      </w:r>
    </w:p>
    <w:p w14:paraId="1277616D" w14:textId="6B2F45D3" w:rsidR="00A33A9F" w:rsidRPr="00A33A9F" w:rsidRDefault="00A33A9F" w:rsidP="00570E71">
      <w:pPr>
        <w:rPr>
          <w:rFonts w:cs="Arial"/>
          <w:szCs w:val="22"/>
          <w:lang w:val="en-GB"/>
        </w:rPr>
      </w:pPr>
      <w:r w:rsidRPr="00A33A9F">
        <w:rPr>
          <w:rFonts w:cs="Arial"/>
          <w:szCs w:val="22"/>
          <w:lang w:val="en-GB"/>
        </w:rPr>
        <w:t>Hippocampal serotonin turnover (</w:t>
      </w:r>
      <w:r>
        <w:rPr>
          <w:rFonts w:cs="Arial"/>
          <w:i/>
          <w:iCs/>
          <w:szCs w:val="22"/>
          <w:lang w:val="en-GB"/>
        </w:rPr>
        <w:t>Figure S4-</w:t>
      </w:r>
      <w:r w:rsidRPr="00A33A9F">
        <w:rPr>
          <w:rFonts w:cs="Arial"/>
          <w:i/>
          <w:iCs/>
          <w:szCs w:val="22"/>
          <w:lang w:val="en-GB"/>
        </w:rPr>
        <w:t>A</w:t>
      </w:r>
      <w:r w:rsidRPr="00A33A9F">
        <w:rPr>
          <w:rFonts w:cs="Arial"/>
          <w:szCs w:val="22"/>
          <w:lang w:val="en-GB"/>
        </w:rPr>
        <w:t>) was only influenced by PRE (</w:t>
      </w:r>
      <w:r w:rsidRPr="00A33A9F">
        <w:rPr>
          <w:rFonts w:cs="Arial"/>
          <w:i/>
          <w:iCs/>
          <w:lang w:val="en-GB"/>
        </w:rPr>
        <w:t>F</w:t>
      </w:r>
      <w:r w:rsidRPr="00A33A9F">
        <w:rPr>
          <w:rFonts w:cs="Arial"/>
          <w:vertAlign w:val="subscript"/>
          <w:lang w:val="en-GB"/>
        </w:rPr>
        <w:t>1, 106</w:t>
      </w:r>
      <w:r w:rsidRPr="00A33A9F">
        <w:rPr>
          <w:rFonts w:cs="Arial"/>
          <w:lang w:val="en-GB"/>
        </w:rPr>
        <w:t xml:space="preserve"> = 6.44, </w:t>
      </w:r>
      <w:r w:rsidRPr="00A33A9F">
        <w:rPr>
          <w:rFonts w:cs="Arial"/>
          <w:i/>
          <w:iCs/>
          <w:lang w:val="en-GB"/>
        </w:rPr>
        <w:t>p</w:t>
      </w:r>
      <w:r w:rsidRPr="00A33A9F">
        <w:rPr>
          <w:rFonts w:cs="Arial"/>
          <w:lang w:val="en-GB"/>
        </w:rPr>
        <w:t xml:space="preserve"> = 0.013, </w:t>
      </w:r>
      <w:r w:rsidRPr="00A33A9F">
        <w:rPr>
          <w:rFonts w:cs="Arial"/>
          <w:i/>
          <w:iCs/>
          <w:szCs w:val="22"/>
          <w:lang w:val="en-GB"/>
        </w:rPr>
        <w:t>η</w:t>
      </w:r>
      <w:r w:rsidRPr="00A33A9F">
        <w:rPr>
          <w:rFonts w:cs="Arial"/>
          <w:i/>
          <w:iCs/>
          <w:szCs w:val="22"/>
          <w:vertAlign w:val="subscript"/>
          <w:lang w:val="en-GB"/>
        </w:rPr>
        <w:t>p</w:t>
      </w:r>
      <w:r w:rsidRPr="00A33A9F">
        <w:rPr>
          <w:rFonts w:cs="Arial"/>
          <w:i/>
          <w:iCs/>
          <w:szCs w:val="22"/>
          <w:vertAlign w:val="superscript"/>
          <w:lang w:val="en-GB"/>
        </w:rPr>
        <w:t>2</w:t>
      </w:r>
      <w:r w:rsidRPr="00A33A9F">
        <w:rPr>
          <w:rFonts w:cs="Arial"/>
          <w:szCs w:val="22"/>
          <w:lang w:val="en-GB"/>
        </w:rPr>
        <w:t xml:space="preserve"> = 0.06), so that pups born to a dam that exercised during the prenatal period (regardless of ELA and JUV), had lower 5</w:t>
      </w:r>
      <w:r w:rsidR="00B817BF">
        <w:rPr>
          <w:rFonts w:cs="Arial"/>
          <w:szCs w:val="22"/>
          <w:lang w:val="en-GB"/>
        </w:rPr>
        <w:t>-</w:t>
      </w:r>
      <w:r w:rsidRPr="00A33A9F">
        <w:rPr>
          <w:rFonts w:cs="Arial"/>
          <w:szCs w:val="22"/>
          <w:lang w:val="en-GB"/>
        </w:rPr>
        <w:t>HIAA/5</w:t>
      </w:r>
      <w:r w:rsidR="00B817BF">
        <w:rPr>
          <w:rFonts w:cs="Arial"/>
          <w:szCs w:val="22"/>
          <w:lang w:val="en-GB"/>
        </w:rPr>
        <w:t>-</w:t>
      </w:r>
      <w:r w:rsidRPr="00A33A9F">
        <w:rPr>
          <w:rFonts w:cs="Arial"/>
          <w:szCs w:val="22"/>
          <w:lang w:val="en-GB"/>
        </w:rPr>
        <w:t>HT values, when compared to those born to a sedentary dam (</w:t>
      </w:r>
      <w:r w:rsidRPr="00A33A9F">
        <w:rPr>
          <w:rFonts w:cs="Arial"/>
          <w:i/>
          <w:iCs/>
          <w:szCs w:val="22"/>
          <w:lang w:val="en-GB"/>
        </w:rPr>
        <w:t>d</w:t>
      </w:r>
      <w:r w:rsidRPr="00A33A9F">
        <w:rPr>
          <w:rFonts w:cs="Arial"/>
          <w:i/>
          <w:iCs/>
          <w:szCs w:val="22"/>
          <w:vertAlign w:val="subscript"/>
          <w:lang w:val="en-GB"/>
        </w:rPr>
        <w:t>unb</w:t>
      </w:r>
      <w:r w:rsidRPr="00A33A9F">
        <w:rPr>
          <w:rFonts w:cs="Arial"/>
          <w:i/>
          <w:iCs/>
          <w:szCs w:val="22"/>
          <w:lang w:val="en-GB"/>
        </w:rPr>
        <w:t xml:space="preserve"> </w:t>
      </w:r>
      <w:r w:rsidRPr="00A33A9F">
        <w:rPr>
          <w:rFonts w:cs="Arial"/>
          <w:szCs w:val="22"/>
          <w:lang w:val="en-GB"/>
        </w:rPr>
        <w:t>= 0.5 [0.1; 0.9]).</w:t>
      </w:r>
    </w:p>
    <w:p w14:paraId="08E13E0F" w14:textId="47D6F24B" w:rsidR="00A33A9F" w:rsidRPr="00A33A9F" w:rsidRDefault="004931B4" w:rsidP="00A33A9F">
      <w:pPr>
        <w:keepNext/>
        <w:spacing w:after="0"/>
        <w:jc w:val="center"/>
        <w:rPr>
          <w:rFonts w:cs="Arial"/>
          <w:lang w:val="en-GB"/>
        </w:rPr>
      </w:pPr>
      <w:r w:rsidRPr="00A33A9F">
        <w:rPr>
          <w:rFonts w:cs="Arial"/>
          <w:noProof/>
          <w:lang w:val="en-GB"/>
        </w:rPr>
        <w:object w:dxaOrig="11609" w:dyaOrig="4618" w14:anchorId="00647654">
          <v:shape id="_x0000_i1027" type="#_x0000_t75" alt="" style="width:420.7pt;height:169.8pt" o:ole="" o:bordertopcolor="this" o:borderleftcolor="this" o:borderbottomcolor="this" o:borderrightcolor="this">
            <v:imagedata r:id="rId12" o:title=""/>
            <w10:bordertop type="single" width="8"/>
            <w10:borderleft type="single" width="8"/>
            <w10:borderbottom type="single" width="8"/>
            <w10:borderright type="single" width="8"/>
          </v:shape>
          <o:OLEObject Type="Embed" ProgID="Prism10.Document" ShapeID="_x0000_i1027" DrawAspect="Content" ObjectID="_1754294310" r:id="rId13"/>
        </w:object>
      </w:r>
    </w:p>
    <w:p w14:paraId="4416866A" w14:textId="7345196D" w:rsidR="00A33A9F" w:rsidRPr="00A33A9F" w:rsidRDefault="00A33A9F" w:rsidP="00A33A9F">
      <w:pPr>
        <w:pStyle w:val="Caption"/>
        <w:spacing w:after="0"/>
        <w:jc w:val="center"/>
        <w:rPr>
          <w:rFonts w:cs="Arial"/>
          <w:color w:val="auto"/>
          <w:lang w:val="en-GB"/>
        </w:rPr>
      </w:pPr>
      <w:bookmarkStart w:id="14" w:name="_Ref117674851"/>
      <w:bookmarkStart w:id="15" w:name="_Toc118889414"/>
      <w:r w:rsidRPr="00A33A9F">
        <w:rPr>
          <w:rFonts w:cs="Arial"/>
          <w:color w:val="auto"/>
          <w:lang w:val="en-GB"/>
        </w:rPr>
        <w:t xml:space="preserve">Figure </w:t>
      </w:r>
      <w:bookmarkEnd w:id="14"/>
      <w:r>
        <w:rPr>
          <w:rFonts w:cs="Arial"/>
          <w:color w:val="auto"/>
          <w:lang w:val="en-GB"/>
        </w:rPr>
        <w:t>S3</w:t>
      </w:r>
      <w:r w:rsidRPr="00A33A9F">
        <w:rPr>
          <w:rFonts w:cs="Arial"/>
          <w:color w:val="auto"/>
          <w:lang w:val="en-GB"/>
        </w:rPr>
        <w:t>: Significant two-way interaction for hippocampal monoamine levels (supplementary)</w:t>
      </w:r>
      <w:bookmarkEnd w:id="15"/>
    </w:p>
    <w:p w14:paraId="2F2F567E" w14:textId="13319BF2" w:rsidR="00064BFF" w:rsidRPr="008B7481" w:rsidRDefault="00A33A9F" w:rsidP="00A33A9F">
      <w:pPr>
        <w:spacing w:line="240" w:lineRule="auto"/>
        <w:jc w:val="center"/>
        <w:rPr>
          <w:rFonts w:cs="Arial"/>
          <w:i/>
          <w:iCs/>
          <w:sz w:val="18"/>
          <w:szCs w:val="18"/>
          <w:lang w:val="en-GB"/>
        </w:rPr>
      </w:pPr>
      <w:r w:rsidRPr="008B7481">
        <w:rPr>
          <w:rFonts w:cs="Arial"/>
          <w:b/>
          <w:bCs/>
          <w:i/>
          <w:iCs/>
          <w:sz w:val="18"/>
          <w:szCs w:val="18"/>
          <w:lang w:val="en-GB"/>
        </w:rPr>
        <w:t>(A)</w:t>
      </w:r>
      <w:r w:rsidRPr="008B7481">
        <w:rPr>
          <w:rFonts w:cs="Arial"/>
          <w:sz w:val="18"/>
          <w:szCs w:val="18"/>
          <w:lang w:val="en-GB"/>
        </w:rPr>
        <w:t xml:space="preserve"> Hippocampal norepinephrine </w:t>
      </w:r>
      <w:r w:rsidRPr="008B7481">
        <w:rPr>
          <w:rFonts w:cs="Arial"/>
          <w:i/>
          <w:iCs/>
          <w:sz w:val="18"/>
          <w:szCs w:val="18"/>
          <w:lang w:val="en-GB"/>
        </w:rPr>
        <w:t xml:space="preserve">and </w:t>
      </w:r>
      <w:r w:rsidRPr="008B7481">
        <w:rPr>
          <w:rFonts w:cs="Arial"/>
          <w:b/>
          <w:bCs/>
          <w:i/>
          <w:iCs/>
          <w:sz w:val="18"/>
          <w:szCs w:val="18"/>
          <w:lang w:val="en-GB"/>
        </w:rPr>
        <w:t>(B)</w:t>
      </w:r>
      <w:r w:rsidRPr="008B7481">
        <w:rPr>
          <w:rFonts w:cs="Arial"/>
          <w:i/>
          <w:iCs/>
          <w:sz w:val="18"/>
          <w:szCs w:val="18"/>
          <w:lang w:val="en-GB"/>
        </w:rPr>
        <w:t xml:space="preserve"> serotonin levels of the FSL rats. Data points represent the mean ± 95 % CI, with male and female indicated in blue and pink respectively.  Statistical analyses are reported in the text.  </w:t>
      </w:r>
      <w:r w:rsidR="008B7481" w:rsidRPr="008B7481">
        <w:rPr>
          <w:rFonts w:cs="Arial"/>
          <w:b/>
          <w:bCs/>
          <w:i/>
          <w:iCs/>
          <w:color w:val="000000" w:themeColor="text1"/>
          <w:sz w:val="18"/>
          <w:szCs w:val="18"/>
          <w:lang w:val="en-GB"/>
        </w:rPr>
        <w:t>EXE:</w:t>
      </w:r>
      <w:r w:rsidR="008B7481" w:rsidRPr="008B7481">
        <w:rPr>
          <w:rFonts w:cs="Arial"/>
          <w:i/>
          <w:iCs/>
          <w:color w:val="000000" w:themeColor="text1"/>
          <w:sz w:val="18"/>
          <w:szCs w:val="18"/>
          <w:lang w:val="en-GB"/>
        </w:rPr>
        <w:t xml:space="preserve"> Low intensity exercise.  </w:t>
      </w:r>
      <w:r w:rsidR="008B7481" w:rsidRPr="008B7481">
        <w:rPr>
          <w:rFonts w:cs="Arial"/>
          <w:b/>
          <w:bCs/>
          <w:i/>
          <w:iCs/>
          <w:color w:val="000000" w:themeColor="text1"/>
          <w:sz w:val="18"/>
          <w:szCs w:val="18"/>
          <w:lang w:val="en-GB"/>
        </w:rPr>
        <w:t>JUV:</w:t>
      </w:r>
      <w:r w:rsidR="008B7481" w:rsidRPr="008B7481">
        <w:rPr>
          <w:rFonts w:cs="Arial"/>
          <w:i/>
          <w:iCs/>
          <w:color w:val="000000" w:themeColor="text1"/>
          <w:sz w:val="18"/>
          <w:szCs w:val="18"/>
          <w:lang w:val="en-GB"/>
        </w:rPr>
        <w:t xml:space="preserve"> Juvenile exercise.  </w:t>
      </w:r>
      <w:r w:rsidR="008B7481" w:rsidRPr="008B7481">
        <w:rPr>
          <w:rFonts w:cs="Arial"/>
          <w:b/>
          <w:bCs/>
          <w:i/>
          <w:iCs/>
          <w:color w:val="000000" w:themeColor="text1"/>
          <w:sz w:val="18"/>
          <w:szCs w:val="18"/>
          <w:lang w:val="en-GB"/>
        </w:rPr>
        <w:t>MSEW:</w:t>
      </w:r>
      <w:r w:rsidR="008B7481" w:rsidRPr="008B7481">
        <w:rPr>
          <w:rFonts w:cs="Arial"/>
          <w:i/>
          <w:iCs/>
          <w:color w:val="000000" w:themeColor="text1"/>
          <w:sz w:val="18"/>
          <w:szCs w:val="18"/>
          <w:lang w:val="en-GB"/>
        </w:rPr>
        <w:t xml:space="preserve"> Maternal separation and early weaning.  </w:t>
      </w:r>
      <w:r w:rsidR="008B7481" w:rsidRPr="008B7481">
        <w:rPr>
          <w:rFonts w:cs="Arial"/>
          <w:b/>
          <w:bCs/>
          <w:i/>
          <w:iCs/>
          <w:color w:val="000000" w:themeColor="text1"/>
          <w:sz w:val="18"/>
          <w:szCs w:val="18"/>
          <w:lang w:val="en-GB"/>
        </w:rPr>
        <w:t>PRE:</w:t>
      </w:r>
      <w:r w:rsidR="008B7481" w:rsidRPr="008B7481">
        <w:rPr>
          <w:rFonts w:cs="Arial"/>
          <w:i/>
          <w:iCs/>
          <w:color w:val="000000" w:themeColor="text1"/>
          <w:sz w:val="18"/>
          <w:szCs w:val="18"/>
          <w:lang w:val="en-GB"/>
        </w:rPr>
        <w:t xml:space="preserve"> Prenatal exercise.  </w:t>
      </w:r>
      <w:r w:rsidR="008B7481" w:rsidRPr="008B7481">
        <w:rPr>
          <w:rFonts w:cs="Arial"/>
          <w:b/>
          <w:bCs/>
          <w:i/>
          <w:iCs/>
          <w:color w:val="000000" w:themeColor="text1"/>
          <w:sz w:val="18"/>
          <w:szCs w:val="18"/>
          <w:lang w:val="en-GB"/>
        </w:rPr>
        <w:t>SED:</w:t>
      </w:r>
      <w:r w:rsidR="008B7481" w:rsidRPr="008B7481">
        <w:rPr>
          <w:rFonts w:cs="Arial"/>
          <w:i/>
          <w:iCs/>
          <w:color w:val="000000" w:themeColor="text1"/>
          <w:sz w:val="18"/>
          <w:szCs w:val="18"/>
          <w:lang w:val="en-GB"/>
        </w:rPr>
        <w:t xml:space="preserve"> Sedentary</w:t>
      </w:r>
      <w:r w:rsidRPr="008B7481">
        <w:rPr>
          <w:rFonts w:cs="Arial"/>
          <w:i/>
          <w:iCs/>
          <w:sz w:val="18"/>
          <w:szCs w:val="18"/>
          <w:lang w:val="en-GB"/>
        </w:rPr>
        <w:t>.</w:t>
      </w:r>
    </w:p>
    <w:p w14:paraId="1A9AEB2A" w14:textId="03E86FBA" w:rsidR="00064BFF" w:rsidRDefault="00064BFF" w:rsidP="00064BFF">
      <w:pPr>
        <w:rPr>
          <w:rFonts w:cs="Arial"/>
          <w:i/>
          <w:iCs/>
          <w:sz w:val="18"/>
          <w:szCs w:val="18"/>
          <w:lang w:val="en-GB"/>
        </w:rPr>
      </w:pPr>
      <w:r w:rsidRPr="00064BFF">
        <w:rPr>
          <w:rFonts w:cs="Arial"/>
        </w:rPr>
        <w:t>As for hippocampal redox state (</w:t>
      </w:r>
      <w:r w:rsidRPr="00064BFF">
        <w:rPr>
          <w:rFonts w:cs="Arial"/>
          <w:i/>
          <w:iCs/>
        </w:rPr>
        <w:t>Figure S4-B</w:t>
      </w:r>
      <w:r w:rsidRPr="00064BFF">
        <w:rPr>
          <w:rFonts w:cs="Arial"/>
        </w:rPr>
        <w:t>), PRE (</w:t>
      </w:r>
      <w:r w:rsidRPr="00064BFF">
        <w:rPr>
          <w:rFonts w:cs="Arial"/>
          <w:i/>
          <w:iCs/>
        </w:rPr>
        <w:t>F</w:t>
      </w:r>
      <w:r w:rsidRPr="00064BFF">
        <w:rPr>
          <w:rFonts w:cs="Arial"/>
          <w:vertAlign w:val="subscript"/>
        </w:rPr>
        <w:t>1, 106</w:t>
      </w:r>
      <w:r w:rsidRPr="00064BFF">
        <w:rPr>
          <w:rFonts w:cs="Arial"/>
        </w:rPr>
        <w:t xml:space="preserve"> = 41.30, </w:t>
      </w:r>
      <w:r w:rsidRPr="00064BFF">
        <w:rPr>
          <w:rFonts w:cs="Arial"/>
          <w:i/>
          <w:iCs/>
        </w:rPr>
        <w:t>p</w:t>
      </w:r>
      <w:r w:rsidRPr="00064BFF">
        <w:rPr>
          <w:rFonts w:cs="Arial"/>
        </w:rPr>
        <w:t xml:space="preserve"> ≤ 0.0005, </w:t>
      </w:r>
      <w:r w:rsidRPr="00064BFF">
        <w:rPr>
          <w:rFonts w:cs="Arial"/>
          <w:i/>
          <w:iCs/>
        </w:rPr>
        <w:t>η</w:t>
      </w:r>
      <w:r w:rsidRPr="00064BFF">
        <w:rPr>
          <w:rFonts w:cs="Arial"/>
          <w:i/>
          <w:iCs/>
          <w:vertAlign w:val="subscript"/>
        </w:rPr>
        <w:t>p</w:t>
      </w:r>
      <w:r w:rsidRPr="00064BFF">
        <w:rPr>
          <w:rFonts w:cs="Arial"/>
          <w:i/>
          <w:iCs/>
          <w:vertAlign w:val="superscript"/>
        </w:rPr>
        <w:t>2</w:t>
      </w:r>
      <w:r w:rsidRPr="00064BFF">
        <w:rPr>
          <w:rFonts w:cs="Arial"/>
        </w:rPr>
        <w:t xml:space="preserve"> = 0.28), independently influenced GSH/GSSG ratio, in addition to the mentioned JUV (</w:t>
      </w:r>
      <w:r w:rsidRPr="00064BFF">
        <w:rPr>
          <w:rFonts w:cs="Arial"/>
          <w:i/>
          <w:iCs/>
        </w:rPr>
        <w:t>F</w:t>
      </w:r>
      <w:r w:rsidRPr="00064BFF">
        <w:rPr>
          <w:rFonts w:cs="Arial"/>
          <w:vertAlign w:val="subscript"/>
        </w:rPr>
        <w:t>1, 106</w:t>
      </w:r>
      <w:r w:rsidRPr="00064BFF">
        <w:rPr>
          <w:rFonts w:cs="Arial"/>
        </w:rPr>
        <w:t xml:space="preserve"> = 35.25, </w:t>
      </w:r>
      <w:r w:rsidRPr="00064BFF">
        <w:rPr>
          <w:rFonts w:cs="Arial"/>
          <w:i/>
          <w:iCs/>
        </w:rPr>
        <w:t>p</w:t>
      </w:r>
      <w:r w:rsidRPr="00064BFF">
        <w:rPr>
          <w:rFonts w:cs="Arial"/>
        </w:rPr>
        <w:t xml:space="preserve"> ≤ 0.0005, </w:t>
      </w:r>
      <w:r w:rsidRPr="00064BFF">
        <w:rPr>
          <w:rFonts w:cs="Arial"/>
          <w:i/>
          <w:iCs/>
        </w:rPr>
        <w:t>η</w:t>
      </w:r>
      <w:r w:rsidRPr="00064BFF">
        <w:rPr>
          <w:rFonts w:cs="Arial"/>
          <w:i/>
          <w:iCs/>
          <w:vertAlign w:val="subscript"/>
        </w:rPr>
        <w:t>p</w:t>
      </w:r>
      <w:r w:rsidRPr="00064BFF">
        <w:rPr>
          <w:rFonts w:cs="Arial"/>
          <w:i/>
          <w:iCs/>
          <w:vertAlign w:val="superscript"/>
        </w:rPr>
        <w:t>2</w:t>
      </w:r>
      <w:r w:rsidRPr="00064BFF">
        <w:rPr>
          <w:rFonts w:cs="Arial"/>
        </w:rPr>
        <w:t xml:space="preserve"> = 0.25) influence.  In this regard, PRE (irrespective of ELA and JUV) increased hippocampal GSH/GSSG ratio, when compared to their respective control groups (</w:t>
      </w:r>
      <w:r w:rsidRPr="00064BFF">
        <w:rPr>
          <w:rFonts w:cs="Arial"/>
          <w:i/>
          <w:iCs/>
        </w:rPr>
        <w:t>d</w:t>
      </w:r>
      <w:r w:rsidRPr="00064BFF">
        <w:rPr>
          <w:rFonts w:cs="Arial"/>
          <w:i/>
          <w:iCs/>
          <w:vertAlign w:val="subscript"/>
        </w:rPr>
        <w:t>unb</w:t>
      </w:r>
      <w:r w:rsidRPr="00064BFF">
        <w:rPr>
          <w:rFonts w:cs="Arial"/>
          <w:i/>
          <w:iCs/>
        </w:rPr>
        <w:t xml:space="preserve"> </w:t>
      </w:r>
      <w:r w:rsidRPr="00064BFF">
        <w:rPr>
          <w:rFonts w:cs="Arial"/>
        </w:rPr>
        <w:t>= 1.03 [0.7; 1.4].</w:t>
      </w:r>
    </w:p>
    <w:p w14:paraId="66B33D4F" w14:textId="77777777" w:rsidR="00064BFF" w:rsidRDefault="00064BFF">
      <w:pPr>
        <w:spacing w:after="0" w:line="240" w:lineRule="auto"/>
        <w:jc w:val="left"/>
        <w:rPr>
          <w:rFonts w:cs="Arial"/>
          <w:i/>
          <w:iCs/>
          <w:sz w:val="18"/>
          <w:szCs w:val="18"/>
          <w:lang w:val="en-GB"/>
        </w:rPr>
      </w:pPr>
      <w:r>
        <w:rPr>
          <w:rFonts w:cs="Arial"/>
          <w:i/>
          <w:iCs/>
          <w:sz w:val="18"/>
          <w:szCs w:val="18"/>
          <w:lang w:val="en-GB"/>
        </w:rPr>
        <w:br w:type="page"/>
      </w:r>
    </w:p>
    <w:p w14:paraId="69AC4DC5" w14:textId="77777777" w:rsidR="00A33A9F" w:rsidRPr="00A33A9F" w:rsidRDefault="00A33A9F" w:rsidP="00A33A9F">
      <w:pPr>
        <w:spacing w:line="240" w:lineRule="auto"/>
        <w:jc w:val="center"/>
        <w:rPr>
          <w:rFonts w:cs="Arial"/>
          <w:i/>
          <w:iCs/>
          <w:sz w:val="18"/>
          <w:szCs w:val="16"/>
          <w:lang w:val="en-GB"/>
        </w:rPr>
      </w:pPr>
    </w:p>
    <w:p w14:paraId="4615EC46" w14:textId="77777777" w:rsidR="00A33A9F" w:rsidRPr="00A33A9F" w:rsidRDefault="00A33A9F" w:rsidP="00A33A9F">
      <w:pPr>
        <w:keepNext/>
        <w:spacing w:after="0"/>
        <w:jc w:val="center"/>
        <w:rPr>
          <w:rFonts w:cs="Arial"/>
          <w:lang w:val="en-GB"/>
        </w:rPr>
      </w:pPr>
      <w:r w:rsidRPr="00A33A9F">
        <w:rPr>
          <w:rFonts w:cs="Arial"/>
          <w:noProof/>
          <w:lang w:val="en-GB"/>
        </w:rPr>
        <w:object w:dxaOrig="12598" w:dyaOrig="7675" w14:anchorId="291C2273">
          <v:shape id="_x0000_i1028" type="#_x0000_t75" alt="" style="width:391.7pt;height:238.05pt;mso-width-percent:0;mso-height-percent:0;mso-width-percent:0;mso-height-percent:0" o:ole="" o:bordertopcolor="this" o:borderleftcolor="this" o:borderbottomcolor="this" o:borderrightcolor="this">
            <v:imagedata r:id="rId14" o:title=""/>
            <w10:bordertop type="single" width="8"/>
            <w10:borderleft type="single" width="8"/>
            <w10:borderbottom type="single" width="8"/>
            <w10:borderright type="single" width="8"/>
          </v:shape>
          <o:OLEObject Type="Embed" ProgID="Prism9.Document" ShapeID="_x0000_i1028" DrawAspect="Content" ObjectID="_1754294311" r:id="rId15"/>
        </w:object>
      </w:r>
    </w:p>
    <w:p w14:paraId="521624BA" w14:textId="4D94B04D" w:rsidR="00A33A9F" w:rsidRPr="00A33A9F" w:rsidRDefault="00A33A9F" w:rsidP="00A33A9F">
      <w:pPr>
        <w:pStyle w:val="Caption"/>
        <w:spacing w:after="0"/>
        <w:jc w:val="center"/>
        <w:rPr>
          <w:rFonts w:cs="Arial"/>
          <w:color w:val="auto"/>
          <w:lang w:val="en-GB"/>
        </w:rPr>
      </w:pPr>
      <w:bookmarkStart w:id="16" w:name="_Ref117678165"/>
      <w:bookmarkStart w:id="17" w:name="_Toc118889415"/>
      <w:r w:rsidRPr="00A33A9F">
        <w:rPr>
          <w:rFonts w:cs="Arial"/>
          <w:color w:val="auto"/>
          <w:lang w:val="en-GB"/>
        </w:rPr>
        <w:t xml:space="preserve">Figure </w:t>
      </w:r>
      <w:bookmarkEnd w:id="16"/>
      <w:r>
        <w:rPr>
          <w:rFonts w:cs="Arial"/>
          <w:color w:val="auto"/>
          <w:lang w:val="en-GB"/>
        </w:rPr>
        <w:t>S4</w:t>
      </w:r>
      <w:r w:rsidRPr="00A33A9F">
        <w:rPr>
          <w:rFonts w:cs="Arial"/>
          <w:color w:val="auto"/>
          <w:lang w:val="en-GB"/>
        </w:rPr>
        <w:t>: Significant two-way interaction for hippocampal serotonin turnover and redox state (supplementary)</w:t>
      </w:r>
      <w:bookmarkEnd w:id="17"/>
    </w:p>
    <w:p w14:paraId="368BD19B" w14:textId="77777777" w:rsidR="00A33A9F" w:rsidRPr="00A33A9F" w:rsidRDefault="00A33A9F" w:rsidP="00A33A9F">
      <w:pPr>
        <w:spacing w:line="240" w:lineRule="auto"/>
        <w:jc w:val="center"/>
        <w:rPr>
          <w:rFonts w:cs="Arial"/>
          <w:i/>
          <w:iCs/>
          <w:sz w:val="18"/>
          <w:szCs w:val="16"/>
          <w:lang w:val="en-GB"/>
        </w:rPr>
      </w:pPr>
      <w:r w:rsidRPr="00A33A9F">
        <w:rPr>
          <w:rFonts w:cs="Arial"/>
          <w:b/>
          <w:bCs/>
          <w:i/>
          <w:iCs/>
          <w:sz w:val="18"/>
          <w:szCs w:val="16"/>
          <w:lang w:val="en-GB"/>
        </w:rPr>
        <w:t>(A)</w:t>
      </w:r>
      <w:r w:rsidRPr="00A33A9F">
        <w:rPr>
          <w:rFonts w:cs="Arial"/>
          <w:i/>
          <w:iCs/>
          <w:sz w:val="18"/>
          <w:szCs w:val="16"/>
          <w:lang w:val="en-GB"/>
        </w:rPr>
        <w:t xml:space="preserve"> Hippocampal serotonin turnover</w:t>
      </w:r>
      <w:r w:rsidRPr="00A33A9F">
        <w:rPr>
          <w:rFonts w:cs="Arial"/>
          <w:b/>
          <w:bCs/>
          <w:i/>
          <w:iCs/>
          <w:sz w:val="18"/>
          <w:szCs w:val="16"/>
          <w:lang w:val="en-GB"/>
        </w:rPr>
        <w:t xml:space="preserve"> </w:t>
      </w:r>
      <w:r w:rsidRPr="00A33A9F">
        <w:rPr>
          <w:rFonts w:cs="Arial"/>
          <w:i/>
          <w:iCs/>
          <w:sz w:val="18"/>
          <w:szCs w:val="16"/>
          <w:lang w:val="en-GB"/>
        </w:rPr>
        <w:t>(5HIAA/5HT) and (B) redox state (GSH/GSSG) of FSL rats on PND38, regardless of juvenile (prepubertal) exercise. Data points represent the mean ± 95 % CI, with male and female indicated in blue and pink respectively.</w:t>
      </w:r>
      <w:r w:rsidRPr="00A33A9F">
        <w:rPr>
          <w:rFonts w:cs="Arial"/>
          <w:i/>
          <w:iCs/>
          <w:sz w:val="18"/>
          <w:szCs w:val="16"/>
          <w:vertAlign w:val="superscript"/>
          <w:lang w:val="en-GB"/>
        </w:rPr>
        <w:t xml:space="preserve"> </w:t>
      </w:r>
      <w:r w:rsidRPr="00A33A9F">
        <w:rPr>
          <w:rFonts w:cs="Arial"/>
          <w:i/>
          <w:iCs/>
          <w:sz w:val="18"/>
          <w:szCs w:val="16"/>
          <w:lang w:val="en-GB"/>
        </w:rPr>
        <w:t>Statistical analyses are reported in the text.</w:t>
      </w:r>
      <w:r w:rsidRPr="00A33A9F">
        <w:rPr>
          <w:rFonts w:cs="Arial"/>
          <w:sz w:val="18"/>
          <w:szCs w:val="12"/>
          <w:lang w:val="en-GB"/>
        </w:rPr>
        <w:t xml:space="preserve"> </w:t>
      </w:r>
      <w:r w:rsidRPr="00A33A9F">
        <w:rPr>
          <w:rFonts w:cs="Arial"/>
          <w:b/>
          <w:bCs/>
          <w:i/>
          <w:iCs/>
          <w:sz w:val="18"/>
          <w:szCs w:val="12"/>
          <w:lang w:val="en-GB"/>
        </w:rPr>
        <w:t>EXE:</w:t>
      </w:r>
      <w:r w:rsidRPr="00A33A9F">
        <w:rPr>
          <w:rFonts w:cs="Arial"/>
          <w:i/>
          <w:iCs/>
          <w:sz w:val="18"/>
          <w:szCs w:val="12"/>
          <w:lang w:val="en-GB"/>
        </w:rPr>
        <w:t xml:space="preserve"> Low-intensity exercise.  </w:t>
      </w:r>
      <w:r w:rsidRPr="00A33A9F">
        <w:rPr>
          <w:rFonts w:cs="Arial"/>
          <w:b/>
          <w:bCs/>
          <w:i/>
          <w:iCs/>
          <w:sz w:val="18"/>
          <w:szCs w:val="12"/>
          <w:lang w:val="en-GB"/>
        </w:rPr>
        <w:t>SED:</w:t>
      </w:r>
      <w:r w:rsidRPr="00A33A9F">
        <w:rPr>
          <w:rFonts w:cs="Arial"/>
          <w:i/>
          <w:iCs/>
          <w:sz w:val="18"/>
          <w:szCs w:val="12"/>
          <w:lang w:val="en-GB"/>
        </w:rPr>
        <w:t xml:space="preserve"> sedentary.</w:t>
      </w:r>
    </w:p>
    <w:p w14:paraId="2AD1870A" w14:textId="5438036E" w:rsidR="00AB69D3" w:rsidRPr="00064BFF" w:rsidRDefault="00AB69D3" w:rsidP="00570E71">
      <w:pPr>
        <w:pStyle w:val="EndNoteBibliographyTitle"/>
        <w:jc w:val="both"/>
        <w:rPr>
          <w:rFonts w:ascii="Arial" w:hAnsi="Arial" w:cs="Arial"/>
        </w:rPr>
      </w:pPr>
    </w:p>
    <w:bookmarkEnd w:id="0"/>
    <w:bookmarkEnd w:id="1"/>
    <w:bookmarkEnd w:id="2"/>
    <w:bookmarkEnd w:id="3"/>
    <w:p w14:paraId="001141A6" w14:textId="77777777" w:rsidR="00E45835" w:rsidRPr="00570E71" w:rsidRDefault="00841588" w:rsidP="00570E71">
      <w:pPr>
        <w:pStyle w:val="Chapter"/>
        <w:rPr>
          <w:rFonts w:ascii="Arial" w:hAnsi="Arial" w:cs="Arial"/>
          <w:noProof/>
          <w:szCs w:val="28"/>
        </w:rPr>
      </w:pPr>
      <w:r w:rsidRPr="00570E71">
        <w:rPr>
          <w:rFonts w:ascii="Arial" w:hAnsi="Arial" w:cs="Arial"/>
          <w:sz w:val="22"/>
          <w:szCs w:val="22"/>
          <w:lang w:eastAsia="en-ZA"/>
        </w:rPr>
        <w:fldChar w:fldCharType="begin"/>
      </w:r>
      <w:r w:rsidRPr="00570E71">
        <w:rPr>
          <w:rFonts w:ascii="Arial" w:hAnsi="Arial" w:cs="Arial"/>
          <w:sz w:val="22"/>
          <w:szCs w:val="22"/>
          <w:lang w:eastAsia="en-ZA"/>
        </w:rPr>
        <w:instrText xml:space="preserve"> ADDIN EN.REFLIST </w:instrText>
      </w:r>
      <w:r w:rsidRPr="00570E71">
        <w:rPr>
          <w:rFonts w:ascii="Arial" w:hAnsi="Arial" w:cs="Arial"/>
          <w:sz w:val="22"/>
          <w:szCs w:val="22"/>
          <w:lang w:eastAsia="en-ZA"/>
        </w:rPr>
        <w:fldChar w:fldCharType="separate"/>
      </w:r>
      <w:r w:rsidR="00E45835" w:rsidRPr="00570E71">
        <w:rPr>
          <w:rFonts w:ascii="Arial" w:hAnsi="Arial" w:cs="Arial"/>
          <w:noProof/>
          <w:szCs w:val="28"/>
        </w:rPr>
        <w:t>References</w:t>
      </w:r>
    </w:p>
    <w:p w14:paraId="3136790B" w14:textId="7FD7233F" w:rsidR="00E45835" w:rsidRPr="00570E71" w:rsidRDefault="00E45835" w:rsidP="00064BFF">
      <w:pPr>
        <w:pStyle w:val="EndNoteBibliography"/>
        <w:spacing w:line="276" w:lineRule="auto"/>
        <w:rPr>
          <w:rFonts w:ascii="Arial" w:hAnsi="Arial" w:cs="Arial"/>
          <w:noProof/>
          <w:szCs w:val="22"/>
        </w:rPr>
      </w:pPr>
      <w:bookmarkStart w:id="18" w:name="_ENREF_1"/>
      <w:r w:rsidRPr="00570E71">
        <w:rPr>
          <w:rFonts w:ascii="Arial" w:hAnsi="Arial" w:cs="Arial"/>
          <w:noProof/>
          <w:szCs w:val="22"/>
        </w:rPr>
        <w:t xml:space="preserve">Lindeque, J.Z., Hidalgo, J., Louw, R. &amp; van der Westhuizen, F.H. 2013. Systemic and organ specific metabolic variation in metallothionein knockout mice challenged with swimming exercise. </w:t>
      </w:r>
      <w:r w:rsidRPr="00570E71">
        <w:rPr>
          <w:rFonts w:ascii="Arial" w:hAnsi="Arial" w:cs="Arial"/>
          <w:i/>
          <w:noProof/>
          <w:szCs w:val="22"/>
        </w:rPr>
        <w:t>Metabolomics</w:t>
      </w:r>
      <w:r w:rsidRPr="00570E71">
        <w:rPr>
          <w:rFonts w:ascii="Arial" w:hAnsi="Arial" w:cs="Arial"/>
          <w:noProof/>
          <w:szCs w:val="22"/>
        </w:rPr>
        <w:t xml:space="preserve">, 9(2):418-432. </w:t>
      </w:r>
      <w:hyperlink r:id="rId16" w:history="1">
        <w:r w:rsidRPr="00570E71">
          <w:rPr>
            <w:rStyle w:val="Hyperlink"/>
            <w:rFonts w:cs="Arial"/>
            <w:noProof/>
            <w:sz w:val="22"/>
            <w:szCs w:val="22"/>
            <w:lang w:val="en-US"/>
          </w:rPr>
          <w:t>https://doi.org/10.1007/s11306-012-0459-8</w:t>
        </w:r>
        <w:bookmarkEnd w:id="18"/>
      </w:hyperlink>
    </w:p>
    <w:p w14:paraId="7421C951" w14:textId="15C1C282" w:rsidR="00E45835" w:rsidRPr="00570E71" w:rsidRDefault="00E45835" w:rsidP="00064BFF">
      <w:pPr>
        <w:pStyle w:val="EndNoteBibliography"/>
        <w:spacing w:line="276" w:lineRule="auto"/>
        <w:rPr>
          <w:rFonts w:ascii="Arial" w:hAnsi="Arial" w:cs="Arial"/>
          <w:noProof/>
          <w:szCs w:val="22"/>
        </w:rPr>
      </w:pPr>
      <w:bookmarkStart w:id="19" w:name="_ENREF_2"/>
      <w:r w:rsidRPr="00570E71">
        <w:rPr>
          <w:rFonts w:ascii="Arial" w:hAnsi="Arial" w:cs="Arial"/>
          <w:noProof/>
          <w:szCs w:val="22"/>
        </w:rPr>
        <w:t>Terburgh, K., Lindeque, Z., Mason, S., Van der Westhuizen, F. &amp; Louw, R. 2019. Metabolomics of Ndufs4</w:t>
      </w:r>
      <w:r w:rsidRPr="00570E71">
        <w:rPr>
          <w:rFonts w:ascii="Arial" w:hAnsi="Arial" w:cs="Arial"/>
          <w:noProof/>
          <w:szCs w:val="22"/>
          <w:vertAlign w:val="superscript"/>
        </w:rPr>
        <w:t>−/−</w:t>
      </w:r>
      <w:r w:rsidRPr="00570E71">
        <w:rPr>
          <w:rFonts w:ascii="Arial" w:hAnsi="Arial" w:cs="Arial"/>
          <w:noProof/>
          <w:szCs w:val="22"/>
        </w:rPr>
        <w:t xml:space="preserve"> skeletal muscle: adaptive mechanisms converge at the ubiquinone-cycle. </w:t>
      </w:r>
      <w:r w:rsidRPr="00570E71">
        <w:rPr>
          <w:rFonts w:ascii="Arial" w:hAnsi="Arial" w:cs="Arial"/>
          <w:i/>
          <w:noProof/>
          <w:szCs w:val="22"/>
        </w:rPr>
        <w:t>Biochimica et biophysica acta (BBA)-molecular basis of disease</w:t>
      </w:r>
      <w:r w:rsidRPr="00570E71">
        <w:rPr>
          <w:rFonts w:ascii="Arial" w:hAnsi="Arial" w:cs="Arial"/>
          <w:noProof/>
          <w:szCs w:val="22"/>
        </w:rPr>
        <w:t xml:space="preserve">, 1865(1):98-106. </w:t>
      </w:r>
      <w:hyperlink r:id="rId17" w:history="1">
        <w:r w:rsidRPr="00570E71">
          <w:rPr>
            <w:rStyle w:val="Hyperlink"/>
            <w:rFonts w:cs="Arial"/>
            <w:noProof/>
            <w:sz w:val="22"/>
            <w:szCs w:val="22"/>
            <w:lang w:val="en-US"/>
          </w:rPr>
          <w:t>https://doi.org/10.1016/j.bbadis.2018.10.034</w:t>
        </w:r>
        <w:bookmarkEnd w:id="19"/>
      </w:hyperlink>
    </w:p>
    <w:p w14:paraId="449A2FF1" w14:textId="3409B998" w:rsidR="008B6513" w:rsidRPr="009F146A" w:rsidRDefault="00841588" w:rsidP="008B6513">
      <w:pPr>
        <w:rPr>
          <w:rFonts w:cs="Arial"/>
          <w:lang w:val="en-GB" w:eastAsia="en-ZA"/>
        </w:rPr>
      </w:pPr>
      <w:r w:rsidRPr="00570E71">
        <w:rPr>
          <w:rFonts w:cs="Arial"/>
          <w:szCs w:val="22"/>
          <w:lang w:val="en-GB" w:eastAsia="en-ZA"/>
        </w:rPr>
        <w:fldChar w:fldCharType="end"/>
      </w:r>
    </w:p>
    <w:p w14:paraId="02B916DC" w14:textId="11AE9D30" w:rsidR="008B6513" w:rsidRPr="009F146A" w:rsidRDefault="008B6513" w:rsidP="008B6513">
      <w:pPr>
        <w:rPr>
          <w:rFonts w:cs="Arial"/>
          <w:lang w:val="en-GB" w:eastAsia="en-ZA"/>
        </w:rPr>
      </w:pPr>
    </w:p>
    <w:p w14:paraId="72D0F4CE" w14:textId="554C86C9" w:rsidR="008B6513" w:rsidRPr="009F146A" w:rsidRDefault="008B6513" w:rsidP="008B6513">
      <w:pPr>
        <w:rPr>
          <w:rFonts w:cs="Arial"/>
          <w:lang w:val="en-GB" w:eastAsia="en-ZA"/>
        </w:rPr>
      </w:pPr>
    </w:p>
    <w:p w14:paraId="73DBA1E9" w14:textId="4BDF6021" w:rsidR="008B6513" w:rsidRPr="009F146A" w:rsidRDefault="008B6513" w:rsidP="008B6513">
      <w:pPr>
        <w:rPr>
          <w:rFonts w:cs="Arial"/>
          <w:lang w:val="en-GB" w:eastAsia="en-ZA"/>
        </w:rPr>
      </w:pPr>
    </w:p>
    <w:p w14:paraId="5377AED3" w14:textId="77777777" w:rsidR="008B6513" w:rsidRPr="009F146A" w:rsidRDefault="008B6513" w:rsidP="008B6513">
      <w:pPr>
        <w:jc w:val="right"/>
        <w:rPr>
          <w:rFonts w:cs="Arial"/>
          <w:lang w:val="en-GB" w:eastAsia="en-ZA"/>
        </w:rPr>
      </w:pPr>
    </w:p>
    <w:sectPr w:rsidR="008B6513" w:rsidRPr="009F146A" w:rsidSect="00F81288">
      <w:headerReference w:type="default" r:id="rId18"/>
      <w:footerReference w:type="default" r:id="rId19"/>
      <w:footnotePr>
        <w:numRestart w:val="eachPage"/>
      </w:footnotePr>
      <w:pgSz w:w="11907" w:h="16840" w:code="9"/>
      <w:pgMar w:top="1134" w:right="1134"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71C2" w14:textId="77777777" w:rsidR="00EA0288" w:rsidRDefault="00EA0288">
      <w:pPr>
        <w:spacing w:after="0"/>
      </w:pPr>
      <w:r>
        <w:separator/>
      </w:r>
    </w:p>
  </w:endnote>
  <w:endnote w:type="continuationSeparator" w:id="0">
    <w:p w14:paraId="631357AE" w14:textId="77777777" w:rsidR="00EA0288" w:rsidRDefault="00EA02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418330"/>
      <w:docPartObj>
        <w:docPartGallery w:val="Page Numbers (Bottom of Page)"/>
        <w:docPartUnique/>
      </w:docPartObj>
    </w:sdtPr>
    <w:sdtContent>
      <w:sdt>
        <w:sdtPr>
          <w:id w:val="-1769616900"/>
          <w:docPartObj>
            <w:docPartGallery w:val="Page Numbers (Top of Page)"/>
            <w:docPartUnique/>
          </w:docPartObj>
        </w:sdtPr>
        <w:sdtContent>
          <w:p w14:paraId="7C301ECE" w14:textId="7034BED6" w:rsidR="00F27F73" w:rsidRPr="00F27F73" w:rsidRDefault="00F27F73" w:rsidP="00F27F73">
            <w:pPr>
              <w:pStyle w:val="Footer"/>
              <w:pBdr>
                <w:top w:val="single" w:sz="4" w:space="1" w:color="auto"/>
              </w:pBdr>
            </w:pPr>
            <w:r w:rsidRPr="00F27F73">
              <w:t xml:space="preserve">Page </w:t>
            </w:r>
            <w:r w:rsidR="008F1618" w:rsidRPr="008F1618">
              <w:rPr>
                <w:b/>
                <w:bCs/>
              </w:rPr>
              <w:t>S</w:t>
            </w:r>
            <w:r w:rsidRPr="008F1618">
              <w:rPr>
                <w:b/>
                <w:bCs/>
              </w:rPr>
              <w:fldChar w:fldCharType="begin"/>
            </w:r>
            <w:r w:rsidRPr="008F1618">
              <w:rPr>
                <w:b/>
                <w:bCs/>
              </w:rPr>
              <w:instrText xml:space="preserve"> PAGE </w:instrText>
            </w:r>
            <w:r w:rsidRPr="008F1618">
              <w:rPr>
                <w:b/>
                <w:bCs/>
              </w:rPr>
              <w:fldChar w:fldCharType="separate"/>
            </w:r>
            <w:r w:rsidRPr="008F1618">
              <w:rPr>
                <w:b/>
                <w:bCs/>
              </w:rPr>
              <w:t>2</w:t>
            </w:r>
            <w:r w:rsidRPr="008F1618">
              <w:rPr>
                <w:b/>
                <w:bCs/>
              </w:rPr>
              <w:fldChar w:fldCharType="end"/>
            </w:r>
            <w:r w:rsidRPr="00F27F73">
              <w:t xml:space="preserve"> of </w:t>
            </w:r>
            <w:r w:rsidR="008F1618" w:rsidRPr="008F1618">
              <w:rPr>
                <w:b/>
                <w:bCs/>
              </w:rPr>
              <w:t>S</w:t>
            </w:r>
            <w:r w:rsidRPr="00F27F73">
              <w:rPr>
                <w:b/>
                <w:bCs/>
              </w:rPr>
              <w:fldChar w:fldCharType="begin"/>
            </w:r>
            <w:r w:rsidRPr="00F27F73">
              <w:rPr>
                <w:b/>
                <w:bCs/>
              </w:rPr>
              <w:instrText xml:space="preserve"> NUMPAGES  </w:instrText>
            </w:r>
            <w:r w:rsidRPr="00F27F73">
              <w:rPr>
                <w:b/>
                <w:bCs/>
              </w:rPr>
              <w:fldChar w:fldCharType="separate"/>
            </w:r>
            <w:r w:rsidRPr="00F27F73">
              <w:rPr>
                <w:b/>
                <w:bCs/>
              </w:rPr>
              <w:t>2</w:t>
            </w:r>
            <w:r w:rsidRPr="00F27F73">
              <w:rPr>
                <w:b/>
                <w:bCs/>
              </w:rPr>
              <w:fldChar w:fldCharType="end"/>
            </w:r>
          </w:p>
        </w:sdtContent>
      </w:sdt>
    </w:sdtContent>
  </w:sdt>
  <w:p w14:paraId="43AAD913" w14:textId="77777777" w:rsidR="00F27F73" w:rsidRDefault="00F27F73" w:rsidP="00F27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9347" w14:textId="77777777" w:rsidR="00EA0288" w:rsidRDefault="00EA0288">
      <w:pPr>
        <w:spacing w:after="0"/>
      </w:pPr>
      <w:r>
        <w:separator/>
      </w:r>
    </w:p>
  </w:footnote>
  <w:footnote w:type="continuationSeparator" w:id="0">
    <w:p w14:paraId="760B4C0F" w14:textId="77777777" w:rsidR="00EA0288" w:rsidRDefault="00EA02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5ED6" w14:textId="2CD435C8" w:rsidR="00B91C5D" w:rsidRPr="00A33A9F" w:rsidRDefault="00A33A9F" w:rsidP="00862EDC">
    <w:pPr>
      <w:pStyle w:val="Header"/>
      <w:pBdr>
        <w:bottom w:val="single" w:sz="4" w:space="1" w:color="auto"/>
      </w:pBdr>
      <w:jc w:val="right"/>
      <w:rPr>
        <w:rFonts w:cs="Arial"/>
        <w:i/>
        <w:iCs/>
        <w:lang w:val="en-US"/>
      </w:rPr>
    </w:pPr>
    <w:r>
      <w:rPr>
        <w:rFonts w:cs="Arial"/>
        <w:i/>
        <w:iCs/>
        <w:lang w:val="en-US"/>
      </w:rPr>
      <w:t>Whitney et al. 2023_Supplementary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12E83D4"/>
    <w:lvl w:ilvl="0">
      <w:start w:val="1"/>
      <w:numFmt w:val="decimal"/>
      <w:pStyle w:val="ListNumber2"/>
      <w:lvlText w:val="%1."/>
      <w:lvlJc w:val="left"/>
      <w:pPr>
        <w:tabs>
          <w:tab w:val="num" w:pos="1134"/>
        </w:tabs>
        <w:ind w:left="1134" w:hanging="567"/>
      </w:pPr>
      <w:rPr>
        <w:rFonts w:hint="default"/>
      </w:rPr>
    </w:lvl>
  </w:abstractNum>
  <w:abstractNum w:abstractNumId="1" w15:restartNumberingAfterBreak="0">
    <w:nsid w:val="FFFFFF80"/>
    <w:multiLevelType w:val="singleLevel"/>
    <w:tmpl w:val="7A3A8C3E"/>
    <w:lvl w:ilvl="0">
      <w:start w:val="1"/>
      <w:numFmt w:val="bullet"/>
      <w:pStyle w:val="ListBullet5"/>
      <w:lvlText w:val=""/>
      <w:lvlJc w:val="left"/>
      <w:pPr>
        <w:tabs>
          <w:tab w:val="num" w:pos="1786"/>
        </w:tabs>
        <w:ind w:left="1786" w:hanging="357"/>
      </w:pPr>
      <w:rPr>
        <w:rFonts w:ascii="Symbol" w:hAnsi="Symbol" w:hint="default"/>
      </w:rPr>
    </w:lvl>
  </w:abstractNum>
  <w:abstractNum w:abstractNumId="2" w15:restartNumberingAfterBreak="0">
    <w:nsid w:val="FFFFFF81"/>
    <w:multiLevelType w:val="singleLevel"/>
    <w:tmpl w:val="2514CEAE"/>
    <w:lvl w:ilvl="0">
      <w:start w:val="1"/>
      <w:numFmt w:val="bullet"/>
      <w:pStyle w:val="ListBullet4"/>
      <w:lvlText w:val=""/>
      <w:lvlJc w:val="left"/>
      <w:pPr>
        <w:tabs>
          <w:tab w:val="num" w:pos="1429"/>
        </w:tabs>
        <w:ind w:left="1429" w:hanging="357"/>
      </w:pPr>
      <w:rPr>
        <w:rFonts w:ascii="Symbol" w:hAnsi="Symbol" w:hint="default"/>
      </w:rPr>
    </w:lvl>
  </w:abstractNum>
  <w:abstractNum w:abstractNumId="3" w15:restartNumberingAfterBreak="0">
    <w:nsid w:val="FFFFFF82"/>
    <w:multiLevelType w:val="singleLevel"/>
    <w:tmpl w:val="3A261A22"/>
    <w:lvl w:ilvl="0">
      <w:start w:val="1"/>
      <w:numFmt w:val="bullet"/>
      <w:pStyle w:val="ListBullet3"/>
      <w:lvlText w:val=""/>
      <w:lvlJc w:val="left"/>
      <w:pPr>
        <w:tabs>
          <w:tab w:val="num" w:pos="1072"/>
        </w:tabs>
        <w:ind w:left="1072" w:hanging="358"/>
      </w:pPr>
      <w:rPr>
        <w:rFonts w:ascii="Symbol" w:hAnsi="Symbol" w:hint="default"/>
      </w:rPr>
    </w:lvl>
  </w:abstractNum>
  <w:abstractNum w:abstractNumId="4" w15:restartNumberingAfterBreak="0">
    <w:nsid w:val="FFFFFF83"/>
    <w:multiLevelType w:val="singleLevel"/>
    <w:tmpl w:val="F628F8B0"/>
    <w:lvl w:ilvl="0">
      <w:start w:val="1"/>
      <w:numFmt w:val="bullet"/>
      <w:pStyle w:val="ListBullet2"/>
      <w:lvlText w:val=""/>
      <w:lvlJc w:val="left"/>
      <w:pPr>
        <w:tabs>
          <w:tab w:val="num" w:pos="714"/>
        </w:tabs>
        <w:ind w:left="714" w:hanging="357"/>
      </w:pPr>
      <w:rPr>
        <w:rFonts w:ascii="Symbol" w:hAnsi="Symbol" w:hint="default"/>
      </w:rPr>
    </w:lvl>
  </w:abstractNum>
  <w:abstractNum w:abstractNumId="5" w15:restartNumberingAfterBreak="0">
    <w:nsid w:val="FFFFFF88"/>
    <w:multiLevelType w:val="singleLevel"/>
    <w:tmpl w:val="B96009AC"/>
    <w:lvl w:ilvl="0">
      <w:start w:val="1"/>
      <w:numFmt w:val="decimal"/>
      <w:pStyle w:val="ListNumber"/>
      <w:lvlText w:val="%1"/>
      <w:lvlJc w:val="left"/>
      <w:pPr>
        <w:ind w:left="567" w:hanging="567"/>
      </w:pPr>
      <w:rPr>
        <w:rFonts w:hint="default"/>
      </w:rPr>
    </w:lvl>
  </w:abstractNum>
  <w:abstractNum w:abstractNumId="6" w15:restartNumberingAfterBreak="0">
    <w:nsid w:val="FFFFFF89"/>
    <w:multiLevelType w:val="singleLevel"/>
    <w:tmpl w:val="5FA6BAF4"/>
    <w:lvl w:ilvl="0">
      <w:start w:val="1"/>
      <w:numFmt w:val="bullet"/>
      <w:pStyle w:val="ListBullet"/>
      <w:lvlText w:val=""/>
      <w:lvlJc w:val="left"/>
      <w:pPr>
        <w:tabs>
          <w:tab w:val="num" w:pos="357"/>
        </w:tabs>
        <w:ind w:left="357" w:hanging="357"/>
      </w:pPr>
      <w:rPr>
        <w:rFonts w:ascii="Symbol" w:hAnsi="Symbol" w:hint="default"/>
      </w:rPr>
    </w:lvl>
  </w:abstractNum>
  <w:abstractNum w:abstractNumId="7" w15:restartNumberingAfterBreak="0">
    <w:nsid w:val="07C83D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DD5582"/>
    <w:multiLevelType w:val="hybridMultilevel"/>
    <w:tmpl w:val="5C383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ACF5A87"/>
    <w:multiLevelType w:val="multilevel"/>
    <w:tmpl w:val="B3BE0C7C"/>
    <w:lvl w:ilvl="0">
      <w:start w:val="1"/>
      <w:numFmt w:val="lowerRoman"/>
      <w:pStyle w:val="ListNumberRoman"/>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1635CF"/>
    <w:multiLevelType w:val="multilevel"/>
    <w:tmpl w:val="543A8A3C"/>
    <w:styleLink w:val="List123"/>
    <w:lvl w:ilvl="0">
      <w:start w:val="1"/>
      <w:numFmt w:val="decimal"/>
      <w:lvlText w:val="%1"/>
      <w:lvlJc w:val="left"/>
      <w:pPr>
        <w:ind w:left="567" w:hanging="567"/>
      </w:pPr>
      <w:rPr>
        <w:rFonts w:ascii="Arial" w:hAnsi="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27282D"/>
    <w:multiLevelType w:val="hybridMultilevel"/>
    <w:tmpl w:val="FE62A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27A7F"/>
    <w:multiLevelType w:val="hybridMultilevel"/>
    <w:tmpl w:val="74E26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E25504"/>
    <w:multiLevelType w:val="hybridMultilevel"/>
    <w:tmpl w:val="76587892"/>
    <w:lvl w:ilvl="0" w:tplc="E094340E">
      <w:start w:val="1"/>
      <w:numFmt w:val="decimal"/>
      <w:pStyle w:val="ListNumberBracket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3B465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8EC7E45"/>
    <w:multiLevelType w:val="hybridMultilevel"/>
    <w:tmpl w:val="DD22010E"/>
    <w:lvl w:ilvl="0" w:tplc="51AA4586">
      <w:start w:val="1"/>
      <w:numFmt w:val="decimal"/>
      <w:pStyle w:val="ListNumber0"/>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CC46CD6"/>
    <w:multiLevelType w:val="hybridMultilevel"/>
    <w:tmpl w:val="36D263C6"/>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2599B"/>
    <w:multiLevelType w:val="multilevel"/>
    <w:tmpl w:val="12BCFC3A"/>
    <w:lvl w:ilvl="0">
      <w:start w:val="1"/>
      <w:numFmt w:val="lowerRoman"/>
      <w:pStyle w:val="ListNumberRomanBrackets"/>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0C3A70"/>
    <w:multiLevelType w:val="multilevel"/>
    <w:tmpl w:val="F9FA7A42"/>
    <w:lvl w:ilvl="0">
      <w:start w:val="1"/>
      <w:numFmt w:val="lowerLetter"/>
      <w:pStyle w:val="ListNumberAlfabet"/>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BB134E"/>
    <w:multiLevelType w:val="hybridMultilevel"/>
    <w:tmpl w:val="A9C2F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F824BA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27311F"/>
    <w:multiLevelType w:val="hybridMultilevel"/>
    <w:tmpl w:val="54162868"/>
    <w:lvl w:ilvl="0" w:tplc="7C4AA94E">
      <w:start w:val="1"/>
      <w:numFmt w:val="bullet"/>
      <w:pStyle w:val="ListBulletSingleSpacing"/>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2923DA0"/>
    <w:multiLevelType w:val="multilevel"/>
    <w:tmpl w:val="6ACA4D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9C62422"/>
    <w:multiLevelType w:val="hybridMultilevel"/>
    <w:tmpl w:val="2F74E71C"/>
    <w:lvl w:ilvl="0" w:tplc="71C61C0A">
      <w:start w:val="1"/>
      <w:numFmt w:val="lowerLetter"/>
      <w:pStyle w:val="ListABC2"/>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985AC7"/>
    <w:multiLevelType w:val="hybridMultilevel"/>
    <w:tmpl w:val="925A0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3E2699"/>
    <w:multiLevelType w:val="multilevel"/>
    <w:tmpl w:val="0FCC8A88"/>
    <w:lvl w:ilvl="0">
      <w:start w:val="1"/>
      <w:numFmt w:val="lowerLetter"/>
      <w:pStyle w:val="ListNumberAlfabetBrackets"/>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F74B50"/>
    <w:multiLevelType w:val="hybridMultilevel"/>
    <w:tmpl w:val="BCB29B36"/>
    <w:lvl w:ilvl="0" w:tplc="1076E5AC">
      <w:start w:val="1"/>
      <w:numFmt w:val="decimal"/>
      <w:lvlText w:val="(%1)"/>
      <w:lvlJc w:val="left"/>
      <w:pPr>
        <w:tabs>
          <w:tab w:val="num" w:pos="2268"/>
        </w:tabs>
        <w:ind w:left="226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962FC6"/>
    <w:multiLevelType w:val="hybridMultilevel"/>
    <w:tmpl w:val="1B58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AE4F93"/>
    <w:multiLevelType w:val="hybridMultilevel"/>
    <w:tmpl w:val="0D6C4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8568733">
    <w:abstractNumId w:val="22"/>
  </w:num>
  <w:num w:numId="2" w16cid:durableId="1695030742">
    <w:abstractNumId w:val="5"/>
  </w:num>
  <w:num w:numId="3" w16cid:durableId="1324897628">
    <w:abstractNumId w:val="4"/>
  </w:num>
  <w:num w:numId="4" w16cid:durableId="1138183982">
    <w:abstractNumId w:val="3"/>
  </w:num>
  <w:num w:numId="5" w16cid:durableId="309747323">
    <w:abstractNumId w:val="2"/>
  </w:num>
  <w:num w:numId="6" w16cid:durableId="1841388644">
    <w:abstractNumId w:val="1"/>
  </w:num>
  <w:num w:numId="7" w16cid:durableId="1970865177">
    <w:abstractNumId w:val="0"/>
  </w:num>
  <w:num w:numId="8" w16cid:durableId="1175459424">
    <w:abstractNumId w:val="7"/>
  </w:num>
  <w:num w:numId="9" w16cid:durableId="582491941">
    <w:abstractNumId w:val="20"/>
  </w:num>
  <w:num w:numId="10" w16cid:durableId="189803189">
    <w:abstractNumId w:val="14"/>
  </w:num>
  <w:num w:numId="11" w16cid:durableId="1770467524">
    <w:abstractNumId w:val="23"/>
  </w:num>
  <w:num w:numId="12" w16cid:durableId="1988313739">
    <w:abstractNumId w:val="13"/>
  </w:num>
  <w:num w:numId="13" w16cid:durableId="887763170">
    <w:abstractNumId w:val="9"/>
  </w:num>
  <w:num w:numId="14" w16cid:durableId="459884706">
    <w:abstractNumId w:val="18"/>
  </w:num>
  <w:num w:numId="15" w16cid:durableId="806557855">
    <w:abstractNumId w:val="17"/>
  </w:num>
  <w:num w:numId="16" w16cid:durableId="239147213">
    <w:abstractNumId w:val="25"/>
  </w:num>
  <w:num w:numId="17" w16cid:durableId="1041785771">
    <w:abstractNumId w:val="10"/>
  </w:num>
  <w:num w:numId="18" w16cid:durableId="1657370056">
    <w:abstractNumId w:val="6"/>
  </w:num>
  <w:num w:numId="19" w16cid:durableId="125978642">
    <w:abstractNumId w:val="21"/>
  </w:num>
  <w:num w:numId="20" w16cid:durableId="735470232">
    <w:abstractNumId w:val="22"/>
  </w:num>
  <w:num w:numId="21" w16cid:durableId="892815736">
    <w:abstractNumId w:val="15"/>
  </w:num>
  <w:num w:numId="22" w16cid:durableId="898249934">
    <w:abstractNumId w:val="19"/>
  </w:num>
  <w:num w:numId="23" w16cid:durableId="459347232">
    <w:abstractNumId w:val="8"/>
  </w:num>
  <w:num w:numId="24" w16cid:durableId="538905705">
    <w:abstractNumId w:val="26"/>
  </w:num>
  <w:num w:numId="25" w16cid:durableId="1824422927">
    <w:abstractNumId w:val="28"/>
  </w:num>
  <w:num w:numId="26" w16cid:durableId="443772139">
    <w:abstractNumId w:val="24"/>
  </w:num>
  <w:num w:numId="27" w16cid:durableId="1186405073">
    <w:abstractNumId w:val="27"/>
  </w:num>
  <w:num w:numId="28" w16cid:durableId="446047714">
    <w:abstractNumId w:val="11"/>
  </w:num>
  <w:num w:numId="29" w16cid:durableId="2074084751">
    <w:abstractNumId w:val="16"/>
  </w:num>
  <w:num w:numId="30" w16cid:durableId="19488112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WU_Harvard_2020_21Jun2022&lt;/Style&gt;&lt;LeftDelim&gt;{&lt;/LeftDelim&gt;&lt;RightDelim&gt;}&lt;/RightDelim&gt;&lt;FontName&gt;Cambria&lt;/FontName&gt;&lt;FontSize&gt;11&lt;/FontSize&gt;&lt;ReflistTitle&gt;&lt;style size=&quot;14&quot;&gt;R&lt;/style&gt;&lt;style face=&quot;bold&quot; size=&quot;14&quot;&gt;eferences&lt;/sty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Libraries&gt;"/>
  </w:docVars>
  <w:rsids>
    <w:rsidRoot w:val="00C34F12"/>
    <w:rsid w:val="00002BD2"/>
    <w:rsid w:val="0000332A"/>
    <w:rsid w:val="000040A6"/>
    <w:rsid w:val="000046B4"/>
    <w:rsid w:val="00005410"/>
    <w:rsid w:val="000120EF"/>
    <w:rsid w:val="000126B0"/>
    <w:rsid w:val="00013A04"/>
    <w:rsid w:val="00015592"/>
    <w:rsid w:val="00015A51"/>
    <w:rsid w:val="00016F00"/>
    <w:rsid w:val="000205BD"/>
    <w:rsid w:val="00023418"/>
    <w:rsid w:val="000255C9"/>
    <w:rsid w:val="000265D0"/>
    <w:rsid w:val="0002720E"/>
    <w:rsid w:val="00030928"/>
    <w:rsid w:val="00030D0B"/>
    <w:rsid w:val="0003133E"/>
    <w:rsid w:val="0003294A"/>
    <w:rsid w:val="00032985"/>
    <w:rsid w:val="0003504E"/>
    <w:rsid w:val="00035928"/>
    <w:rsid w:val="00035C3C"/>
    <w:rsid w:val="00036AD1"/>
    <w:rsid w:val="000371E5"/>
    <w:rsid w:val="00037AA2"/>
    <w:rsid w:val="00040F92"/>
    <w:rsid w:val="00041ED7"/>
    <w:rsid w:val="00042DFD"/>
    <w:rsid w:val="00043F1A"/>
    <w:rsid w:val="00044B9A"/>
    <w:rsid w:val="0004674E"/>
    <w:rsid w:val="00046A98"/>
    <w:rsid w:val="00046BC6"/>
    <w:rsid w:val="00051B21"/>
    <w:rsid w:val="0005278B"/>
    <w:rsid w:val="000531EC"/>
    <w:rsid w:val="0005606E"/>
    <w:rsid w:val="00056225"/>
    <w:rsid w:val="00063119"/>
    <w:rsid w:val="0006497F"/>
    <w:rsid w:val="00064BFF"/>
    <w:rsid w:val="000650C2"/>
    <w:rsid w:val="00065157"/>
    <w:rsid w:val="0006586E"/>
    <w:rsid w:val="00066848"/>
    <w:rsid w:val="00067665"/>
    <w:rsid w:val="000735A6"/>
    <w:rsid w:val="000743EA"/>
    <w:rsid w:val="00074549"/>
    <w:rsid w:val="00074C91"/>
    <w:rsid w:val="0007578E"/>
    <w:rsid w:val="00077017"/>
    <w:rsid w:val="0007767A"/>
    <w:rsid w:val="00077DAE"/>
    <w:rsid w:val="0008198F"/>
    <w:rsid w:val="0008256C"/>
    <w:rsid w:val="0008367C"/>
    <w:rsid w:val="00083DB6"/>
    <w:rsid w:val="000862E4"/>
    <w:rsid w:val="00086848"/>
    <w:rsid w:val="0009260C"/>
    <w:rsid w:val="00094671"/>
    <w:rsid w:val="0009566C"/>
    <w:rsid w:val="0009635B"/>
    <w:rsid w:val="00096F32"/>
    <w:rsid w:val="000A0AE3"/>
    <w:rsid w:val="000A0DC0"/>
    <w:rsid w:val="000A160A"/>
    <w:rsid w:val="000A26CE"/>
    <w:rsid w:val="000A2D95"/>
    <w:rsid w:val="000A3F5A"/>
    <w:rsid w:val="000A50DB"/>
    <w:rsid w:val="000A67D7"/>
    <w:rsid w:val="000A6886"/>
    <w:rsid w:val="000A6A9E"/>
    <w:rsid w:val="000A7703"/>
    <w:rsid w:val="000A7791"/>
    <w:rsid w:val="000B06AB"/>
    <w:rsid w:val="000B11A5"/>
    <w:rsid w:val="000B268D"/>
    <w:rsid w:val="000B36E5"/>
    <w:rsid w:val="000B3A1B"/>
    <w:rsid w:val="000B4358"/>
    <w:rsid w:val="000C1C1B"/>
    <w:rsid w:val="000C238B"/>
    <w:rsid w:val="000C3C4D"/>
    <w:rsid w:val="000D01F1"/>
    <w:rsid w:val="000D205E"/>
    <w:rsid w:val="000D3DEA"/>
    <w:rsid w:val="000D4BCC"/>
    <w:rsid w:val="000D5DBB"/>
    <w:rsid w:val="000D6C0C"/>
    <w:rsid w:val="000E0A7A"/>
    <w:rsid w:val="000E3DD2"/>
    <w:rsid w:val="000E4EB0"/>
    <w:rsid w:val="000E6B60"/>
    <w:rsid w:val="000E7AAB"/>
    <w:rsid w:val="000F2C70"/>
    <w:rsid w:val="000F396A"/>
    <w:rsid w:val="000F43F4"/>
    <w:rsid w:val="000F4BFE"/>
    <w:rsid w:val="000F4C3B"/>
    <w:rsid w:val="000F50EC"/>
    <w:rsid w:val="0010024F"/>
    <w:rsid w:val="001018E7"/>
    <w:rsid w:val="001029E3"/>
    <w:rsid w:val="00102CAF"/>
    <w:rsid w:val="00103568"/>
    <w:rsid w:val="00106E0A"/>
    <w:rsid w:val="00106F2C"/>
    <w:rsid w:val="00107361"/>
    <w:rsid w:val="001108DA"/>
    <w:rsid w:val="00110DB9"/>
    <w:rsid w:val="00110FF2"/>
    <w:rsid w:val="00111984"/>
    <w:rsid w:val="0011307D"/>
    <w:rsid w:val="00113138"/>
    <w:rsid w:val="001135FB"/>
    <w:rsid w:val="00113F61"/>
    <w:rsid w:val="0011422F"/>
    <w:rsid w:val="00116238"/>
    <w:rsid w:val="00116E5B"/>
    <w:rsid w:val="0011729C"/>
    <w:rsid w:val="0012038C"/>
    <w:rsid w:val="001209AE"/>
    <w:rsid w:val="00125EB6"/>
    <w:rsid w:val="00127213"/>
    <w:rsid w:val="00132A19"/>
    <w:rsid w:val="00132E53"/>
    <w:rsid w:val="0013383D"/>
    <w:rsid w:val="00134A9B"/>
    <w:rsid w:val="001373F4"/>
    <w:rsid w:val="001403E5"/>
    <w:rsid w:val="00140B63"/>
    <w:rsid w:val="00140BBD"/>
    <w:rsid w:val="00140E33"/>
    <w:rsid w:val="00141393"/>
    <w:rsid w:val="00145235"/>
    <w:rsid w:val="00146B6D"/>
    <w:rsid w:val="00147203"/>
    <w:rsid w:val="00152176"/>
    <w:rsid w:val="001530D8"/>
    <w:rsid w:val="00154BC9"/>
    <w:rsid w:val="0015631C"/>
    <w:rsid w:val="00156387"/>
    <w:rsid w:val="00156E33"/>
    <w:rsid w:val="00157326"/>
    <w:rsid w:val="00157389"/>
    <w:rsid w:val="0015761C"/>
    <w:rsid w:val="00161951"/>
    <w:rsid w:val="00163558"/>
    <w:rsid w:val="0016398D"/>
    <w:rsid w:val="00175A22"/>
    <w:rsid w:val="001761AC"/>
    <w:rsid w:val="001772C2"/>
    <w:rsid w:val="00180A31"/>
    <w:rsid w:val="0018187F"/>
    <w:rsid w:val="00183F51"/>
    <w:rsid w:val="00185FBF"/>
    <w:rsid w:val="00186B13"/>
    <w:rsid w:val="00191AD0"/>
    <w:rsid w:val="00191CB3"/>
    <w:rsid w:val="00192E00"/>
    <w:rsid w:val="00195615"/>
    <w:rsid w:val="001963F2"/>
    <w:rsid w:val="00197B36"/>
    <w:rsid w:val="001A0A1E"/>
    <w:rsid w:val="001A1A60"/>
    <w:rsid w:val="001A1D7D"/>
    <w:rsid w:val="001A245F"/>
    <w:rsid w:val="001A304F"/>
    <w:rsid w:val="001A42C4"/>
    <w:rsid w:val="001A52BA"/>
    <w:rsid w:val="001A618C"/>
    <w:rsid w:val="001A783E"/>
    <w:rsid w:val="001B0E7C"/>
    <w:rsid w:val="001B178F"/>
    <w:rsid w:val="001B4A72"/>
    <w:rsid w:val="001C02BF"/>
    <w:rsid w:val="001C12F4"/>
    <w:rsid w:val="001C1BC4"/>
    <w:rsid w:val="001C202F"/>
    <w:rsid w:val="001C3997"/>
    <w:rsid w:val="001C63E0"/>
    <w:rsid w:val="001D0D55"/>
    <w:rsid w:val="001D0EC0"/>
    <w:rsid w:val="001D14AC"/>
    <w:rsid w:val="001D1687"/>
    <w:rsid w:val="001D1715"/>
    <w:rsid w:val="001D2A11"/>
    <w:rsid w:val="001D38FB"/>
    <w:rsid w:val="001D74CA"/>
    <w:rsid w:val="001D75F9"/>
    <w:rsid w:val="001D7BC8"/>
    <w:rsid w:val="001E00FF"/>
    <w:rsid w:val="001E1180"/>
    <w:rsid w:val="001E2464"/>
    <w:rsid w:val="001E3198"/>
    <w:rsid w:val="001E68DD"/>
    <w:rsid w:val="001F08FC"/>
    <w:rsid w:val="001F09D6"/>
    <w:rsid w:val="001F2BE8"/>
    <w:rsid w:val="001F3425"/>
    <w:rsid w:val="001F4E27"/>
    <w:rsid w:val="001F4ED7"/>
    <w:rsid w:val="001F531C"/>
    <w:rsid w:val="001F6C15"/>
    <w:rsid w:val="001F6DD7"/>
    <w:rsid w:val="001F71D8"/>
    <w:rsid w:val="00200084"/>
    <w:rsid w:val="002001B2"/>
    <w:rsid w:val="00201479"/>
    <w:rsid w:val="00202894"/>
    <w:rsid w:val="00202A16"/>
    <w:rsid w:val="00205665"/>
    <w:rsid w:val="002060F4"/>
    <w:rsid w:val="002065EF"/>
    <w:rsid w:val="00210CFE"/>
    <w:rsid w:val="002114ED"/>
    <w:rsid w:val="0021249B"/>
    <w:rsid w:val="00215F62"/>
    <w:rsid w:val="002161FD"/>
    <w:rsid w:val="00216238"/>
    <w:rsid w:val="002162B6"/>
    <w:rsid w:val="002164C3"/>
    <w:rsid w:val="002165CC"/>
    <w:rsid w:val="00217782"/>
    <w:rsid w:val="00217794"/>
    <w:rsid w:val="00221D4A"/>
    <w:rsid w:val="00222A13"/>
    <w:rsid w:val="00224D52"/>
    <w:rsid w:val="00230B38"/>
    <w:rsid w:val="00231AFE"/>
    <w:rsid w:val="002320FD"/>
    <w:rsid w:val="00233EA8"/>
    <w:rsid w:val="002340C1"/>
    <w:rsid w:val="00235351"/>
    <w:rsid w:val="002357A5"/>
    <w:rsid w:val="0023732A"/>
    <w:rsid w:val="00237A56"/>
    <w:rsid w:val="00244872"/>
    <w:rsid w:val="002459EF"/>
    <w:rsid w:val="00247159"/>
    <w:rsid w:val="00247B04"/>
    <w:rsid w:val="00251EEC"/>
    <w:rsid w:val="002528C0"/>
    <w:rsid w:val="0025533F"/>
    <w:rsid w:val="00257FC7"/>
    <w:rsid w:val="00260E73"/>
    <w:rsid w:val="00261D0C"/>
    <w:rsid w:val="00262261"/>
    <w:rsid w:val="00263C64"/>
    <w:rsid w:val="00264D5F"/>
    <w:rsid w:val="002651B1"/>
    <w:rsid w:val="00270ACD"/>
    <w:rsid w:val="002753A5"/>
    <w:rsid w:val="00275636"/>
    <w:rsid w:val="00277CFD"/>
    <w:rsid w:val="002805F2"/>
    <w:rsid w:val="00284CE2"/>
    <w:rsid w:val="00285669"/>
    <w:rsid w:val="00286A81"/>
    <w:rsid w:val="00286C24"/>
    <w:rsid w:val="0028746A"/>
    <w:rsid w:val="00290ACA"/>
    <w:rsid w:val="00292B6D"/>
    <w:rsid w:val="00292DA7"/>
    <w:rsid w:val="002938D4"/>
    <w:rsid w:val="00293C04"/>
    <w:rsid w:val="00293D72"/>
    <w:rsid w:val="002942FB"/>
    <w:rsid w:val="0029567F"/>
    <w:rsid w:val="00297DFE"/>
    <w:rsid w:val="002A17D9"/>
    <w:rsid w:val="002A26CD"/>
    <w:rsid w:val="002A2864"/>
    <w:rsid w:val="002A410F"/>
    <w:rsid w:val="002A5234"/>
    <w:rsid w:val="002A729B"/>
    <w:rsid w:val="002A7375"/>
    <w:rsid w:val="002B1152"/>
    <w:rsid w:val="002B26A5"/>
    <w:rsid w:val="002B4A51"/>
    <w:rsid w:val="002B4E3C"/>
    <w:rsid w:val="002B50E4"/>
    <w:rsid w:val="002B547C"/>
    <w:rsid w:val="002B678B"/>
    <w:rsid w:val="002B7E81"/>
    <w:rsid w:val="002C2E10"/>
    <w:rsid w:val="002C464D"/>
    <w:rsid w:val="002C56E4"/>
    <w:rsid w:val="002D1003"/>
    <w:rsid w:val="002D1F29"/>
    <w:rsid w:val="002D2531"/>
    <w:rsid w:val="002D490F"/>
    <w:rsid w:val="002D4E87"/>
    <w:rsid w:val="002D6852"/>
    <w:rsid w:val="002D69E9"/>
    <w:rsid w:val="002E01F4"/>
    <w:rsid w:val="002E16FA"/>
    <w:rsid w:val="002E29D5"/>
    <w:rsid w:val="002E3064"/>
    <w:rsid w:val="002E43DF"/>
    <w:rsid w:val="002E58F0"/>
    <w:rsid w:val="002E7745"/>
    <w:rsid w:val="002F139F"/>
    <w:rsid w:val="002F1D4E"/>
    <w:rsid w:val="002F30F7"/>
    <w:rsid w:val="002F453E"/>
    <w:rsid w:val="002F5930"/>
    <w:rsid w:val="002F786B"/>
    <w:rsid w:val="0030241C"/>
    <w:rsid w:val="00302C8E"/>
    <w:rsid w:val="003052B9"/>
    <w:rsid w:val="00307F71"/>
    <w:rsid w:val="003101B8"/>
    <w:rsid w:val="00313CC8"/>
    <w:rsid w:val="00315A67"/>
    <w:rsid w:val="00315D9A"/>
    <w:rsid w:val="0031672C"/>
    <w:rsid w:val="003214D6"/>
    <w:rsid w:val="00321863"/>
    <w:rsid w:val="00321DF5"/>
    <w:rsid w:val="00322382"/>
    <w:rsid w:val="003250B4"/>
    <w:rsid w:val="00326669"/>
    <w:rsid w:val="00327D0B"/>
    <w:rsid w:val="00327EDB"/>
    <w:rsid w:val="00330DD3"/>
    <w:rsid w:val="003323BD"/>
    <w:rsid w:val="0033352A"/>
    <w:rsid w:val="0033360D"/>
    <w:rsid w:val="00334BE9"/>
    <w:rsid w:val="0033633B"/>
    <w:rsid w:val="0033791E"/>
    <w:rsid w:val="00340563"/>
    <w:rsid w:val="00341AE2"/>
    <w:rsid w:val="00341D75"/>
    <w:rsid w:val="0034212F"/>
    <w:rsid w:val="0034358D"/>
    <w:rsid w:val="00344165"/>
    <w:rsid w:val="00346409"/>
    <w:rsid w:val="00346750"/>
    <w:rsid w:val="00346DC1"/>
    <w:rsid w:val="0035161E"/>
    <w:rsid w:val="00351D1F"/>
    <w:rsid w:val="00352520"/>
    <w:rsid w:val="00352BD3"/>
    <w:rsid w:val="00352CB9"/>
    <w:rsid w:val="00354061"/>
    <w:rsid w:val="0035406C"/>
    <w:rsid w:val="003552E8"/>
    <w:rsid w:val="00355C25"/>
    <w:rsid w:val="0035628E"/>
    <w:rsid w:val="00356E72"/>
    <w:rsid w:val="00360DCB"/>
    <w:rsid w:val="00363416"/>
    <w:rsid w:val="00363D2C"/>
    <w:rsid w:val="003646EC"/>
    <w:rsid w:val="00364E64"/>
    <w:rsid w:val="0036544F"/>
    <w:rsid w:val="0036597A"/>
    <w:rsid w:val="00366C85"/>
    <w:rsid w:val="003670B9"/>
    <w:rsid w:val="00370001"/>
    <w:rsid w:val="003711BA"/>
    <w:rsid w:val="00371853"/>
    <w:rsid w:val="003718E4"/>
    <w:rsid w:val="0037265F"/>
    <w:rsid w:val="003729AF"/>
    <w:rsid w:val="00374806"/>
    <w:rsid w:val="00374BE4"/>
    <w:rsid w:val="00375E72"/>
    <w:rsid w:val="0037657D"/>
    <w:rsid w:val="00376594"/>
    <w:rsid w:val="00377391"/>
    <w:rsid w:val="00377BC4"/>
    <w:rsid w:val="00380EB2"/>
    <w:rsid w:val="003821FB"/>
    <w:rsid w:val="00383BD3"/>
    <w:rsid w:val="00383C96"/>
    <w:rsid w:val="003864E6"/>
    <w:rsid w:val="00386892"/>
    <w:rsid w:val="00386CA8"/>
    <w:rsid w:val="0038744C"/>
    <w:rsid w:val="00387861"/>
    <w:rsid w:val="003928EA"/>
    <w:rsid w:val="00392B39"/>
    <w:rsid w:val="00394AFF"/>
    <w:rsid w:val="00396A7D"/>
    <w:rsid w:val="00397505"/>
    <w:rsid w:val="003A00BA"/>
    <w:rsid w:val="003A04FC"/>
    <w:rsid w:val="003A2577"/>
    <w:rsid w:val="003A2AB9"/>
    <w:rsid w:val="003A59D7"/>
    <w:rsid w:val="003A5DA4"/>
    <w:rsid w:val="003A6136"/>
    <w:rsid w:val="003A6715"/>
    <w:rsid w:val="003B0AD8"/>
    <w:rsid w:val="003B0BBF"/>
    <w:rsid w:val="003B35C7"/>
    <w:rsid w:val="003B38BF"/>
    <w:rsid w:val="003B420F"/>
    <w:rsid w:val="003B436D"/>
    <w:rsid w:val="003B57DC"/>
    <w:rsid w:val="003B612B"/>
    <w:rsid w:val="003B72D5"/>
    <w:rsid w:val="003C12BE"/>
    <w:rsid w:val="003C1F2E"/>
    <w:rsid w:val="003C5D42"/>
    <w:rsid w:val="003C5D43"/>
    <w:rsid w:val="003C62EF"/>
    <w:rsid w:val="003C6AFF"/>
    <w:rsid w:val="003D0799"/>
    <w:rsid w:val="003D1445"/>
    <w:rsid w:val="003D17A6"/>
    <w:rsid w:val="003D1B89"/>
    <w:rsid w:val="003D229C"/>
    <w:rsid w:val="003D3C11"/>
    <w:rsid w:val="003D50BD"/>
    <w:rsid w:val="003D72E5"/>
    <w:rsid w:val="003D7642"/>
    <w:rsid w:val="003D7778"/>
    <w:rsid w:val="003D7E86"/>
    <w:rsid w:val="003E095D"/>
    <w:rsid w:val="003E3D4D"/>
    <w:rsid w:val="003E51A1"/>
    <w:rsid w:val="003E5700"/>
    <w:rsid w:val="003E5725"/>
    <w:rsid w:val="003F1C01"/>
    <w:rsid w:val="003F2332"/>
    <w:rsid w:val="003F24DD"/>
    <w:rsid w:val="003F2C41"/>
    <w:rsid w:val="003F2EC3"/>
    <w:rsid w:val="003F4E64"/>
    <w:rsid w:val="003F5DFA"/>
    <w:rsid w:val="003F6367"/>
    <w:rsid w:val="003F651A"/>
    <w:rsid w:val="00400843"/>
    <w:rsid w:val="00401362"/>
    <w:rsid w:val="004029E3"/>
    <w:rsid w:val="00402A80"/>
    <w:rsid w:val="00403235"/>
    <w:rsid w:val="004047B0"/>
    <w:rsid w:val="00404F6E"/>
    <w:rsid w:val="00405857"/>
    <w:rsid w:val="00407100"/>
    <w:rsid w:val="004072D1"/>
    <w:rsid w:val="004103DC"/>
    <w:rsid w:val="00410A99"/>
    <w:rsid w:val="0041141B"/>
    <w:rsid w:val="00413C70"/>
    <w:rsid w:val="00417622"/>
    <w:rsid w:val="004178A6"/>
    <w:rsid w:val="00417959"/>
    <w:rsid w:val="00421961"/>
    <w:rsid w:val="00423256"/>
    <w:rsid w:val="00423D96"/>
    <w:rsid w:val="0042604E"/>
    <w:rsid w:val="004279F6"/>
    <w:rsid w:val="00427D35"/>
    <w:rsid w:val="00432529"/>
    <w:rsid w:val="00434810"/>
    <w:rsid w:val="0043491F"/>
    <w:rsid w:val="00434FD9"/>
    <w:rsid w:val="00435184"/>
    <w:rsid w:val="00435FCA"/>
    <w:rsid w:val="00436E48"/>
    <w:rsid w:val="0043757F"/>
    <w:rsid w:val="004378D0"/>
    <w:rsid w:val="00440538"/>
    <w:rsid w:val="00441011"/>
    <w:rsid w:val="00441CF8"/>
    <w:rsid w:val="00443573"/>
    <w:rsid w:val="00443624"/>
    <w:rsid w:val="00444D82"/>
    <w:rsid w:val="00452598"/>
    <w:rsid w:val="0045409D"/>
    <w:rsid w:val="004560D8"/>
    <w:rsid w:val="004567FC"/>
    <w:rsid w:val="00456C19"/>
    <w:rsid w:val="00457053"/>
    <w:rsid w:val="00461ECB"/>
    <w:rsid w:val="00463948"/>
    <w:rsid w:val="00466581"/>
    <w:rsid w:val="00466F0E"/>
    <w:rsid w:val="0046708A"/>
    <w:rsid w:val="00467869"/>
    <w:rsid w:val="0046791B"/>
    <w:rsid w:val="00467A2B"/>
    <w:rsid w:val="0047015F"/>
    <w:rsid w:val="00470A46"/>
    <w:rsid w:val="00470FA1"/>
    <w:rsid w:val="00473F24"/>
    <w:rsid w:val="00474EAB"/>
    <w:rsid w:val="00475D4C"/>
    <w:rsid w:val="00475F51"/>
    <w:rsid w:val="0047696D"/>
    <w:rsid w:val="00476B2F"/>
    <w:rsid w:val="004800CD"/>
    <w:rsid w:val="00480CAB"/>
    <w:rsid w:val="00482460"/>
    <w:rsid w:val="004829FF"/>
    <w:rsid w:val="004843F9"/>
    <w:rsid w:val="0048464D"/>
    <w:rsid w:val="00484EFB"/>
    <w:rsid w:val="00484F30"/>
    <w:rsid w:val="00485B9F"/>
    <w:rsid w:val="00486265"/>
    <w:rsid w:val="00492D1B"/>
    <w:rsid w:val="004931B4"/>
    <w:rsid w:val="00494DF8"/>
    <w:rsid w:val="00495E26"/>
    <w:rsid w:val="00495FA7"/>
    <w:rsid w:val="004A470D"/>
    <w:rsid w:val="004A57C7"/>
    <w:rsid w:val="004A6C34"/>
    <w:rsid w:val="004A790C"/>
    <w:rsid w:val="004B2AE9"/>
    <w:rsid w:val="004B36FB"/>
    <w:rsid w:val="004B44D2"/>
    <w:rsid w:val="004B71B2"/>
    <w:rsid w:val="004C19DF"/>
    <w:rsid w:val="004C26AC"/>
    <w:rsid w:val="004C28D6"/>
    <w:rsid w:val="004C3F00"/>
    <w:rsid w:val="004C5E4B"/>
    <w:rsid w:val="004D308C"/>
    <w:rsid w:val="004D46EB"/>
    <w:rsid w:val="004D4A15"/>
    <w:rsid w:val="004D5396"/>
    <w:rsid w:val="004D6255"/>
    <w:rsid w:val="004E2431"/>
    <w:rsid w:val="004E2609"/>
    <w:rsid w:val="004E4FEE"/>
    <w:rsid w:val="004E5991"/>
    <w:rsid w:val="004F09FD"/>
    <w:rsid w:val="004F24B1"/>
    <w:rsid w:val="004F3AD7"/>
    <w:rsid w:val="004F5AF7"/>
    <w:rsid w:val="004F6BBC"/>
    <w:rsid w:val="005021AA"/>
    <w:rsid w:val="00503B78"/>
    <w:rsid w:val="00504F6A"/>
    <w:rsid w:val="005059D1"/>
    <w:rsid w:val="00510821"/>
    <w:rsid w:val="00512525"/>
    <w:rsid w:val="00513E76"/>
    <w:rsid w:val="0051560B"/>
    <w:rsid w:val="005158D2"/>
    <w:rsid w:val="005176EF"/>
    <w:rsid w:val="00517CEC"/>
    <w:rsid w:val="0052054B"/>
    <w:rsid w:val="005217CB"/>
    <w:rsid w:val="005221EE"/>
    <w:rsid w:val="0052260B"/>
    <w:rsid w:val="0052275F"/>
    <w:rsid w:val="00525801"/>
    <w:rsid w:val="005265C6"/>
    <w:rsid w:val="00526E9B"/>
    <w:rsid w:val="00527370"/>
    <w:rsid w:val="00527404"/>
    <w:rsid w:val="00527E9C"/>
    <w:rsid w:val="0053021E"/>
    <w:rsid w:val="00532A31"/>
    <w:rsid w:val="00532C86"/>
    <w:rsid w:val="005335AA"/>
    <w:rsid w:val="0053387C"/>
    <w:rsid w:val="005349F8"/>
    <w:rsid w:val="00534A41"/>
    <w:rsid w:val="00535BA5"/>
    <w:rsid w:val="0053696C"/>
    <w:rsid w:val="00536E26"/>
    <w:rsid w:val="0053747D"/>
    <w:rsid w:val="0054057A"/>
    <w:rsid w:val="00540C0F"/>
    <w:rsid w:val="00541DBF"/>
    <w:rsid w:val="00543633"/>
    <w:rsid w:val="005449E0"/>
    <w:rsid w:val="00544E0D"/>
    <w:rsid w:val="00546123"/>
    <w:rsid w:val="005505DB"/>
    <w:rsid w:val="0055092D"/>
    <w:rsid w:val="00551471"/>
    <w:rsid w:val="00552CF6"/>
    <w:rsid w:val="00553935"/>
    <w:rsid w:val="00555ABC"/>
    <w:rsid w:val="005575EB"/>
    <w:rsid w:val="005600CA"/>
    <w:rsid w:val="00560D5B"/>
    <w:rsid w:val="00561AE3"/>
    <w:rsid w:val="00562734"/>
    <w:rsid w:val="005640F6"/>
    <w:rsid w:val="00564570"/>
    <w:rsid w:val="00567252"/>
    <w:rsid w:val="00567E01"/>
    <w:rsid w:val="005706B6"/>
    <w:rsid w:val="00570E71"/>
    <w:rsid w:val="00572D58"/>
    <w:rsid w:val="005731BE"/>
    <w:rsid w:val="005737E7"/>
    <w:rsid w:val="00573EEB"/>
    <w:rsid w:val="00576F34"/>
    <w:rsid w:val="00582923"/>
    <w:rsid w:val="00583FD1"/>
    <w:rsid w:val="005855D1"/>
    <w:rsid w:val="00585D0C"/>
    <w:rsid w:val="005873C5"/>
    <w:rsid w:val="00587BD9"/>
    <w:rsid w:val="005903AA"/>
    <w:rsid w:val="00590E2D"/>
    <w:rsid w:val="00592493"/>
    <w:rsid w:val="00593A13"/>
    <w:rsid w:val="005A1A16"/>
    <w:rsid w:val="005A27AB"/>
    <w:rsid w:val="005A435F"/>
    <w:rsid w:val="005A5984"/>
    <w:rsid w:val="005B0101"/>
    <w:rsid w:val="005B0C72"/>
    <w:rsid w:val="005B3865"/>
    <w:rsid w:val="005B4389"/>
    <w:rsid w:val="005B4956"/>
    <w:rsid w:val="005B5A7D"/>
    <w:rsid w:val="005C0406"/>
    <w:rsid w:val="005C062D"/>
    <w:rsid w:val="005C0E83"/>
    <w:rsid w:val="005C10FF"/>
    <w:rsid w:val="005C1E25"/>
    <w:rsid w:val="005C36EA"/>
    <w:rsid w:val="005C3D0B"/>
    <w:rsid w:val="005C4172"/>
    <w:rsid w:val="005C48A9"/>
    <w:rsid w:val="005C48ED"/>
    <w:rsid w:val="005C4D85"/>
    <w:rsid w:val="005C50ED"/>
    <w:rsid w:val="005D0005"/>
    <w:rsid w:val="005D07B2"/>
    <w:rsid w:val="005D0F96"/>
    <w:rsid w:val="005D4C76"/>
    <w:rsid w:val="005D7EC4"/>
    <w:rsid w:val="005E3534"/>
    <w:rsid w:val="005E4B2F"/>
    <w:rsid w:val="005E4BBB"/>
    <w:rsid w:val="005E5294"/>
    <w:rsid w:val="005E663A"/>
    <w:rsid w:val="005E673F"/>
    <w:rsid w:val="005E67A7"/>
    <w:rsid w:val="005F25BA"/>
    <w:rsid w:val="005F48FB"/>
    <w:rsid w:val="005F4BD4"/>
    <w:rsid w:val="005F5D53"/>
    <w:rsid w:val="005F6911"/>
    <w:rsid w:val="006022B1"/>
    <w:rsid w:val="00603F2C"/>
    <w:rsid w:val="006049F6"/>
    <w:rsid w:val="0060512C"/>
    <w:rsid w:val="006052F6"/>
    <w:rsid w:val="00605311"/>
    <w:rsid w:val="0060531C"/>
    <w:rsid w:val="00606AB9"/>
    <w:rsid w:val="0060798B"/>
    <w:rsid w:val="0061046D"/>
    <w:rsid w:val="00610A24"/>
    <w:rsid w:val="00612EF2"/>
    <w:rsid w:val="006138CE"/>
    <w:rsid w:val="00616649"/>
    <w:rsid w:val="00622BB4"/>
    <w:rsid w:val="00623B00"/>
    <w:rsid w:val="0062470F"/>
    <w:rsid w:val="00624DF8"/>
    <w:rsid w:val="00625464"/>
    <w:rsid w:val="00625497"/>
    <w:rsid w:val="00626645"/>
    <w:rsid w:val="00632D70"/>
    <w:rsid w:val="006335D4"/>
    <w:rsid w:val="006359B1"/>
    <w:rsid w:val="00636C33"/>
    <w:rsid w:val="00641E4E"/>
    <w:rsid w:val="00642202"/>
    <w:rsid w:val="00643E5B"/>
    <w:rsid w:val="00644A0B"/>
    <w:rsid w:val="00645641"/>
    <w:rsid w:val="0064608B"/>
    <w:rsid w:val="006473A0"/>
    <w:rsid w:val="00650915"/>
    <w:rsid w:val="00652637"/>
    <w:rsid w:val="0065538C"/>
    <w:rsid w:val="00656290"/>
    <w:rsid w:val="006602B9"/>
    <w:rsid w:val="006617E3"/>
    <w:rsid w:val="00661EDE"/>
    <w:rsid w:val="00662CEC"/>
    <w:rsid w:val="00662E36"/>
    <w:rsid w:val="00663865"/>
    <w:rsid w:val="00663EAC"/>
    <w:rsid w:val="0066679F"/>
    <w:rsid w:val="00670D63"/>
    <w:rsid w:val="00670F2B"/>
    <w:rsid w:val="006716D5"/>
    <w:rsid w:val="006721F0"/>
    <w:rsid w:val="006747E9"/>
    <w:rsid w:val="00674C68"/>
    <w:rsid w:val="00675757"/>
    <w:rsid w:val="00676E25"/>
    <w:rsid w:val="00677262"/>
    <w:rsid w:val="00682569"/>
    <w:rsid w:val="00683EF5"/>
    <w:rsid w:val="00686A3D"/>
    <w:rsid w:val="00687882"/>
    <w:rsid w:val="006878EA"/>
    <w:rsid w:val="00687D75"/>
    <w:rsid w:val="00692FCE"/>
    <w:rsid w:val="00692FD9"/>
    <w:rsid w:val="00695E49"/>
    <w:rsid w:val="00696000"/>
    <w:rsid w:val="0069610D"/>
    <w:rsid w:val="006A1405"/>
    <w:rsid w:val="006A1487"/>
    <w:rsid w:val="006A168D"/>
    <w:rsid w:val="006A1D01"/>
    <w:rsid w:val="006A2020"/>
    <w:rsid w:val="006A278D"/>
    <w:rsid w:val="006A2A7E"/>
    <w:rsid w:val="006A4424"/>
    <w:rsid w:val="006A480C"/>
    <w:rsid w:val="006A61CD"/>
    <w:rsid w:val="006A6419"/>
    <w:rsid w:val="006A6537"/>
    <w:rsid w:val="006A71D3"/>
    <w:rsid w:val="006A7B4B"/>
    <w:rsid w:val="006B0AB3"/>
    <w:rsid w:val="006B24FC"/>
    <w:rsid w:val="006B36FD"/>
    <w:rsid w:val="006B3ABD"/>
    <w:rsid w:val="006B4284"/>
    <w:rsid w:val="006B4977"/>
    <w:rsid w:val="006B49BB"/>
    <w:rsid w:val="006B6DBE"/>
    <w:rsid w:val="006C06FD"/>
    <w:rsid w:val="006C35F4"/>
    <w:rsid w:val="006C36B8"/>
    <w:rsid w:val="006C38F6"/>
    <w:rsid w:val="006C5C2B"/>
    <w:rsid w:val="006C6E0A"/>
    <w:rsid w:val="006C751F"/>
    <w:rsid w:val="006D1979"/>
    <w:rsid w:val="006D214A"/>
    <w:rsid w:val="006D28AD"/>
    <w:rsid w:val="006D2ABD"/>
    <w:rsid w:val="006D3153"/>
    <w:rsid w:val="006D69C6"/>
    <w:rsid w:val="006E051B"/>
    <w:rsid w:val="006E0608"/>
    <w:rsid w:val="006E2349"/>
    <w:rsid w:val="006E3BBA"/>
    <w:rsid w:val="006E5D23"/>
    <w:rsid w:val="006E756F"/>
    <w:rsid w:val="006F09DA"/>
    <w:rsid w:val="006F2779"/>
    <w:rsid w:val="006F3190"/>
    <w:rsid w:val="006F3CE0"/>
    <w:rsid w:val="006F5675"/>
    <w:rsid w:val="006F5E13"/>
    <w:rsid w:val="00702F62"/>
    <w:rsid w:val="0070301B"/>
    <w:rsid w:val="00705AB4"/>
    <w:rsid w:val="007066F5"/>
    <w:rsid w:val="007078C4"/>
    <w:rsid w:val="00711541"/>
    <w:rsid w:val="00712682"/>
    <w:rsid w:val="00712AD5"/>
    <w:rsid w:val="00712F6F"/>
    <w:rsid w:val="0071421F"/>
    <w:rsid w:val="0071675F"/>
    <w:rsid w:val="00716D0A"/>
    <w:rsid w:val="00717C19"/>
    <w:rsid w:val="007213F0"/>
    <w:rsid w:val="0072235A"/>
    <w:rsid w:val="00723642"/>
    <w:rsid w:val="007262B9"/>
    <w:rsid w:val="007270E5"/>
    <w:rsid w:val="00727C5A"/>
    <w:rsid w:val="00730E33"/>
    <w:rsid w:val="00731393"/>
    <w:rsid w:val="00733BA9"/>
    <w:rsid w:val="00733C9D"/>
    <w:rsid w:val="00734D86"/>
    <w:rsid w:val="007364AD"/>
    <w:rsid w:val="0073795B"/>
    <w:rsid w:val="007404E9"/>
    <w:rsid w:val="00741956"/>
    <w:rsid w:val="007420E7"/>
    <w:rsid w:val="00742A60"/>
    <w:rsid w:val="007439DF"/>
    <w:rsid w:val="00743E6C"/>
    <w:rsid w:val="00744BA9"/>
    <w:rsid w:val="00744CE8"/>
    <w:rsid w:val="00745024"/>
    <w:rsid w:val="007450F1"/>
    <w:rsid w:val="00745FFD"/>
    <w:rsid w:val="007472F0"/>
    <w:rsid w:val="00747760"/>
    <w:rsid w:val="00751A13"/>
    <w:rsid w:val="00754746"/>
    <w:rsid w:val="00754CE6"/>
    <w:rsid w:val="00754F92"/>
    <w:rsid w:val="00756BE8"/>
    <w:rsid w:val="0075701A"/>
    <w:rsid w:val="00757AFB"/>
    <w:rsid w:val="007623E0"/>
    <w:rsid w:val="00762A0D"/>
    <w:rsid w:val="00762D4A"/>
    <w:rsid w:val="007630E7"/>
    <w:rsid w:val="0076359E"/>
    <w:rsid w:val="00763DBC"/>
    <w:rsid w:val="007640AD"/>
    <w:rsid w:val="00766267"/>
    <w:rsid w:val="007674A8"/>
    <w:rsid w:val="0077033C"/>
    <w:rsid w:val="007713C2"/>
    <w:rsid w:val="007756A0"/>
    <w:rsid w:val="00775C1B"/>
    <w:rsid w:val="00776E16"/>
    <w:rsid w:val="00777610"/>
    <w:rsid w:val="00780121"/>
    <w:rsid w:val="00780910"/>
    <w:rsid w:val="007829C9"/>
    <w:rsid w:val="0078592E"/>
    <w:rsid w:val="007872A3"/>
    <w:rsid w:val="0079067F"/>
    <w:rsid w:val="00792513"/>
    <w:rsid w:val="00792841"/>
    <w:rsid w:val="0079509B"/>
    <w:rsid w:val="007959A1"/>
    <w:rsid w:val="007969B5"/>
    <w:rsid w:val="007A1A6C"/>
    <w:rsid w:val="007A216E"/>
    <w:rsid w:val="007A2892"/>
    <w:rsid w:val="007A7E4C"/>
    <w:rsid w:val="007B08C0"/>
    <w:rsid w:val="007B1094"/>
    <w:rsid w:val="007B3822"/>
    <w:rsid w:val="007B409F"/>
    <w:rsid w:val="007B46C0"/>
    <w:rsid w:val="007B671A"/>
    <w:rsid w:val="007C046D"/>
    <w:rsid w:val="007C0D64"/>
    <w:rsid w:val="007C15DC"/>
    <w:rsid w:val="007C37A6"/>
    <w:rsid w:val="007C538E"/>
    <w:rsid w:val="007C724B"/>
    <w:rsid w:val="007D0166"/>
    <w:rsid w:val="007D1D89"/>
    <w:rsid w:val="007D354B"/>
    <w:rsid w:val="007D4DD4"/>
    <w:rsid w:val="007D747A"/>
    <w:rsid w:val="007E032D"/>
    <w:rsid w:val="007E0B6C"/>
    <w:rsid w:val="007E6DDB"/>
    <w:rsid w:val="007E7E58"/>
    <w:rsid w:val="007F021F"/>
    <w:rsid w:val="007F02F9"/>
    <w:rsid w:val="007F3872"/>
    <w:rsid w:val="007F3946"/>
    <w:rsid w:val="007F6BA4"/>
    <w:rsid w:val="00800604"/>
    <w:rsid w:val="00800E48"/>
    <w:rsid w:val="008018CA"/>
    <w:rsid w:val="008033A3"/>
    <w:rsid w:val="00804770"/>
    <w:rsid w:val="00804B04"/>
    <w:rsid w:val="00806103"/>
    <w:rsid w:val="0080691E"/>
    <w:rsid w:val="00807F56"/>
    <w:rsid w:val="0081341C"/>
    <w:rsid w:val="0081360B"/>
    <w:rsid w:val="00815BFD"/>
    <w:rsid w:val="00815EA1"/>
    <w:rsid w:val="00817683"/>
    <w:rsid w:val="00820758"/>
    <w:rsid w:val="00821A74"/>
    <w:rsid w:val="00822735"/>
    <w:rsid w:val="0082360A"/>
    <w:rsid w:val="008268F6"/>
    <w:rsid w:val="0082697B"/>
    <w:rsid w:val="00830940"/>
    <w:rsid w:val="00831A49"/>
    <w:rsid w:val="00831B8C"/>
    <w:rsid w:val="00835A32"/>
    <w:rsid w:val="008378E0"/>
    <w:rsid w:val="0084100C"/>
    <w:rsid w:val="00841588"/>
    <w:rsid w:val="008419FB"/>
    <w:rsid w:val="00842C4D"/>
    <w:rsid w:val="00843AAF"/>
    <w:rsid w:val="0084560C"/>
    <w:rsid w:val="00846387"/>
    <w:rsid w:val="00846C8F"/>
    <w:rsid w:val="00850BBC"/>
    <w:rsid w:val="00850F7F"/>
    <w:rsid w:val="00851213"/>
    <w:rsid w:val="008521DE"/>
    <w:rsid w:val="008524FF"/>
    <w:rsid w:val="00852FB0"/>
    <w:rsid w:val="00853B4E"/>
    <w:rsid w:val="00854F7A"/>
    <w:rsid w:val="00855071"/>
    <w:rsid w:val="00855168"/>
    <w:rsid w:val="00855906"/>
    <w:rsid w:val="008628CB"/>
    <w:rsid w:val="00862942"/>
    <w:rsid w:val="00862EDC"/>
    <w:rsid w:val="008647EF"/>
    <w:rsid w:val="00867A31"/>
    <w:rsid w:val="00867C27"/>
    <w:rsid w:val="00867EDF"/>
    <w:rsid w:val="00870E8A"/>
    <w:rsid w:val="00873566"/>
    <w:rsid w:val="0087415F"/>
    <w:rsid w:val="00874BB4"/>
    <w:rsid w:val="008750EB"/>
    <w:rsid w:val="0087555A"/>
    <w:rsid w:val="0087691D"/>
    <w:rsid w:val="00880B7D"/>
    <w:rsid w:val="00880DDA"/>
    <w:rsid w:val="00884F8A"/>
    <w:rsid w:val="00885879"/>
    <w:rsid w:val="00886F3A"/>
    <w:rsid w:val="0088769E"/>
    <w:rsid w:val="008879F1"/>
    <w:rsid w:val="0089098F"/>
    <w:rsid w:val="00890C0F"/>
    <w:rsid w:val="00891CB7"/>
    <w:rsid w:val="008927FE"/>
    <w:rsid w:val="00892A8A"/>
    <w:rsid w:val="00894D33"/>
    <w:rsid w:val="00896A48"/>
    <w:rsid w:val="00896D4A"/>
    <w:rsid w:val="008A0118"/>
    <w:rsid w:val="008A094B"/>
    <w:rsid w:val="008A0D3A"/>
    <w:rsid w:val="008A2FDC"/>
    <w:rsid w:val="008A3ADC"/>
    <w:rsid w:val="008A4A8C"/>
    <w:rsid w:val="008A66C3"/>
    <w:rsid w:val="008A7BB2"/>
    <w:rsid w:val="008B063F"/>
    <w:rsid w:val="008B06B8"/>
    <w:rsid w:val="008B1121"/>
    <w:rsid w:val="008B308F"/>
    <w:rsid w:val="008B44C0"/>
    <w:rsid w:val="008B4A7D"/>
    <w:rsid w:val="008B5B41"/>
    <w:rsid w:val="008B5D50"/>
    <w:rsid w:val="008B64BB"/>
    <w:rsid w:val="008B6513"/>
    <w:rsid w:val="008B6980"/>
    <w:rsid w:val="008B73A0"/>
    <w:rsid w:val="008B7481"/>
    <w:rsid w:val="008C02DB"/>
    <w:rsid w:val="008C1E2C"/>
    <w:rsid w:val="008C3B04"/>
    <w:rsid w:val="008C3CB8"/>
    <w:rsid w:val="008C5A87"/>
    <w:rsid w:val="008C5C0E"/>
    <w:rsid w:val="008C6B07"/>
    <w:rsid w:val="008C6F03"/>
    <w:rsid w:val="008C6F5C"/>
    <w:rsid w:val="008C7B2E"/>
    <w:rsid w:val="008C7B81"/>
    <w:rsid w:val="008C7DCB"/>
    <w:rsid w:val="008D123A"/>
    <w:rsid w:val="008D6015"/>
    <w:rsid w:val="008E20F8"/>
    <w:rsid w:val="008E3675"/>
    <w:rsid w:val="008E4DD9"/>
    <w:rsid w:val="008E50C5"/>
    <w:rsid w:val="008E7FC2"/>
    <w:rsid w:val="008F1618"/>
    <w:rsid w:val="008F2019"/>
    <w:rsid w:val="008F2ED9"/>
    <w:rsid w:val="008F2F55"/>
    <w:rsid w:val="008F4BE9"/>
    <w:rsid w:val="008F5E32"/>
    <w:rsid w:val="008F66FE"/>
    <w:rsid w:val="008F6D0F"/>
    <w:rsid w:val="00902651"/>
    <w:rsid w:val="0090331C"/>
    <w:rsid w:val="0090400D"/>
    <w:rsid w:val="009041E0"/>
    <w:rsid w:val="00904449"/>
    <w:rsid w:val="00905DD0"/>
    <w:rsid w:val="0091017B"/>
    <w:rsid w:val="0091142D"/>
    <w:rsid w:val="00912F76"/>
    <w:rsid w:val="00914B7B"/>
    <w:rsid w:val="009160A2"/>
    <w:rsid w:val="009169D8"/>
    <w:rsid w:val="00917BEC"/>
    <w:rsid w:val="0092370A"/>
    <w:rsid w:val="00924287"/>
    <w:rsid w:val="00924AFA"/>
    <w:rsid w:val="00925CA8"/>
    <w:rsid w:val="00926412"/>
    <w:rsid w:val="009271A3"/>
    <w:rsid w:val="00927CC4"/>
    <w:rsid w:val="009313FB"/>
    <w:rsid w:val="00931E4C"/>
    <w:rsid w:val="009325CE"/>
    <w:rsid w:val="00933688"/>
    <w:rsid w:val="00941277"/>
    <w:rsid w:val="009423C5"/>
    <w:rsid w:val="00943085"/>
    <w:rsid w:val="00946427"/>
    <w:rsid w:val="00950449"/>
    <w:rsid w:val="0095069D"/>
    <w:rsid w:val="00950F33"/>
    <w:rsid w:val="009521DC"/>
    <w:rsid w:val="009535AC"/>
    <w:rsid w:val="00954362"/>
    <w:rsid w:val="009546BB"/>
    <w:rsid w:val="0095502F"/>
    <w:rsid w:val="00955BB5"/>
    <w:rsid w:val="00960CAB"/>
    <w:rsid w:val="00962485"/>
    <w:rsid w:val="00962E76"/>
    <w:rsid w:val="0096335C"/>
    <w:rsid w:val="0096450A"/>
    <w:rsid w:val="009657B6"/>
    <w:rsid w:val="00966E7F"/>
    <w:rsid w:val="009705A9"/>
    <w:rsid w:val="009708FF"/>
    <w:rsid w:val="009721E8"/>
    <w:rsid w:val="009728A5"/>
    <w:rsid w:val="00972B9A"/>
    <w:rsid w:val="009738A2"/>
    <w:rsid w:val="009746CF"/>
    <w:rsid w:val="009749BB"/>
    <w:rsid w:val="0098038F"/>
    <w:rsid w:val="00983E78"/>
    <w:rsid w:val="0098549C"/>
    <w:rsid w:val="00985A4C"/>
    <w:rsid w:val="0098628F"/>
    <w:rsid w:val="0098685D"/>
    <w:rsid w:val="0098688D"/>
    <w:rsid w:val="00987271"/>
    <w:rsid w:val="00987889"/>
    <w:rsid w:val="0098792D"/>
    <w:rsid w:val="00990B8D"/>
    <w:rsid w:val="009912FD"/>
    <w:rsid w:val="00991EF1"/>
    <w:rsid w:val="00994913"/>
    <w:rsid w:val="00996E82"/>
    <w:rsid w:val="009A02E9"/>
    <w:rsid w:val="009A37FD"/>
    <w:rsid w:val="009A3837"/>
    <w:rsid w:val="009A4CE3"/>
    <w:rsid w:val="009A7171"/>
    <w:rsid w:val="009A73E2"/>
    <w:rsid w:val="009B05E3"/>
    <w:rsid w:val="009B18C6"/>
    <w:rsid w:val="009B27BB"/>
    <w:rsid w:val="009B372E"/>
    <w:rsid w:val="009B3759"/>
    <w:rsid w:val="009B3B7F"/>
    <w:rsid w:val="009B3C0A"/>
    <w:rsid w:val="009B3C6F"/>
    <w:rsid w:val="009B4A76"/>
    <w:rsid w:val="009B6340"/>
    <w:rsid w:val="009B7BD0"/>
    <w:rsid w:val="009C030B"/>
    <w:rsid w:val="009C082B"/>
    <w:rsid w:val="009C0CFF"/>
    <w:rsid w:val="009C1346"/>
    <w:rsid w:val="009C154B"/>
    <w:rsid w:val="009C2036"/>
    <w:rsid w:val="009C36D4"/>
    <w:rsid w:val="009C36E0"/>
    <w:rsid w:val="009C3ACC"/>
    <w:rsid w:val="009C4819"/>
    <w:rsid w:val="009C5B9B"/>
    <w:rsid w:val="009C6465"/>
    <w:rsid w:val="009C6535"/>
    <w:rsid w:val="009C7472"/>
    <w:rsid w:val="009D030D"/>
    <w:rsid w:val="009D3CF2"/>
    <w:rsid w:val="009D3E21"/>
    <w:rsid w:val="009D4798"/>
    <w:rsid w:val="009D4EC1"/>
    <w:rsid w:val="009D55AA"/>
    <w:rsid w:val="009D5814"/>
    <w:rsid w:val="009E1006"/>
    <w:rsid w:val="009E2A0C"/>
    <w:rsid w:val="009E4B85"/>
    <w:rsid w:val="009E65DD"/>
    <w:rsid w:val="009E71B9"/>
    <w:rsid w:val="009F133F"/>
    <w:rsid w:val="009F146A"/>
    <w:rsid w:val="009F1814"/>
    <w:rsid w:val="009F1991"/>
    <w:rsid w:val="009F22C2"/>
    <w:rsid w:val="009F2BCD"/>
    <w:rsid w:val="009F5AFD"/>
    <w:rsid w:val="00A0168A"/>
    <w:rsid w:val="00A02204"/>
    <w:rsid w:val="00A02298"/>
    <w:rsid w:val="00A02AA3"/>
    <w:rsid w:val="00A047A9"/>
    <w:rsid w:val="00A05424"/>
    <w:rsid w:val="00A055C8"/>
    <w:rsid w:val="00A05963"/>
    <w:rsid w:val="00A05AD7"/>
    <w:rsid w:val="00A065F0"/>
    <w:rsid w:val="00A06B69"/>
    <w:rsid w:val="00A118FF"/>
    <w:rsid w:val="00A1203B"/>
    <w:rsid w:val="00A130EB"/>
    <w:rsid w:val="00A13699"/>
    <w:rsid w:val="00A148F1"/>
    <w:rsid w:val="00A14BAA"/>
    <w:rsid w:val="00A15927"/>
    <w:rsid w:val="00A2314B"/>
    <w:rsid w:val="00A23B6C"/>
    <w:rsid w:val="00A25351"/>
    <w:rsid w:val="00A2596B"/>
    <w:rsid w:val="00A26BB0"/>
    <w:rsid w:val="00A30960"/>
    <w:rsid w:val="00A32BE0"/>
    <w:rsid w:val="00A33A9F"/>
    <w:rsid w:val="00A33E17"/>
    <w:rsid w:val="00A33F93"/>
    <w:rsid w:val="00A36416"/>
    <w:rsid w:val="00A37CC5"/>
    <w:rsid w:val="00A41B61"/>
    <w:rsid w:val="00A425AC"/>
    <w:rsid w:val="00A43D98"/>
    <w:rsid w:val="00A51C00"/>
    <w:rsid w:val="00A51DF6"/>
    <w:rsid w:val="00A525CD"/>
    <w:rsid w:val="00A5461C"/>
    <w:rsid w:val="00A5559A"/>
    <w:rsid w:val="00A607D5"/>
    <w:rsid w:val="00A6179F"/>
    <w:rsid w:val="00A622C4"/>
    <w:rsid w:val="00A6341D"/>
    <w:rsid w:val="00A63DDA"/>
    <w:rsid w:val="00A63F1B"/>
    <w:rsid w:val="00A65932"/>
    <w:rsid w:val="00A701F7"/>
    <w:rsid w:val="00A703D2"/>
    <w:rsid w:val="00A70AE0"/>
    <w:rsid w:val="00A71B0D"/>
    <w:rsid w:val="00A738DC"/>
    <w:rsid w:val="00A73F4D"/>
    <w:rsid w:val="00A74190"/>
    <w:rsid w:val="00A74B40"/>
    <w:rsid w:val="00A75B77"/>
    <w:rsid w:val="00A76726"/>
    <w:rsid w:val="00A779ED"/>
    <w:rsid w:val="00A80E0F"/>
    <w:rsid w:val="00A80FA7"/>
    <w:rsid w:val="00A8187B"/>
    <w:rsid w:val="00A83B83"/>
    <w:rsid w:val="00A85424"/>
    <w:rsid w:val="00A87D72"/>
    <w:rsid w:val="00A9176D"/>
    <w:rsid w:val="00A9440C"/>
    <w:rsid w:val="00A94577"/>
    <w:rsid w:val="00A945A7"/>
    <w:rsid w:val="00A95DAC"/>
    <w:rsid w:val="00A96503"/>
    <w:rsid w:val="00A96CD5"/>
    <w:rsid w:val="00A9706A"/>
    <w:rsid w:val="00AA1788"/>
    <w:rsid w:val="00AA3F70"/>
    <w:rsid w:val="00AA670B"/>
    <w:rsid w:val="00AA6A8B"/>
    <w:rsid w:val="00AB06E6"/>
    <w:rsid w:val="00AB0D90"/>
    <w:rsid w:val="00AB1C04"/>
    <w:rsid w:val="00AB27C7"/>
    <w:rsid w:val="00AB3146"/>
    <w:rsid w:val="00AB37F7"/>
    <w:rsid w:val="00AB3BB9"/>
    <w:rsid w:val="00AB428E"/>
    <w:rsid w:val="00AB5235"/>
    <w:rsid w:val="00AB5DA4"/>
    <w:rsid w:val="00AB69D3"/>
    <w:rsid w:val="00AB74B3"/>
    <w:rsid w:val="00AB77AE"/>
    <w:rsid w:val="00AB7B19"/>
    <w:rsid w:val="00AC099E"/>
    <w:rsid w:val="00AC2D29"/>
    <w:rsid w:val="00AC3474"/>
    <w:rsid w:val="00AC44DE"/>
    <w:rsid w:val="00AC716B"/>
    <w:rsid w:val="00AD0A56"/>
    <w:rsid w:val="00AD0E2D"/>
    <w:rsid w:val="00AD1843"/>
    <w:rsid w:val="00AD579A"/>
    <w:rsid w:val="00AD651D"/>
    <w:rsid w:val="00AD6A92"/>
    <w:rsid w:val="00AD7D15"/>
    <w:rsid w:val="00AE0F3A"/>
    <w:rsid w:val="00AE1FF9"/>
    <w:rsid w:val="00AE2C80"/>
    <w:rsid w:val="00AE3395"/>
    <w:rsid w:val="00AE3BA2"/>
    <w:rsid w:val="00AE4730"/>
    <w:rsid w:val="00AE7FD0"/>
    <w:rsid w:val="00AF02F6"/>
    <w:rsid w:val="00AF0474"/>
    <w:rsid w:val="00AF072C"/>
    <w:rsid w:val="00AF3239"/>
    <w:rsid w:val="00B011B0"/>
    <w:rsid w:val="00B05BBD"/>
    <w:rsid w:val="00B06B0C"/>
    <w:rsid w:val="00B0779B"/>
    <w:rsid w:val="00B10766"/>
    <w:rsid w:val="00B10FF6"/>
    <w:rsid w:val="00B11CB3"/>
    <w:rsid w:val="00B12DEC"/>
    <w:rsid w:val="00B13468"/>
    <w:rsid w:val="00B14496"/>
    <w:rsid w:val="00B148BE"/>
    <w:rsid w:val="00B1496B"/>
    <w:rsid w:val="00B14988"/>
    <w:rsid w:val="00B14B05"/>
    <w:rsid w:val="00B15DB5"/>
    <w:rsid w:val="00B16759"/>
    <w:rsid w:val="00B16A68"/>
    <w:rsid w:val="00B22004"/>
    <w:rsid w:val="00B23D36"/>
    <w:rsid w:val="00B23D42"/>
    <w:rsid w:val="00B25FF8"/>
    <w:rsid w:val="00B272AB"/>
    <w:rsid w:val="00B34FC6"/>
    <w:rsid w:val="00B36C67"/>
    <w:rsid w:val="00B37BA1"/>
    <w:rsid w:val="00B40597"/>
    <w:rsid w:val="00B40864"/>
    <w:rsid w:val="00B418AF"/>
    <w:rsid w:val="00B42618"/>
    <w:rsid w:val="00B433A6"/>
    <w:rsid w:val="00B4360B"/>
    <w:rsid w:val="00B43BA8"/>
    <w:rsid w:val="00B44DE9"/>
    <w:rsid w:val="00B44F98"/>
    <w:rsid w:val="00B4506B"/>
    <w:rsid w:val="00B50945"/>
    <w:rsid w:val="00B51472"/>
    <w:rsid w:val="00B519DA"/>
    <w:rsid w:val="00B534D4"/>
    <w:rsid w:val="00B56DDD"/>
    <w:rsid w:val="00B636F6"/>
    <w:rsid w:val="00B67010"/>
    <w:rsid w:val="00B6714C"/>
    <w:rsid w:val="00B67B5A"/>
    <w:rsid w:val="00B7618B"/>
    <w:rsid w:val="00B775C0"/>
    <w:rsid w:val="00B81121"/>
    <w:rsid w:val="00B817BF"/>
    <w:rsid w:val="00B84DC3"/>
    <w:rsid w:val="00B84DCF"/>
    <w:rsid w:val="00B84E34"/>
    <w:rsid w:val="00B86876"/>
    <w:rsid w:val="00B86980"/>
    <w:rsid w:val="00B91C5D"/>
    <w:rsid w:val="00B92377"/>
    <w:rsid w:val="00B92617"/>
    <w:rsid w:val="00B92FD1"/>
    <w:rsid w:val="00B93376"/>
    <w:rsid w:val="00B93C8A"/>
    <w:rsid w:val="00B97D99"/>
    <w:rsid w:val="00BA3487"/>
    <w:rsid w:val="00BA3629"/>
    <w:rsid w:val="00BA43C7"/>
    <w:rsid w:val="00BA5C4A"/>
    <w:rsid w:val="00BA609A"/>
    <w:rsid w:val="00BA63FD"/>
    <w:rsid w:val="00BA6660"/>
    <w:rsid w:val="00BA6C0C"/>
    <w:rsid w:val="00BA74C2"/>
    <w:rsid w:val="00BB084B"/>
    <w:rsid w:val="00BB0A6C"/>
    <w:rsid w:val="00BB305E"/>
    <w:rsid w:val="00BB39D9"/>
    <w:rsid w:val="00BB5364"/>
    <w:rsid w:val="00BB68BA"/>
    <w:rsid w:val="00BB6DD9"/>
    <w:rsid w:val="00BB7CB4"/>
    <w:rsid w:val="00BC1018"/>
    <w:rsid w:val="00BC1562"/>
    <w:rsid w:val="00BC36C4"/>
    <w:rsid w:val="00BC3FD5"/>
    <w:rsid w:val="00BC7957"/>
    <w:rsid w:val="00BC7B20"/>
    <w:rsid w:val="00BD1D44"/>
    <w:rsid w:val="00BD2F6C"/>
    <w:rsid w:val="00BD3477"/>
    <w:rsid w:val="00BD38D4"/>
    <w:rsid w:val="00BD3ED2"/>
    <w:rsid w:val="00BD7F0B"/>
    <w:rsid w:val="00BE25FE"/>
    <w:rsid w:val="00BE3C91"/>
    <w:rsid w:val="00BE499D"/>
    <w:rsid w:val="00BE606A"/>
    <w:rsid w:val="00BF05B5"/>
    <w:rsid w:val="00BF0E6F"/>
    <w:rsid w:val="00BF1F4F"/>
    <w:rsid w:val="00BF1F8A"/>
    <w:rsid w:val="00BF3325"/>
    <w:rsid w:val="00BF71AA"/>
    <w:rsid w:val="00C002AE"/>
    <w:rsid w:val="00C025A2"/>
    <w:rsid w:val="00C06415"/>
    <w:rsid w:val="00C06A38"/>
    <w:rsid w:val="00C10F25"/>
    <w:rsid w:val="00C118BE"/>
    <w:rsid w:val="00C125AA"/>
    <w:rsid w:val="00C13388"/>
    <w:rsid w:val="00C138BF"/>
    <w:rsid w:val="00C174B7"/>
    <w:rsid w:val="00C17923"/>
    <w:rsid w:val="00C2013C"/>
    <w:rsid w:val="00C203A6"/>
    <w:rsid w:val="00C2187C"/>
    <w:rsid w:val="00C2217A"/>
    <w:rsid w:val="00C23E66"/>
    <w:rsid w:val="00C25EF3"/>
    <w:rsid w:val="00C26173"/>
    <w:rsid w:val="00C26BB2"/>
    <w:rsid w:val="00C270E2"/>
    <w:rsid w:val="00C32DB9"/>
    <w:rsid w:val="00C33279"/>
    <w:rsid w:val="00C3453C"/>
    <w:rsid w:val="00C34F12"/>
    <w:rsid w:val="00C35E38"/>
    <w:rsid w:val="00C36626"/>
    <w:rsid w:val="00C37464"/>
    <w:rsid w:val="00C40E6D"/>
    <w:rsid w:val="00C41A4B"/>
    <w:rsid w:val="00C44AF5"/>
    <w:rsid w:val="00C50834"/>
    <w:rsid w:val="00C50C3C"/>
    <w:rsid w:val="00C51547"/>
    <w:rsid w:val="00C556A6"/>
    <w:rsid w:val="00C60515"/>
    <w:rsid w:val="00C608EB"/>
    <w:rsid w:val="00C6155F"/>
    <w:rsid w:val="00C61C8D"/>
    <w:rsid w:val="00C64BE8"/>
    <w:rsid w:val="00C6641B"/>
    <w:rsid w:val="00C7157D"/>
    <w:rsid w:val="00C720F8"/>
    <w:rsid w:val="00C72902"/>
    <w:rsid w:val="00C73332"/>
    <w:rsid w:val="00C7375F"/>
    <w:rsid w:val="00C74F56"/>
    <w:rsid w:val="00C754FC"/>
    <w:rsid w:val="00C75944"/>
    <w:rsid w:val="00C768C6"/>
    <w:rsid w:val="00C773D4"/>
    <w:rsid w:val="00C8062D"/>
    <w:rsid w:val="00C81697"/>
    <w:rsid w:val="00C82F05"/>
    <w:rsid w:val="00C83A20"/>
    <w:rsid w:val="00C84743"/>
    <w:rsid w:val="00C85A10"/>
    <w:rsid w:val="00C9078B"/>
    <w:rsid w:val="00C9164C"/>
    <w:rsid w:val="00C91C31"/>
    <w:rsid w:val="00C9306F"/>
    <w:rsid w:val="00C94693"/>
    <w:rsid w:val="00C9495D"/>
    <w:rsid w:val="00C952C0"/>
    <w:rsid w:val="00C95E88"/>
    <w:rsid w:val="00C9720A"/>
    <w:rsid w:val="00C9727A"/>
    <w:rsid w:val="00C97F91"/>
    <w:rsid w:val="00CA05A1"/>
    <w:rsid w:val="00CA1EFB"/>
    <w:rsid w:val="00CA31CF"/>
    <w:rsid w:val="00CA5CC2"/>
    <w:rsid w:val="00CA7280"/>
    <w:rsid w:val="00CB1B86"/>
    <w:rsid w:val="00CB3CDB"/>
    <w:rsid w:val="00CC0EE3"/>
    <w:rsid w:val="00CC735A"/>
    <w:rsid w:val="00CC7F6B"/>
    <w:rsid w:val="00CD33C6"/>
    <w:rsid w:val="00CD3D31"/>
    <w:rsid w:val="00CD4B61"/>
    <w:rsid w:val="00CD5BDB"/>
    <w:rsid w:val="00CD6447"/>
    <w:rsid w:val="00CD7A7B"/>
    <w:rsid w:val="00CE281D"/>
    <w:rsid w:val="00CE2D90"/>
    <w:rsid w:val="00CE3891"/>
    <w:rsid w:val="00CE411D"/>
    <w:rsid w:val="00CE6C58"/>
    <w:rsid w:val="00CF05F2"/>
    <w:rsid w:val="00CF1FE5"/>
    <w:rsid w:val="00CF223C"/>
    <w:rsid w:val="00CF2EE8"/>
    <w:rsid w:val="00CF35C3"/>
    <w:rsid w:val="00CF6BB4"/>
    <w:rsid w:val="00CF7D65"/>
    <w:rsid w:val="00D00A2E"/>
    <w:rsid w:val="00D00F36"/>
    <w:rsid w:val="00D0167C"/>
    <w:rsid w:val="00D01A6D"/>
    <w:rsid w:val="00D064EB"/>
    <w:rsid w:val="00D10956"/>
    <w:rsid w:val="00D1320F"/>
    <w:rsid w:val="00D137DF"/>
    <w:rsid w:val="00D141D2"/>
    <w:rsid w:val="00D14DB7"/>
    <w:rsid w:val="00D15068"/>
    <w:rsid w:val="00D154B1"/>
    <w:rsid w:val="00D166FD"/>
    <w:rsid w:val="00D2244E"/>
    <w:rsid w:val="00D2262D"/>
    <w:rsid w:val="00D23C70"/>
    <w:rsid w:val="00D24602"/>
    <w:rsid w:val="00D30FCF"/>
    <w:rsid w:val="00D3274D"/>
    <w:rsid w:val="00D338CB"/>
    <w:rsid w:val="00D3450B"/>
    <w:rsid w:val="00D376A2"/>
    <w:rsid w:val="00D42220"/>
    <w:rsid w:val="00D432E6"/>
    <w:rsid w:val="00D4348E"/>
    <w:rsid w:val="00D43869"/>
    <w:rsid w:val="00D44295"/>
    <w:rsid w:val="00D44C81"/>
    <w:rsid w:val="00D4660F"/>
    <w:rsid w:val="00D46D3D"/>
    <w:rsid w:val="00D47245"/>
    <w:rsid w:val="00D505B7"/>
    <w:rsid w:val="00D509B5"/>
    <w:rsid w:val="00D51E02"/>
    <w:rsid w:val="00D5494A"/>
    <w:rsid w:val="00D550AC"/>
    <w:rsid w:val="00D551DE"/>
    <w:rsid w:val="00D604E1"/>
    <w:rsid w:val="00D60D28"/>
    <w:rsid w:val="00D613BE"/>
    <w:rsid w:val="00D615A9"/>
    <w:rsid w:val="00D61F96"/>
    <w:rsid w:val="00D630E7"/>
    <w:rsid w:val="00D63D2C"/>
    <w:rsid w:val="00D759C7"/>
    <w:rsid w:val="00D75F0E"/>
    <w:rsid w:val="00D80BA4"/>
    <w:rsid w:val="00D82B62"/>
    <w:rsid w:val="00D8493B"/>
    <w:rsid w:val="00D87483"/>
    <w:rsid w:val="00D90DA8"/>
    <w:rsid w:val="00D913DD"/>
    <w:rsid w:val="00D917EA"/>
    <w:rsid w:val="00D91867"/>
    <w:rsid w:val="00D9267A"/>
    <w:rsid w:val="00D92DCC"/>
    <w:rsid w:val="00D93C13"/>
    <w:rsid w:val="00D95A4A"/>
    <w:rsid w:val="00D96676"/>
    <w:rsid w:val="00D96A6B"/>
    <w:rsid w:val="00DA3775"/>
    <w:rsid w:val="00DA3AF6"/>
    <w:rsid w:val="00DA4089"/>
    <w:rsid w:val="00DA476F"/>
    <w:rsid w:val="00DA52D7"/>
    <w:rsid w:val="00DA6E1A"/>
    <w:rsid w:val="00DA783D"/>
    <w:rsid w:val="00DB18B0"/>
    <w:rsid w:val="00DB29C4"/>
    <w:rsid w:val="00DB4996"/>
    <w:rsid w:val="00DB7B21"/>
    <w:rsid w:val="00DC05AA"/>
    <w:rsid w:val="00DC2228"/>
    <w:rsid w:val="00DC45BB"/>
    <w:rsid w:val="00DC5B95"/>
    <w:rsid w:val="00DC6160"/>
    <w:rsid w:val="00DD09D9"/>
    <w:rsid w:val="00DD1EB2"/>
    <w:rsid w:val="00DD219B"/>
    <w:rsid w:val="00DD351B"/>
    <w:rsid w:val="00DD3B6A"/>
    <w:rsid w:val="00DD48FC"/>
    <w:rsid w:val="00DE0F97"/>
    <w:rsid w:val="00DE25DF"/>
    <w:rsid w:val="00DE373C"/>
    <w:rsid w:val="00DE4CB0"/>
    <w:rsid w:val="00DE5E63"/>
    <w:rsid w:val="00DF0563"/>
    <w:rsid w:val="00DF2A1F"/>
    <w:rsid w:val="00DF3533"/>
    <w:rsid w:val="00DF3589"/>
    <w:rsid w:val="00DF3E0E"/>
    <w:rsid w:val="00DF5122"/>
    <w:rsid w:val="00DF5C03"/>
    <w:rsid w:val="00DF6274"/>
    <w:rsid w:val="00DF6CC2"/>
    <w:rsid w:val="00DF6E6F"/>
    <w:rsid w:val="00E0078F"/>
    <w:rsid w:val="00E01F7B"/>
    <w:rsid w:val="00E03325"/>
    <w:rsid w:val="00E03364"/>
    <w:rsid w:val="00E05383"/>
    <w:rsid w:val="00E110F0"/>
    <w:rsid w:val="00E129E9"/>
    <w:rsid w:val="00E12AA7"/>
    <w:rsid w:val="00E12F63"/>
    <w:rsid w:val="00E16492"/>
    <w:rsid w:val="00E20807"/>
    <w:rsid w:val="00E2370B"/>
    <w:rsid w:val="00E23D1D"/>
    <w:rsid w:val="00E25C9F"/>
    <w:rsid w:val="00E26C77"/>
    <w:rsid w:val="00E275A6"/>
    <w:rsid w:val="00E303D6"/>
    <w:rsid w:val="00E3121B"/>
    <w:rsid w:val="00E33E49"/>
    <w:rsid w:val="00E350AD"/>
    <w:rsid w:val="00E355AC"/>
    <w:rsid w:val="00E377FE"/>
    <w:rsid w:val="00E41415"/>
    <w:rsid w:val="00E4204C"/>
    <w:rsid w:val="00E42260"/>
    <w:rsid w:val="00E42DF6"/>
    <w:rsid w:val="00E42ED2"/>
    <w:rsid w:val="00E44A17"/>
    <w:rsid w:val="00E45835"/>
    <w:rsid w:val="00E46393"/>
    <w:rsid w:val="00E46E81"/>
    <w:rsid w:val="00E479E1"/>
    <w:rsid w:val="00E5077F"/>
    <w:rsid w:val="00E50B08"/>
    <w:rsid w:val="00E51B5E"/>
    <w:rsid w:val="00E53E7D"/>
    <w:rsid w:val="00E53FDC"/>
    <w:rsid w:val="00E54714"/>
    <w:rsid w:val="00E550DA"/>
    <w:rsid w:val="00E5694E"/>
    <w:rsid w:val="00E573F7"/>
    <w:rsid w:val="00E57F56"/>
    <w:rsid w:val="00E604A4"/>
    <w:rsid w:val="00E61355"/>
    <w:rsid w:val="00E62998"/>
    <w:rsid w:val="00E63142"/>
    <w:rsid w:val="00E6345E"/>
    <w:rsid w:val="00E652F2"/>
    <w:rsid w:val="00E6799F"/>
    <w:rsid w:val="00E705F8"/>
    <w:rsid w:val="00E708E2"/>
    <w:rsid w:val="00E70983"/>
    <w:rsid w:val="00E73D03"/>
    <w:rsid w:val="00E7596E"/>
    <w:rsid w:val="00E75C59"/>
    <w:rsid w:val="00E75DD4"/>
    <w:rsid w:val="00E76173"/>
    <w:rsid w:val="00E768CF"/>
    <w:rsid w:val="00E80618"/>
    <w:rsid w:val="00E845BA"/>
    <w:rsid w:val="00E84BF2"/>
    <w:rsid w:val="00E85646"/>
    <w:rsid w:val="00E859A6"/>
    <w:rsid w:val="00E869B1"/>
    <w:rsid w:val="00E91D36"/>
    <w:rsid w:val="00E960E3"/>
    <w:rsid w:val="00E96D70"/>
    <w:rsid w:val="00EA0288"/>
    <w:rsid w:val="00EA0C7B"/>
    <w:rsid w:val="00EA0F7B"/>
    <w:rsid w:val="00EA1684"/>
    <w:rsid w:val="00EA57CA"/>
    <w:rsid w:val="00EA5D34"/>
    <w:rsid w:val="00EA79B9"/>
    <w:rsid w:val="00EB0137"/>
    <w:rsid w:val="00EB021B"/>
    <w:rsid w:val="00EB1740"/>
    <w:rsid w:val="00EB452C"/>
    <w:rsid w:val="00EB46F8"/>
    <w:rsid w:val="00EB496D"/>
    <w:rsid w:val="00EB5791"/>
    <w:rsid w:val="00EB7587"/>
    <w:rsid w:val="00EB7775"/>
    <w:rsid w:val="00EC0CE0"/>
    <w:rsid w:val="00EC1B7B"/>
    <w:rsid w:val="00EC28B3"/>
    <w:rsid w:val="00EC5E4D"/>
    <w:rsid w:val="00EC77F6"/>
    <w:rsid w:val="00EC7E86"/>
    <w:rsid w:val="00ED1D9F"/>
    <w:rsid w:val="00ED1E89"/>
    <w:rsid w:val="00ED2227"/>
    <w:rsid w:val="00ED3109"/>
    <w:rsid w:val="00ED5B9C"/>
    <w:rsid w:val="00ED716A"/>
    <w:rsid w:val="00EE0418"/>
    <w:rsid w:val="00EE150F"/>
    <w:rsid w:val="00EE1A0A"/>
    <w:rsid w:val="00EE217E"/>
    <w:rsid w:val="00EE236F"/>
    <w:rsid w:val="00EE3E10"/>
    <w:rsid w:val="00EE47B1"/>
    <w:rsid w:val="00EE55AF"/>
    <w:rsid w:val="00EE568F"/>
    <w:rsid w:val="00EE56E7"/>
    <w:rsid w:val="00EF317A"/>
    <w:rsid w:val="00EF3FE0"/>
    <w:rsid w:val="00EF7A2F"/>
    <w:rsid w:val="00F02A08"/>
    <w:rsid w:val="00F03469"/>
    <w:rsid w:val="00F0619F"/>
    <w:rsid w:val="00F06999"/>
    <w:rsid w:val="00F070E7"/>
    <w:rsid w:val="00F11720"/>
    <w:rsid w:val="00F13FCB"/>
    <w:rsid w:val="00F172F8"/>
    <w:rsid w:val="00F17516"/>
    <w:rsid w:val="00F17CCA"/>
    <w:rsid w:val="00F2036B"/>
    <w:rsid w:val="00F20D7E"/>
    <w:rsid w:val="00F229B0"/>
    <w:rsid w:val="00F230BB"/>
    <w:rsid w:val="00F246C4"/>
    <w:rsid w:val="00F2777B"/>
    <w:rsid w:val="00F27F73"/>
    <w:rsid w:val="00F3073F"/>
    <w:rsid w:val="00F30DFA"/>
    <w:rsid w:val="00F346AF"/>
    <w:rsid w:val="00F3470A"/>
    <w:rsid w:val="00F36A66"/>
    <w:rsid w:val="00F3712A"/>
    <w:rsid w:val="00F374C6"/>
    <w:rsid w:val="00F37E8A"/>
    <w:rsid w:val="00F421AA"/>
    <w:rsid w:val="00F4432A"/>
    <w:rsid w:val="00F47CE3"/>
    <w:rsid w:val="00F505B7"/>
    <w:rsid w:val="00F505D2"/>
    <w:rsid w:val="00F50C65"/>
    <w:rsid w:val="00F511DD"/>
    <w:rsid w:val="00F52510"/>
    <w:rsid w:val="00F5276A"/>
    <w:rsid w:val="00F5320E"/>
    <w:rsid w:val="00F53D0B"/>
    <w:rsid w:val="00F57488"/>
    <w:rsid w:val="00F62077"/>
    <w:rsid w:val="00F62AD9"/>
    <w:rsid w:val="00F63659"/>
    <w:rsid w:val="00F6407E"/>
    <w:rsid w:val="00F66DF0"/>
    <w:rsid w:val="00F67F0B"/>
    <w:rsid w:val="00F707F2"/>
    <w:rsid w:val="00F71387"/>
    <w:rsid w:val="00F739EA"/>
    <w:rsid w:val="00F755C7"/>
    <w:rsid w:val="00F75DA4"/>
    <w:rsid w:val="00F763F8"/>
    <w:rsid w:val="00F77D82"/>
    <w:rsid w:val="00F81288"/>
    <w:rsid w:val="00F81820"/>
    <w:rsid w:val="00F81CE1"/>
    <w:rsid w:val="00F840E3"/>
    <w:rsid w:val="00F844EF"/>
    <w:rsid w:val="00F85E45"/>
    <w:rsid w:val="00F866E1"/>
    <w:rsid w:val="00F86E68"/>
    <w:rsid w:val="00F86EFD"/>
    <w:rsid w:val="00F90565"/>
    <w:rsid w:val="00F91834"/>
    <w:rsid w:val="00F92DDA"/>
    <w:rsid w:val="00F967E5"/>
    <w:rsid w:val="00FA0E37"/>
    <w:rsid w:val="00FA19D3"/>
    <w:rsid w:val="00FA3075"/>
    <w:rsid w:val="00FA7777"/>
    <w:rsid w:val="00FB02B2"/>
    <w:rsid w:val="00FB0905"/>
    <w:rsid w:val="00FB3C70"/>
    <w:rsid w:val="00FB3DB3"/>
    <w:rsid w:val="00FB519E"/>
    <w:rsid w:val="00FB7C39"/>
    <w:rsid w:val="00FB7E6F"/>
    <w:rsid w:val="00FC08A9"/>
    <w:rsid w:val="00FC1E8A"/>
    <w:rsid w:val="00FC4968"/>
    <w:rsid w:val="00FD0EF8"/>
    <w:rsid w:val="00FD4101"/>
    <w:rsid w:val="00FD5167"/>
    <w:rsid w:val="00FD7491"/>
    <w:rsid w:val="00FD7529"/>
    <w:rsid w:val="00FD76A9"/>
    <w:rsid w:val="00FE0981"/>
    <w:rsid w:val="00FE2245"/>
    <w:rsid w:val="00FE4FF3"/>
    <w:rsid w:val="00FE7214"/>
    <w:rsid w:val="00FE7AE1"/>
    <w:rsid w:val="00FF2595"/>
    <w:rsid w:val="00FF271B"/>
    <w:rsid w:val="00FF5F82"/>
    <w:rsid w:val="00FF629F"/>
    <w:rsid w:val="00FF74AD"/>
    <w:rsid w:val="00FF7EC7"/>
    <w:rsid w:val="0595313C"/>
    <w:rsid w:val="06E690F5"/>
    <w:rsid w:val="0DEA6CCB"/>
    <w:rsid w:val="14BFCBD9"/>
    <w:rsid w:val="14F70325"/>
    <w:rsid w:val="1642279D"/>
    <w:rsid w:val="1BCBB9D7"/>
    <w:rsid w:val="542C75C2"/>
    <w:rsid w:val="56909E0F"/>
    <w:rsid w:val="5F3EE306"/>
    <w:rsid w:val="63EB2A92"/>
    <w:rsid w:val="6B8C75A6"/>
    <w:rsid w:val="7985DA09"/>
    <w:rsid w:val="7BAA8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9095D"/>
  <w15:docId w15:val="{DE46E002-4072-784C-8134-C2C17CD9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360" w:lineRule="auto"/>
      <w:jc w:val="both"/>
    </w:pPr>
    <w:rPr>
      <w:rFonts w:ascii="Arial" w:hAnsi="Arial"/>
      <w:sz w:val="22"/>
      <w:lang w:eastAsia="en-US"/>
    </w:rPr>
  </w:style>
  <w:style w:type="paragraph" w:styleId="Heading1">
    <w:name w:val="heading 1"/>
    <w:basedOn w:val="Normal"/>
    <w:next w:val="Normal"/>
    <w:qFormat/>
    <w:pPr>
      <w:keepNext/>
      <w:numPr>
        <w:numId w:val="20"/>
      </w:numPr>
      <w:spacing w:before="240"/>
      <w:ind w:left="431" w:hanging="431"/>
      <w:jc w:val="left"/>
      <w:outlineLvl w:val="0"/>
    </w:pPr>
    <w:rPr>
      <w:rFonts w:ascii="Arial Bold" w:hAnsi="Arial Bold" w:cs="Arial"/>
      <w:b/>
      <w:bCs/>
      <w:vanish/>
      <w:kern w:val="32"/>
      <w:szCs w:val="24"/>
    </w:rPr>
  </w:style>
  <w:style w:type="paragraph" w:styleId="Heading2">
    <w:name w:val="heading 2"/>
    <w:basedOn w:val="Normal"/>
    <w:next w:val="Normal"/>
    <w:autoRedefine/>
    <w:qFormat/>
    <w:rsid w:val="00156E33"/>
    <w:pPr>
      <w:keepNext/>
      <w:numPr>
        <w:ilvl w:val="1"/>
        <w:numId w:val="20"/>
      </w:numPr>
      <w:tabs>
        <w:tab w:val="left" w:pos="851"/>
      </w:tabs>
      <w:spacing w:before="240"/>
      <w:ind w:left="578" w:hanging="578"/>
      <w:jc w:val="left"/>
      <w:outlineLvl w:val="1"/>
    </w:pPr>
    <w:rPr>
      <w:rFonts w:cs="Arial"/>
      <w:b/>
      <w:bCs/>
      <w:iCs/>
      <w:szCs w:val="22"/>
      <w:lang w:val="en-GB"/>
    </w:rPr>
  </w:style>
  <w:style w:type="paragraph" w:styleId="Heading3">
    <w:name w:val="heading 3"/>
    <w:basedOn w:val="Normal"/>
    <w:next w:val="Normal"/>
    <w:autoRedefine/>
    <w:qFormat/>
    <w:rsid w:val="00F967E5"/>
    <w:pPr>
      <w:keepNext/>
      <w:numPr>
        <w:ilvl w:val="2"/>
        <w:numId w:val="1"/>
      </w:numPr>
      <w:tabs>
        <w:tab w:val="left" w:pos="851"/>
      </w:tabs>
      <w:spacing w:before="120"/>
      <w:jc w:val="left"/>
      <w:outlineLvl w:val="2"/>
    </w:pPr>
    <w:rPr>
      <w:rFonts w:cs="Arial"/>
      <w:b/>
      <w:bCs/>
      <w:lang w:val="en-GB"/>
    </w:rPr>
  </w:style>
  <w:style w:type="paragraph" w:styleId="Heading4">
    <w:name w:val="heading 4"/>
    <w:basedOn w:val="Normal"/>
    <w:next w:val="Normal"/>
    <w:autoRedefine/>
    <w:qFormat/>
    <w:rsid w:val="00AC716B"/>
    <w:pPr>
      <w:keepNext/>
      <w:numPr>
        <w:ilvl w:val="3"/>
        <w:numId w:val="1"/>
      </w:numPr>
      <w:spacing w:before="120"/>
      <w:ind w:left="862" w:hanging="862"/>
      <w:jc w:val="left"/>
      <w:outlineLvl w:val="3"/>
    </w:pPr>
    <w:rPr>
      <w:rFonts w:asciiTheme="majorHAnsi" w:hAnsiTheme="majorHAnsi"/>
      <w:b/>
      <w:bCs/>
    </w:rPr>
  </w:style>
  <w:style w:type="paragraph" w:styleId="Heading5">
    <w:name w:val="heading 5"/>
    <w:basedOn w:val="Normal"/>
    <w:next w:val="Normal"/>
    <w:qFormat/>
    <w:rsid w:val="00BD3ED2"/>
    <w:pPr>
      <w:keepNext/>
      <w:numPr>
        <w:ilvl w:val="4"/>
        <w:numId w:val="20"/>
      </w:numPr>
      <w:tabs>
        <w:tab w:val="left" w:pos="1134"/>
      </w:tabs>
      <w:spacing w:before="120"/>
      <w:ind w:left="1009" w:hanging="1009"/>
      <w:jc w:val="left"/>
      <w:outlineLvl w:val="4"/>
    </w:pPr>
    <w:rPr>
      <w:rFonts w:asciiTheme="majorHAnsi" w:hAnsiTheme="majorHAnsi"/>
      <w:bCs/>
      <w:i/>
      <w:iCs/>
    </w:rPr>
  </w:style>
  <w:style w:type="paragraph" w:styleId="Heading6">
    <w:name w:val="heading 6"/>
    <w:basedOn w:val="Normal"/>
    <w:next w:val="Normal"/>
    <w:semiHidden/>
    <w:qFormat/>
    <w:pPr>
      <w:keepNext/>
      <w:numPr>
        <w:ilvl w:val="5"/>
        <w:numId w:val="20"/>
      </w:numPr>
      <w:spacing w:before="120"/>
      <w:outlineLvl w:val="5"/>
    </w:pPr>
    <w:rPr>
      <w:bCs/>
      <w:szCs w:val="22"/>
    </w:rPr>
  </w:style>
  <w:style w:type="paragraph" w:styleId="Heading7">
    <w:name w:val="heading 7"/>
    <w:basedOn w:val="Normal"/>
    <w:next w:val="Normal"/>
    <w:semiHidden/>
    <w:qFormat/>
    <w:pPr>
      <w:keepNext/>
      <w:numPr>
        <w:ilvl w:val="6"/>
        <w:numId w:val="20"/>
      </w:numPr>
      <w:spacing w:before="120"/>
      <w:outlineLvl w:val="6"/>
    </w:pPr>
    <w:rPr>
      <w:szCs w:val="24"/>
    </w:rPr>
  </w:style>
  <w:style w:type="paragraph" w:styleId="Heading8">
    <w:name w:val="heading 8"/>
    <w:basedOn w:val="Normal"/>
    <w:next w:val="Normal"/>
    <w:semiHidden/>
    <w:qFormat/>
    <w:pPr>
      <w:keepNext/>
      <w:numPr>
        <w:ilvl w:val="7"/>
        <w:numId w:val="20"/>
      </w:numPr>
      <w:spacing w:before="120"/>
      <w:outlineLvl w:val="7"/>
    </w:pPr>
    <w:rPr>
      <w:iCs/>
      <w:szCs w:val="24"/>
    </w:rPr>
  </w:style>
  <w:style w:type="paragraph" w:styleId="Heading9">
    <w:name w:val="heading 9"/>
    <w:basedOn w:val="Normal"/>
    <w:next w:val="Normal"/>
    <w:semiHidden/>
    <w:qFormat/>
    <w:pPr>
      <w:keepNext/>
      <w:numPr>
        <w:ilvl w:val="8"/>
        <w:numId w:val="20"/>
      </w:numPr>
      <w:spacing w:before="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1">
    <w:name w:val="Par 1"/>
    <w:basedOn w:val="Heading1"/>
    <w:next w:val="Normal"/>
    <w:semiHidden/>
    <w:pPr>
      <w:keepNext w:val="0"/>
      <w:numPr>
        <w:numId w:val="0"/>
      </w:numPr>
    </w:pPr>
    <w:rPr>
      <w:b w:val="0"/>
      <w:sz w:val="20"/>
    </w:rPr>
  </w:style>
  <w:style w:type="paragraph" w:customStyle="1" w:styleId="Par2">
    <w:name w:val="Par 2"/>
    <w:basedOn w:val="Heading2"/>
    <w:next w:val="Normal"/>
    <w:semiHidden/>
    <w:pPr>
      <w:keepNext w:val="0"/>
      <w:numPr>
        <w:ilvl w:val="0"/>
        <w:numId w:val="0"/>
      </w:numPr>
    </w:pPr>
    <w:rPr>
      <w:b w:val="0"/>
      <w:sz w:val="20"/>
    </w:rPr>
  </w:style>
  <w:style w:type="paragraph" w:customStyle="1" w:styleId="Par3">
    <w:name w:val="Par 3"/>
    <w:basedOn w:val="Heading3"/>
    <w:next w:val="Normal"/>
    <w:semiHidden/>
    <w:pPr>
      <w:keepNext w:val="0"/>
      <w:numPr>
        <w:ilvl w:val="0"/>
        <w:numId w:val="0"/>
      </w:numPr>
    </w:pPr>
  </w:style>
  <w:style w:type="paragraph" w:customStyle="1" w:styleId="Par4">
    <w:name w:val="Par 4"/>
    <w:basedOn w:val="Heading4"/>
    <w:next w:val="Normal"/>
    <w:semiHidden/>
    <w:pPr>
      <w:keepNext w:val="0"/>
      <w:numPr>
        <w:ilvl w:val="0"/>
        <w:numId w:val="0"/>
      </w:numPr>
    </w:pPr>
  </w:style>
  <w:style w:type="paragraph" w:customStyle="1" w:styleId="Par5">
    <w:name w:val="Par 5"/>
    <w:basedOn w:val="Heading5"/>
    <w:next w:val="Normal"/>
    <w:semiHidden/>
    <w:pPr>
      <w:keepNext w:val="0"/>
      <w:numPr>
        <w:ilvl w:val="0"/>
        <w:numId w:val="0"/>
      </w:numPr>
    </w:pPr>
  </w:style>
  <w:style w:type="paragraph" w:customStyle="1" w:styleId="Par6">
    <w:name w:val="Par 6"/>
    <w:basedOn w:val="Heading6"/>
    <w:next w:val="Normal"/>
    <w:semiHidden/>
    <w:pPr>
      <w:keepNext w:val="0"/>
      <w:numPr>
        <w:ilvl w:val="0"/>
        <w:numId w:val="0"/>
      </w:numPr>
    </w:pPr>
  </w:style>
  <w:style w:type="paragraph" w:customStyle="1" w:styleId="Par7">
    <w:name w:val="Par 7"/>
    <w:basedOn w:val="Heading7"/>
    <w:next w:val="Normal"/>
    <w:semiHidden/>
    <w:pPr>
      <w:keepNext w:val="0"/>
      <w:numPr>
        <w:ilvl w:val="0"/>
        <w:numId w:val="0"/>
      </w:numPr>
    </w:pPr>
  </w:style>
  <w:style w:type="paragraph" w:customStyle="1" w:styleId="Par8">
    <w:name w:val="Par 8"/>
    <w:basedOn w:val="Heading8"/>
    <w:next w:val="Normal"/>
    <w:semiHidden/>
    <w:pPr>
      <w:keepNext w:val="0"/>
      <w:numPr>
        <w:ilvl w:val="0"/>
        <w:numId w:val="0"/>
      </w:numPr>
    </w:pPr>
    <w:rPr>
      <w:szCs w:val="20"/>
    </w:rPr>
  </w:style>
  <w:style w:type="paragraph" w:customStyle="1" w:styleId="Par9">
    <w:name w:val="Par 9"/>
    <w:basedOn w:val="Heading9"/>
    <w:next w:val="Normal"/>
    <w:semiHidden/>
    <w:pPr>
      <w:keepNext w:val="0"/>
      <w:numPr>
        <w:ilvl w:val="0"/>
        <w:numId w:val="0"/>
      </w:numPr>
    </w:pPr>
  </w:style>
  <w:style w:type="paragraph" w:customStyle="1" w:styleId="NormalBold">
    <w:name w:val="Normal_Bold"/>
    <w:basedOn w:val="Normal"/>
    <w:next w:val="Normal"/>
    <w:semiHidden/>
    <w:rPr>
      <w:b/>
    </w:rPr>
  </w:style>
  <w:style w:type="paragraph" w:customStyle="1" w:styleId="NormalIndentLeftRight">
    <w:name w:val="Normal_IndentLeftRight"/>
    <w:basedOn w:val="Normal"/>
    <w:next w:val="Normal"/>
    <w:semiHidden/>
    <w:pPr>
      <w:ind w:left="720" w:right="720"/>
    </w:pPr>
  </w:style>
  <w:style w:type="paragraph" w:customStyle="1" w:styleId="NormalItalic">
    <w:name w:val="Normal_Italic"/>
    <w:basedOn w:val="Normal"/>
    <w:next w:val="Normal"/>
    <w:semiHidden/>
    <w:rPr>
      <w:i/>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customStyle="1" w:styleId="Heading0">
    <w:name w:val="Heading 0"/>
    <w:basedOn w:val="Normal"/>
    <w:next w:val="Heading1"/>
    <w:autoRedefine/>
    <w:pPr>
      <w:keepNext/>
      <w:spacing w:after="360"/>
      <w:jc w:val="left"/>
    </w:pPr>
    <w:rPr>
      <w:rFonts w:ascii="Arial Bold" w:hAnsi="Arial Bold"/>
      <w:b/>
      <w:caps/>
      <w:sz w:val="28"/>
    </w:rPr>
  </w:style>
  <w:style w:type="paragraph" w:styleId="Footer">
    <w:name w:val="footer"/>
    <w:basedOn w:val="Normal"/>
    <w:link w:val="FooterChar"/>
    <w:autoRedefine/>
    <w:uiPriority w:val="99"/>
    <w:rsid w:val="00F27F73"/>
    <w:pPr>
      <w:spacing w:after="0" w:line="240" w:lineRule="auto"/>
      <w:jc w:val="right"/>
    </w:pPr>
    <w:rPr>
      <w:rFonts w:cs="Arial"/>
      <w:i/>
      <w:iCs/>
      <w:noProof/>
      <w:szCs w:val="22"/>
    </w:rPr>
  </w:style>
  <w:style w:type="character" w:styleId="FootnoteReference">
    <w:name w:val="footnote reference"/>
    <w:basedOn w:val="DefaultParagraphFont"/>
    <w:uiPriority w:val="99"/>
    <w:rPr>
      <w:rFonts w:ascii="Arial" w:hAnsi="Arial"/>
      <w:sz w:val="16"/>
      <w:vertAlign w:val="superscript"/>
      <w:lang w:val="en-ZA"/>
    </w:rPr>
  </w:style>
  <w:style w:type="paragraph" w:styleId="FootnoteText">
    <w:name w:val="footnote text"/>
    <w:basedOn w:val="Normal"/>
    <w:link w:val="FootnoteTextChar"/>
    <w:autoRedefine/>
    <w:uiPriority w:val="99"/>
    <w:rsid w:val="00662CEC"/>
    <w:pPr>
      <w:spacing w:after="0" w:line="240" w:lineRule="auto"/>
      <w:ind w:left="142" w:hanging="142"/>
    </w:pPr>
    <w:rPr>
      <w:rFonts w:asciiTheme="majorHAnsi" w:hAnsiTheme="majorHAnsi"/>
      <w:i/>
      <w:iCs/>
      <w:sz w:val="20"/>
    </w:rPr>
  </w:style>
  <w:style w:type="paragraph" w:customStyle="1" w:styleId="TableHeading">
    <w:name w:val="Table_Heading"/>
    <w:basedOn w:val="Normal"/>
    <w:next w:val="Normal"/>
    <w:pPr>
      <w:keepNext/>
      <w:spacing w:before="60" w:after="60" w:line="240" w:lineRule="auto"/>
      <w:jc w:val="center"/>
    </w:pPr>
    <w:rPr>
      <w:b/>
    </w:rPr>
  </w:style>
  <w:style w:type="character" w:styleId="Hyperlink">
    <w:name w:val="Hyperlink"/>
    <w:basedOn w:val="DefaultParagraphFont"/>
    <w:uiPriority w:val="99"/>
    <w:rPr>
      <w:rFonts w:ascii="Arial" w:hAnsi="Arial"/>
      <w:color w:val="0000FF"/>
      <w:sz w:val="20"/>
      <w:szCs w:val="20"/>
      <w:u w:val="single"/>
      <w:lang w:val="en-ZA"/>
    </w:rPr>
  </w:style>
  <w:style w:type="character" w:styleId="PageNumber">
    <w:name w:val="page number"/>
    <w:rPr>
      <w:rFonts w:ascii="Arial" w:hAnsi="Arial"/>
      <w:sz w:val="22"/>
      <w:szCs w:val="20"/>
      <w:lang w:val="en-ZA"/>
    </w:rPr>
  </w:style>
  <w:style w:type="paragraph" w:customStyle="1" w:styleId="TOCHeading">
    <w:name w:val="TOC_Heading"/>
    <w:basedOn w:val="Normal"/>
    <w:next w:val="Normal"/>
    <w:autoRedefine/>
    <w:pPr>
      <w:spacing w:after="360"/>
      <w:jc w:val="left"/>
    </w:pPr>
    <w:rPr>
      <w:rFonts w:ascii="Arial Bold" w:hAnsi="Arial Bold"/>
      <w:b/>
      <w:caps/>
      <w:sz w:val="28"/>
      <w:szCs w:val="24"/>
    </w:rPr>
  </w:style>
  <w:style w:type="paragraph" w:styleId="TOC1">
    <w:name w:val="toc 1"/>
    <w:basedOn w:val="Normal"/>
    <w:next w:val="Normal"/>
    <w:autoRedefine/>
    <w:uiPriority w:val="39"/>
    <w:pPr>
      <w:tabs>
        <w:tab w:val="left" w:pos="1418"/>
        <w:tab w:val="right" w:leader="dot" w:pos="9299"/>
      </w:tabs>
      <w:spacing w:before="480"/>
      <w:ind w:left="1418" w:right="567" w:hanging="1418"/>
      <w:jc w:val="left"/>
    </w:pPr>
    <w:rPr>
      <w:rFonts w:ascii="Arial Bold" w:hAnsi="Arial Bold"/>
      <w:b/>
      <w:caps/>
      <w:szCs w:val="22"/>
    </w:rPr>
  </w:style>
  <w:style w:type="paragraph" w:customStyle="1" w:styleId="ListABC2">
    <w:name w:val="List_ABC 2"/>
    <w:basedOn w:val="Normal"/>
    <w:semiHidden/>
    <w:pPr>
      <w:numPr>
        <w:numId w:val="11"/>
      </w:numPr>
    </w:pPr>
  </w:style>
  <w:style w:type="paragraph" w:customStyle="1" w:styleId="ListNumberBrackets">
    <w:name w:val="List_Number_Brackets"/>
    <w:basedOn w:val="Normal"/>
    <w:pPr>
      <w:numPr>
        <w:numId w:val="12"/>
      </w:numPr>
    </w:pPr>
  </w:style>
  <w:style w:type="paragraph" w:customStyle="1" w:styleId="NormalHeader">
    <w:name w:val="Normal_Header"/>
    <w:basedOn w:val="Normal"/>
    <w:next w:val="Normal"/>
    <w:pPr>
      <w:keepNext/>
      <w:spacing w:after="60"/>
      <w:jc w:val="left"/>
    </w:pPr>
    <w:rPr>
      <w:b/>
    </w:rPr>
  </w:style>
  <w:style w:type="paragraph" w:customStyle="1" w:styleId="CaptionBotTblFig">
    <w:name w:val="CaptionBot_Tbl_Fig"/>
    <w:basedOn w:val="Normal"/>
    <w:next w:val="Normal"/>
    <w:autoRedefine/>
    <w:pPr>
      <w:spacing w:before="60" w:after="600"/>
      <w:ind w:left="1701" w:hanging="1701"/>
      <w:jc w:val="left"/>
    </w:pPr>
    <w:rPr>
      <w:b/>
    </w:rPr>
  </w:style>
  <w:style w:type="numbering" w:styleId="111111">
    <w:name w:val="Outline List 2"/>
    <w:basedOn w:val="NoList"/>
    <w:semiHidden/>
    <w:pPr>
      <w:numPr>
        <w:numId w:val="9"/>
      </w:numPr>
    </w:pPr>
  </w:style>
  <w:style w:type="numbering" w:styleId="1ai">
    <w:name w:val="Outline List 1"/>
    <w:basedOn w:val="NoList"/>
    <w:semiHidden/>
    <w:pPr>
      <w:numPr>
        <w:numId w:val="8"/>
      </w:numPr>
    </w:pPr>
  </w:style>
  <w:style w:type="numbering" w:styleId="ArticleSection">
    <w:name w:val="Outline List 3"/>
    <w:basedOn w:val="NoList"/>
    <w:semiHidden/>
    <w:pPr>
      <w:numPr>
        <w:numId w:val="10"/>
      </w:numPr>
    </w:pPr>
  </w:style>
  <w:style w:type="paragraph" w:styleId="BlockText">
    <w:name w:val="Block Text"/>
    <w:basedOn w:val="Normal"/>
    <w:semiHidden/>
    <w:pPr>
      <w:ind w:left="1440" w:right="1440"/>
    </w:p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18"/>
      </w:numPr>
    </w:pPr>
  </w:style>
  <w:style w:type="paragraph" w:styleId="ListBullet2">
    <w:name w:val="List Bullet 2"/>
    <w:basedOn w:val="Normal"/>
    <w:semiHidden/>
    <w:pPr>
      <w:numPr>
        <w:numId w:val="3"/>
      </w:numPr>
      <w:contextualSpacing/>
    </w:pPr>
  </w:style>
  <w:style w:type="paragraph" w:styleId="ListBullet3">
    <w:name w:val="List Bullet 3"/>
    <w:basedOn w:val="Normal"/>
    <w:semiHidden/>
    <w:pPr>
      <w:numPr>
        <w:numId w:val="4"/>
      </w:numPr>
      <w:contextualSpacing/>
    </w:pPr>
  </w:style>
  <w:style w:type="paragraph" w:styleId="ListBullet4">
    <w:name w:val="List Bullet 4"/>
    <w:basedOn w:val="Normal"/>
    <w:semiHidden/>
    <w:pPr>
      <w:numPr>
        <w:numId w:val="5"/>
      </w:numPr>
      <w:contextualSpacing/>
    </w:pPr>
  </w:style>
  <w:style w:type="paragraph" w:styleId="ListBullet5">
    <w:name w:val="List Bullet 5"/>
    <w:basedOn w:val="Normal"/>
    <w:semiHidden/>
    <w:pPr>
      <w:numPr>
        <w:numId w:val="6"/>
      </w:numPr>
      <w:contextualSpacing/>
    </w:pPr>
  </w:style>
  <w:style w:type="paragraph" w:styleId="ListContinue">
    <w:name w:val="List Continue"/>
    <w:basedOn w:val="Normal"/>
    <w:semiHidden/>
    <w:pPr>
      <w:ind w:left="567"/>
    </w:pPr>
  </w:style>
  <w:style w:type="paragraph" w:styleId="ListNumber">
    <w:name w:val="List Number"/>
    <w:basedOn w:val="Normal"/>
    <w:semiHidden/>
    <w:pPr>
      <w:numPr>
        <w:numId w:val="2"/>
      </w:numPr>
      <w:tabs>
        <w:tab w:val="left" w:pos="567"/>
      </w:tabs>
    </w:pPr>
  </w:style>
  <w:style w:type="paragraph" w:styleId="ListNumber2">
    <w:name w:val="List Number 2"/>
    <w:basedOn w:val="Normal"/>
    <w:semiHidden/>
    <w:pPr>
      <w:numPr>
        <w:numId w:val="7"/>
      </w:numPr>
      <w:contextualSpacing/>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Pr>
      <w:rFonts w:ascii="Times New Roman" w:hAnsi="Times New Roman"/>
      <w:szCs w:val="24"/>
    </w:rPr>
  </w:style>
  <w:style w:type="paragraph" w:styleId="TOC2">
    <w:name w:val="toc 2"/>
    <w:basedOn w:val="Normal"/>
    <w:next w:val="Normal"/>
    <w:autoRedefine/>
    <w:uiPriority w:val="39"/>
    <w:pPr>
      <w:tabs>
        <w:tab w:val="left" w:pos="1418"/>
        <w:tab w:val="right" w:leader="dot" w:pos="9299"/>
      </w:tabs>
      <w:spacing w:before="120"/>
      <w:ind w:left="1418" w:right="567" w:hanging="1418"/>
      <w:jc w:val="left"/>
    </w:pPr>
    <w:rPr>
      <w:b/>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table" w:styleId="Table3Deffects1">
    <w:name w:val="Table 3D effects 1"/>
    <w:basedOn w:val="TableNormal"/>
    <w:semiHidden/>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3">
    <w:name w:val="toc 3"/>
    <w:basedOn w:val="Normal"/>
    <w:next w:val="Normal"/>
    <w:autoRedefine/>
    <w:uiPriority w:val="39"/>
    <w:pPr>
      <w:tabs>
        <w:tab w:val="left" w:pos="1418"/>
        <w:tab w:val="right" w:leader="dot" w:pos="9299"/>
      </w:tabs>
      <w:ind w:left="1418" w:right="567" w:hanging="1418"/>
      <w:jc w:val="left"/>
    </w:pPr>
  </w:style>
  <w:style w:type="paragraph" w:styleId="TOC4">
    <w:name w:val="toc 4"/>
    <w:basedOn w:val="Normal"/>
    <w:next w:val="Normal"/>
    <w:autoRedefine/>
    <w:uiPriority w:val="39"/>
    <w:pPr>
      <w:tabs>
        <w:tab w:val="left" w:pos="1418"/>
        <w:tab w:val="right" w:leader="dot" w:pos="9299"/>
      </w:tabs>
      <w:ind w:left="1418" w:right="567" w:hanging="1418"/>
      <w:jc w:val="left"/>
    </w:pPr>
  </w:style>
  <w:style w:type="paragraph" w:styleId="TOC5">
    <w:name w:val="toc 5"/>
    <w:basedOn w:val="Normal"/>
    <w:next w:val="Normal"/>
    <w:autoRedefine/>
    <w:uiPriority w:val="39"/>
    <w:pPr>
      <w:tabs>
        <w:tab w:val="right" w:leader="dot" w:pos="9299"/>
      </w:tabs>
      <w:ind w:left="1418" w:right="567" w:hanging="1418"/>
      <w:jc w:val="left"/>
    </w:pPr>
  </w:style>
  <w:style w:type="paragraph" w:styleId="TOC6">
    <w:name w:val="toc 6"/>
    <w:basedOn w:val="Normal"/>
    <w:next w:val="Normal"/>
    <w:autoRedefine/>
    <w:uiPriority w:val="39"/>
    <w:pPr>
      <w:tabs>
        <w:tab w:val="right" w:leader="dot" w:pos="9299"/>
      </w:tabs>
      <w:ind w:left="1418" w:right="567" w:hanging="1418"/>
    </w:pPr>
  </w:style>
  <w:style w:type="paragraph" w:styleId="TOC7">
    <w:name w:val="toc 7"/>
    <w:basedOn w:val="Normal"/>
    <w:next w:val="Normal"/>
    <w:autoRedefine/>
    <w:uiPriority w:val="39"/>
    <w:pPr>
      <w:tabs>
        <w:tab w:val="right" w:leader="dot" w:pos="9299"/>
      </w:tabs>
      <w:ind w:left="1202" w:right="567" w:hanging="1202"/>
    </w:pPr>
  </w:style>
  <w:style w:type="paragraph" w:styleId="TOC8">
    <w:name w:val="toc 8"/>
    <w:basedOn w:val="TOC9"/>
    <w:next w:val="Normal"/>
    <w:autoRedefine/>
    <w:uiPriority w:val="39"/>
    <w:pPr>
      <w:spacing w:before="0"/>
    </w:pPr>
  </w:style>
  <w:style w:type="paragraph" w:styleId="TOC9">
    <w:name w:val="toc 9"/>
    <w:basedOn w:val="Normal"/>
    <w:next w:val="Normal"/>
    <w:autoRedefine/>
    <w:uiPriority w:val="39"/>
    <w:rsid w:val="00880B7D"/>
    <w:pPr>
      <w:tabs>
        <w:tab w:val="right" w:leader="dot" w:pos="9299"/>
      </w:tabs>
      <w:spacing w:before="480" w:after="120"/>
      <w:ind w:right="-1"/>
      <w:jc w:val="left"/>
    </w:pPr>
    <w:rPr>
      <w:rFonts w:ascii="Arial Bold" w:hAnsi="Arial Bold"/>
      <w:b/>
      <w:caps/>
    </w:rPr>
  </w:style>
  <w:style w:type="paragraph" w:customStyle="1" w:styleId="CaptionTopTblFig">
    <w:name w:val="CaptionTop_Tbl_Fig"/>
    <w:basedOn w:val="Normal"/>
    <w:next w:val="Normal"/>
    <w:autoRedefine/>
    <w:pPr>
      <w:keepNext/>
      <w:spacing w:before="240"/>
      <w:ind w:left="1701" w:hanging="1701"/>
      <w:jc w:val="left"/>
    </w:pPr>
    <w:rPr>
      <w:b/>
    </w:rPr>
  </w:style>
  <w:style w:type="paragraph" w:styleId="TableofFigures">
    <w:name w:val="table of figures"/>
    <w:basedOn w:val="Normal"/>
    <w:next w:val="Normal"/>
    <w:autoRedefine/>
    <w:uiPriority w:val="99"/>
    <w:rsid w:val="004F6BBC"/>
    <w:pPr>
      <w:tabs>
        <w:tab w:val="left" w:pos="993"/>
        <w:tab w:val="right" w:leader="dot" w:pos="9299"/>
      </w:tabs>
      <w:spacing w:line="276" w:lineRule="auto"/>
      <w:ind w:right="567"/>
      <w:jc w:val="left"/>
    </w:pPr>
    <w:rPr>
      <w:noProof/>
      <w:szCs w:val="28"/>
    </w:rPr>
  </w:style>
  <w:style w:type="paragraph" w:styleId="Quote">
    <w:name w:val="Quote"/>
    <w:basedOn w:val="Normal"/>
    <w:next w:val="Normal"/>
    <w:link w:val="QuoteChar"/>
    <w:autoRedefine/>
    <w:uiPriority w:val="29"/>
    <w:qFormat/>
    <w:pPr>
      <w:spacing w:line="240" w:lineRule="auto"/>
    </w:pPr>
    <w:rPr>
      <w:i/>
      <w:iCs/>
      <w:lang w:eastAsia="en-ZA"/>
    </w:rPr>
  </w:style>
  <w:style w:type="character" w:customStyle="1" w:styleId="QuoteChar">
    <w:name w:val="Quote Char"/>
    <w:link w:val="Quote"/>
    <w:uiPriority w:val="29"/>
    <w:rPr>
      <w:rFonts w:ascii="Arial" w:hAnsi="Arial"/>
      <w:i/>
      <w:iCs/>
      <w:sz w:val="22"/>
    </w:rPr>
  </w:style>
  <w:style w:type="paragraph" w:customStyle="1" w:styleId="ListNumberRoman">
    <w:name w:val="List Number Roman"/>
    <w:basedOn w:val="Normal"/>
    <w:semiHidden/>
    <w:qFormat/>
    <w:pPr>
      <w:numPr>
        <w:numId w:val="13"/>
      </w:numPr>
    </w:pPr>
  </w:style>
  <w:style w:type="paragraph" w:customStyle="1" w:styleId="ListNumberAlfabet">
    <w:name w:val="List Number Alfabet"/>
    <w:basedOn w:val="Normal"/>
    <w:semiHidden/>
    <w:qFormat/>
    <w:pPr>
      <w:numPr>
        <w:numId w:val="14"/>
      </w:numPr>
    </w:pPr>
  </w:style>
  <w:style w:type="paragraph" w:customStyle="1" w:styleId="ListNumberRomanBrackets">
    <w:name w:val="List_Number_Roman_Brackets"/>
    <w:basedOn w:val="Normal"/>
    <w:qFormat/>
    <w:pPr>
      <w:numPr>
        <w:numId w:val="15"/>
      </w:numPr>
    </w:pPr>
  </w:style>
  <w:style w:type="paragraph" w:customStyle="1" w:styleId="ListNumberAlfabetBrackets">
    <w:name w:val="List_Number_Alfabet_Brackets"/>
    <w:basedOn w:val="Normal"/>
    <w:qFormat/>
    <w:pPr>
      <w:numPr>
        <w:numId w:val="16"/>
      </w:numPr>
    </w:pPr>
  </w:style>
  <w:style w:type="numbering" w:customStyle="1" w:styleId="List123">
    <w:name w:val="List 123"/>
    <w:uiPriority w:val="99"/>
    <w:pPr>
      <w:numPr>
        <w:numId w:val="17"/>
      </w:numPr>
    </w:pPr>
  </w:style>
  <w:style w:type="paragraph" w:customStyle="1" w:styleId="Reference">
    <w:name w:val="Reference"/>
    <w:basedOn w:val="Normal"/>
    <w:semiHidden/>
    <w:qFormat/>
    <w:pPr>
      <w:jc w:val="left"/>
    </w:pPr>
  </w:style>
  <w:style w:type="paragraph" w:customStyle="1" w:styleId="Abbreviation">
    <w:name w:val="Abbreviation"/>
    <w:basedOn w:val="Normal"/>
    <w:qFormat/>
    <w:pPr>
      <w:tabs>
        <w:tab w:val="left" w:pos="2835"/>
      </w:tabs>
      <w:spacing w:line="240" w:lineRule="auto"/>
      <w:ind w:left="2835" w:hanging="2835"/>
    </w:pPr>
  </w:style>
  <w:style w:type="paragraph" w:customStyle="1" w:styleId="TableBody">
    <w:name w:val="Table_Body"/>
    <w:basedOn w:val="Normal"/>
    <w:qFormat/>
    <w:pPr>
      <w:spacing w:before="60" w:after="60" w:line="240" w:lineRule="auto"/>
      <w:jc w:val="left"/>
    </w:pPr>
  </w:style>
  <w:style w:type="paragraph" w:customStyle="1" w:styleId="ListBulletSingleSpacing">
    <w:name w:val="List Bullet Single Spacing"/>
    <w:basedOn w:val="ListBullet"/>
    <w:qFormat/>
    <w:pPr>
      <w:numPr>
        <w:numId w:val="19"/>
      </w:numPr>
      <w:spacing w:line="240" w:lineRule="auto"/>
      <w:ind w:left="357" w:hanging="357"/>
    </w:pPr>
  </w:style>
  <w:style w:type="paragraph" w:styleId="Title">
    <w:name w:val="Title"/>
    <w:basedOn w:val="Normal"/>
    <w:next w:val="Normal"/>
    <w:link w:val="TitleChar"/>
    <w:semiHidden/>
    <w:qFormat/>
    <w:pPr>
      <w:spacing w:after="0" w:line="240" w:lineRule="auto"/>
      <w:contextualSpacing/>
      <w:jc w:val="center"/>
    </w:pPr>
    <w:rPr>
      <w:rFonts w:eastAsiaTheme="majorEastAsia" w:cstheme="majorBidi"/>
      <w:b/>
      <w:color w:val="17365D" w:themeColor="text2" w:themeShade="BF"/>
      <w:spacing w:val="5"/>
      <w:kern w:val="28"/>
      <w:sz w:val="48"/>
      <w:szCs w:val="52"/>
    </w:rPr>
  </w:style>
  <w:style w:type="character" w:customStyle="1" w:styleId="TitleChar">
    <w:name w:val="Title Char"/>
    <w:basedOn w:val="DefaultParagraphFont"/>
    <w:link w:val="Title"/>
    <w:semiHidden/>
    <w:rPr>
      <w:rFonts w:ascii="Arial" w:eastAsiaTheme="majorEastAsia" w:hAnsi="Arial" w:cstheme="majorBidi"/>
      <w:b/>
      <w:color w:val="17365D" w:themeColor="text2" w:themeShade="BF"/>
      <w:spacing w:val="5"/>
      <w:kern w:val="28"/>
      <w:sz w:val="48"/>
      <w:szCs w:val="52"/>
      <w:lang w:eastAsia="en-US"/>
    </w:rPr>
  </w:style>
  <w:style w:type="paragraph" w:customStyle="1" w:styleId="Who">
    <w:name w:val="Who"/>
    <w:basedOn w:val="Normal"/>
    <w:semiHidden/>
    <w:qFormat/>
    <w:pPr>
      <w:spacing w:after="120" w:line="240" w:lineRule="auto"/>
      <w:jc w:val="center"/>
    </w:pPr>
    <w:rPr>
      <w:b/>
      <w:sz w:val="40"/>
      <w:lang w:val="en-US"/>
    </w:rPr>
  </w:style>
  <w:style w:type="paragraph" w:customStyle="1" w:styleId="Dessertation">
    <w:name w:val="Dessertation"/>
    <w:basedOn w:val="Normal"/>
    <w:semiHidden/>
    <w:qFormat/>
    <w:pPr>
      <w:spacing w:after="0" w:line="240" w:lineRule="auto"/>
      <w:jc w:val="center"/>
    </w:pPr>
    <w:rPr>
      <w:sz w:val="34"/>
      <w:szCs w:val="32"/>
      <w:lang w:val="en-US"/>
    </w:rPr>
  </w:style>
  <w:style w:type="paragraph" w:customStyle="1" w:styleId="Month">
    <w:name w:val="Month"/>
    <w:basedOn w:val="Normal"/>
    <w:semiHidden/>
    <w:qFormat/>
    <w:pPr>
      <w:spacing w:after="120" w:line="240" w:lineRule="auto"/>
      <w:jc w:val="left"/>
    </w:pPr>
    <w:rPr>
      <w:sz w:val="34"/>
      <w:szCs w:val="34"/>
      <w:lang w:val="en-US"/>
    </w:rPr>
  </w:style>
  <w:style w:type="paragraph" w:styleId="Caption">
    <w:name w:val="caption"/>
    <w:basedOn w:val="Normal"/>
    <w:next w:val="Normal"/>
    <w:uiPriority w:val="35"/>
    <w:qFormat/>
    <w:pPr>
      <w:spacing w:after="200" w:line="240" w:lineRule="auto"/>
    </w:pPr>
    <w:rPr>
      <w:b/>
      <w:bCs/>
      <w:color w:val="4F81BD" w:themeColor="accent1"/>
      <w:sz w:val="18"/>
      <w:szCs w:val="18"/>
    </w:rPr>
  </w:style>
  <w:style w:type="paragraph" w:customStyle="1" w:styleId="ListNumber0">
    <w:name w:val="List_Number"/>
    <w:basedOn w:val="Normal"/>
    <w:qFormat/>
    <w:pPr>
      <w:numPr>
        <w:numId w:val="21"/>
      </w:numPr>
      <w:tabs>
        <w:tab w:val="left" w:pos="567"/>
      </w:tabs>
      <w:ind w:left="567" w:hanging="567"/>
    </w:pPr>
  </w:style>
  <w:style w:type="paragraph" w:styleId="Bibliography">
    <w:name w:val="Bibliography"/>
    <w:basedOn w:val="Normal"/>
    <w:next w:val="Normal"/>
    <w:uiPriority w:val="37"/>
    <w:pPr>
      <w:jc w:val="left"/>
    </w:pPr>
  </w:style>
  <w:style w:type="character" w:customStyle="1" w:styleId="FooterChar">
    <w:name w:val="Footer Char"/>
    <w:link w:val="Footer"/>
    <w:uiPriority w:val="99"/>
    <w:rsid w:val="00F27F73"/>
    <w:rPr>
      <w:rFonts w:ascii="Arial" w:hAnsi="Arial" w:cs="Arial"/>
      <w:i/>
      <w:iCs/>
      <w:noProof/>
      <w:sz w:val="22"/>
      <w:szCs w:val="22"/>
      <w:lang w:eastAsia="en-US"/>
    </w:rPr>
  </w:style>
  <w:style w:type="paragraph" w:customStyle="1" w:styleId="Chapter">
    <w:name w:val="Chapter"/>
    <w:basedOn w:val="TOCHeading"/>
    <w:qFormat/>
    <w:rsid w:val="00551471"/>
    <w:rPr>
      <w:rFonts w:asciiTheme="majorHAnsi" w:hAnsiTheme="majorHAnsi"/>
    </w:rPr>
  </w:style>
  <w:style w:type="paragraph" w:styleId="ListParagraph">
    <w:name w:val="List Paragraph"/>
    <w:basedOn w:val="Normal"/>
    <w:uiPriority w:val="34"/>
    <w:qFormat/>
    <w:rsid w:val="00E23D1D"/>
    <w:pPr>
      <w:ind w:left="720"/>
      <w:contextualSpacing/>
    </w:pPr>
  </w:style>
  <w:style w:type="paragraph" w:customStyle="1" w:styleId="footnotedescription">
    <w:name w:val="footnote description"/>
    <w:next w:val="Normal"/>
    <w:link w:val="footnotedescriptionChar"/>
    <w:hidden/>
    <w:rsid w:val="007F6BA4"/>
    <w:pPr>
      <w:spacing w:line="259" w:lineRule="auto"/>
      <w:ind w:left="5"/>
    </w:pPr>
    <w:rPr>
      <w:rFonts w:ascii="Arial" w:eastAsia="Arial" w:hAnsi="Arial" w:cs="Arial"/>
      <w:i/>
      <w:color w:val="000000"/>
      <w:sz w:val="18"/>
      <w:szCs w:val="24"/>
      <w:lang w:eastAsia="en-GB"/>
    </w:rPr>
  </w:style>
  <w:style w:type="character" w:customStyle="1" w:styleId="footnotedescriptionChar">
    <w:name w:val="footnote description Char"/>
    <w:link w:val="footnotedescription"/>
    <w:rsid w:val="007F6BA4"/>
    <w:rPr>
      <w:rFonts w:ascii="Arial" w:eastAsia="Arial" w:hAnsi="Arial" w:cs="Arial"/>
      <w:i/>
      <w:color w:val="000000"/>
      <w:sz w:val="18"/>
      <w:szCs w:val="24"/>
      <w:lang w:eastAsia="en-GB"/>
    </w:rPr>
  </w:style>
  <w:style w:type="character" w:customStyle="1" w:styleId="footnotemark">
    <w:name w:val="footnote mark"/>
    <w:hidden/>
    <w:rsid w:val="007F6BA4"/>
    <w:rPr>
      <w:rFonts w:ascii="Arial" w:eastAsia="Arial" w:hAnsi="Arial" w:cs="Arial"/>
      <w:i/>
      <w:color w:val="000000"/>
      <w:sz w:val="16"/>
      <w:vertAlign w:val="superscript"/>
    </w:rPr>
  </w:style>
  <w:style w:type="character" w:customStyle="1" w:styleId="FootnoteTextChar">
    <w:name w:val="Footnote Text Char"/>
    <w:basedOn w:val="DefaultParagraphFont"/>
    <w:link w:val="FootnoteText"/>
    <w:uiPriority w:val="99"/>
    <w:rsid w:val="00662CEC"/>
    <w:rPr>
      <w:rFonts w:asciiTheme="majorHAnsi" w:hAnsiTheme="majorHAnsi"/>
      <w:i/>
      <w:iCs/>
      <w:lang w:eastAsia="en-US"/>
    </w:rPr>
  </w:style>
  <w:style w:type="paragraph" w:customStyle="1" w:styleId="EndNoteBibliographyTitle">
    <w:name w:val="EndNote Bibliography Title"/>
    <w:basedOn w:val="Normal"/>
    <w:link w:val="EndNoteBibliographyTitleChar"/>
    <w:rsid w:val="00841588"/>
    <w:pPr>
      <w:spacing w:after="0"/>
      <w:jc w:val="center"/>
    </w:pPr>
    <w:rPr>
      <w:rFonts w:ascii="Cambria" w:hAnsi="Cambria"/>
      <w:lang w:val="en-US"/>
    </w:rPr>
  </w:style>
  <w:style w:type="character" w:customStyle="1" w:styleId="EndNoteBibliographyTitleChar">
    <w:name w:val="EndNote Bibliography Title Char"/>
    <w:basedOn w:val="DefaultParagraphFont"/>
    <w:link w:val="EndNoteBibliographyTitle"/>
    <w:rsid w:val="00841588"/>
    <w:rPr>
      <w:rFonts w:ascii="Cambria" w:hAnsi="Cambria"/>
      <w:sz w:val="22"/>
      <w:lang w:val="en-US" w:eastAsia="en-US"/>
    </w:rPr>
  </w:style>
  <w:style w:type="paragraph" w:customStyle="1" w:styleId="EndNoteBibliography">
    <w:name w:val="EndNote Bibliography"/>
    <w:basedOn w:val="Normal"/>
    <w:link w:val="EndNoteBibliographyChar"/>
    <w:rsid w:val="00841588"/>
    <w:pPr>
      <w:spacing w:line="240" w:lineRule="auto"/>
      <w:jc w:val="left"/>
    </w:pPr>
    <w:rPr>
      <w:rFonts w:ascii="Cambria" w:hAnsi="Cambria"/>
      <w:lang w:val="en-US"/>
    </w:rPr>
  </w:style>
  <w:style w:type="character" w:customStyle="1" w:styleId="EndNoteBibliographyChar">
    <w:name w:val="EndNote Bibliography Char"/>
    <w:basedOn w:val="DefaultParagraphFont"/>
    <w:link w:val="EndNoteBibliography"/>
    <w:rsid w:val="00841588"/>
    <w:rPr>
      <w:rFonts w:ascii="Cambria" w:hAnsi="Cambria"/>
      <w:sz w:val="22"/>
      <w:lang w:val="en-US" w:eastAsia="en-US"/>
    </w:rPr>
  </w:style>
  <w:style w:type="character" w:styleId="UnresolvedMention">
    <w:name w:val="Unresolved Mention"/>
    <w:basedOn w:val="DefaultParagraphFont"/>
    <w:uiPriority w:val="99"/>
    <w:semiHidden/>
    <w:unhideWhenUsed/>
    <w:rsid w:val="00841588"/>
    <w:rPr>
      <w:color w:val="605E5C"/>
      <w:shd w:val="clear" w:color="auto" w:fill="E1DFDD"/>
    </w:rPr>
  </w:style>
  <w:style w:type="character" w:styleId="CommentReference">
    <w:name w:val="annotation reference"/>
    <w:basedOn w:val="DefaultParagraphFont"/>
    <w:uiPriority w:val="99"/>
    <w:semiHidden/>
    <w:unhideWhenUsed/>
    <w:rsid w:val="0092370A"/>
    <w:rPr>
      <w:sz w:val="16"/>
      <w:szCs w:val="16"/>
    </w:rPr>
  </w:style>
  <w:style w:type="paragraph" w:styleId="CommentText">
    <w:name w:val="annotation text"/>
    <w:basedOn w:val="Normal"/>
    <w:link w:val="CommentTextChar"/>
    <w:uiPriority w:val="99"/>
    <w:unhideWhenUsed/>
    <w:rsid w:val="0092370A"/>
    <w:pPr>
      <w:spacing w:after="160" w:line="240" w:lineRule="auto"/>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2370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E032D"/>
    <w:pPr>
      <w:spacing w:after="240"/>
      <w:jc w:val="both"/>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7E032D"/>
    <w:rPr>
      <w:rFonts w:ascii="Arial" w:eastAsiaTheme="minorHAnsi" w:hAnsi="Arial" w:cstheme="minorBidi"/>
      <w:b/>
      <w:bCs/>
      <w:lang w:eastAsia="en-US"/>
    </w:rPr>
  </w:style>
  <w:style w:type="paragraph" w:customStyle="1" w:styleId="Default">
    <w:name w:val="Default"/>
    <w:link w:val="DefaultChar"/>
    <w:rsid w:val="002B26A5"/>
    <w:pPr>
      <w:autoSpaceDE w:val="0"/>
      <w:autoSpaceDN w:val="0"/>
      <w:adjustRightInd w:val="0"/>
    </w:pPr>
    <w:rPr>
      <w:rFonts w:ascii="Arial" w:eastAsiaTheme="minorHAnsi" w:hAnsi="Arial" w:cs="Arial"/>
      <w:color w:val="000000"/>
      <w:sz w:val="24"/>
      <w:szCs w:val="24"/>
      <w:lang w:eastAsia="en-US"/>
    </w:rPr>
  </w:style>
  <w:style w:type="character" w:customStyle="1" w:styleId="DefaultChar">
    <w:name w:val="Default Char"/>
    <w:basedOn w:val="DefaultParagraphFont"/>
    <w:link w:val="Default"/>
    <w:rsid w:val="002B26A5"/>
    <w:rPr>
      <w:rFonts w:ascii="Arial" w:eastAsiaTheme="minorHAnsi" w:hAnsi="Arial" w:cs="Arial"/>
      <w:color w:val="000000"/>
      <w:sz w:val="24"/>
      <w:szCs w:val="24"/>
      <w:lang w:eastAsia="en-US"/>
    </w:rPr>
  </w:style>
  <w:style w:type="paragraph" w:styleId="EndnoteText">
    <w:name w:val="endnote text"/>
    <w:basedOn w:val="Normal"/>
    <w:link w:val="EndnoteTextChar"/>
    <w:uiPriority w:val="99"/>
    <w:semiHidden/>
    <w:unhideWhenUsed/>
    <w:rsid w:val="002B26A5"/>
    <w:pPr>
      <w:spacing w:after="0" w:line="240" w:lineRule="auto"/>
    </w:pPr>
    <w:rPr>
      <w:rFonts w:ascii="Cambria" w:hAnsi="Cambria"/>
      <w:sz w:val="20"/>
    </w:rPr>
  </w:style>
  <w:style w:type="character" w:customStyle="1" w:styleId="EndnoteTextChar">
    <w:name w:val="Endnote Text Char"/>
    <w:basedOn w:val="DefaultParagraphFont"/>
    <w:link w:val="EndnoteText"/>
    <w:uiPriority w:val="99"/>
    <w:semiHidden/>
    <w:rsid w:val="002B26A5"/>
    <w:rPr>
      <w:rFonts w:ascii="Cambria" w:hAnsi="Cambria"/>
      <w:lang w:eastAsia="en-US"/>
    </w:rPr>
  </w:style>
  <w:style w:type="character" w:styleId="EndnoteReference">
    <w:name w:val="endnote reference"/>
    <w:basedOn w:val="DefaultParagraphFont"/>
    <w:uiPriority w:val="99"/>
    <w:semiHidden/>
    <w:unhideWhenUsed/>
    <w:rsid w:val="002B26A5"/>
    <w:rPr>
      <w:vertAlign w:val="superscript"/>
    </w:rPr>
  </w:style>
  <w:style w:type="paragraph" w:styleId="Revision">
    <w:name w:val="Revision"/>
    <w:hidden/>
    <w:uiPriority w:val="99"/>
    <w:semiHidden/>
    <w:rsid w:val="002B26A5"/>
    <w:rPr>
      <w:rFonts w:asciiTheme="minorHAnsi" w:eastAsiaTheme="minorHAnsi" w:hAnsiTheme="minorHAnsi" w:cstheme="minorBidi"/>
      <w:sz w:val="24"/>
      <w:szCs w:val="24"/>
      <w:lang w:val="en-GB" w:eastAsia="en-US"/>
    </w:rPr>
  </w:style>
  <w:style w:type="table" w:customStyle="1" w:styleId="TableGrid10">
    <w:name w:val="Table Grid1"/>
    <w:basedOn w:val="TableNormal"/>
    <w:next w:val="TableGrid"/>
    <w:uiPriority w:val="39"/>
    <w:rsid w:val="00643E5B"/>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doi.org/10.1016/j.bbadis.2018.10.034" TargetMode="External"/><Relationship Id="rId2" Type="http://schemas.openxmlformats.org/officeDocument/2006/relationships/numbering" Target="numbering.xml"/><Relationship Id="rId16" Type="http://schemas.openxmlformats.org/officeDocument/2006/relationships/hyperlink" Target="https://doi.org/10.1007/s11306-012-045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0B7A-EF6A-4557-BF35-56CAFC2F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NWU</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Stephan Steyn</cp:lastModifiedBy>
  <cp:revision>1484</cp:revision>
  <cp:lastPrinted>2022-11-09T12:10:00Z</cp:lastPrinted>
  <dcterms:created xsi:type="dcterms:W3CDTF">2022-09-28T17:02:00Z</dcterms:created>
  <dcterms:modified xsi:type="dcterms:W3CDTF">2023-08-23T09:10:00Z</dcterms:modified>
</cp:coreProperties>
</file>