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  <Override PartName="/word/charts/style6.xml" ContentType="application/vnd.ms-office.chartstyle+xml"/>
  <Override PartName="/word/charts/colors6.xml" ContentType="application/vnd.ms-office.chartcolorsty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76CB4" w14:textId="77777777" w:rsidR="0082142E" w:rsidRDefault="0082142E" w:rsidP="00ED0D0A">
      <w:pPr>
        <w:rPr>
          <w:lang w:val="en-GB"/>
        </w:rPr>
      </w:pPr>
      <w:bookmarkStart w:id="0" w:name="_GoBack"/>
      <w:bookmarkEnd w:id="0"/>
    </w:p>
    <w:p w14:paraId="35921167" w14:textId="77777777" w:rsidR="0082142E" w:rsidRDefault="0082142E" w:rsidP="00ED0D0A">
      <w:pPr>
        <w:rPr>
          <w:lang w:val="en-GB"/>
        </w:rPr>
      </w:pPr>
    </w:p>
    <w:p w14:paraId="3FB2785B" w14:textId="77777777" w:rsidR="00FA75CD" w:rsidRDefault="00FA75CD" w:rsidP="00ED0D0A">
      <w:pPr>
        <w:rPr>
          <w:lang w:val="en-GB"/>
        </w:rPr>
      </w:pPr>
    </w:p>
    <w:p w14:paraId="3CC01007" w14:textId="77777777" w:rsidR="00980489" w:rsidRDefault="00FA75CD" w:rsidP="00FA75CD">
      <w:pPr>
        <w:jc w:val="center"/>
        <w:rPr>
          <w:lang w:val="en-GB"/>
        </w:rPr>
      </w:pPr>
      <w:r>
        <w:rPr>
          <w:noProof/>
          <w:lang w:val="en-US"/>
        </w:rPr>
        <w:drawing>
          <wp:inline distT="0" distB="0" distL="0" distR="0" wp14:anchorId="597C0637" wp14:editId="06074B85">
            <wp:extent cx="3048000" cy="1919287"/>
            <wp:effectExtent l="0" t="0" r="0" b="508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D309D3-D7B8-4968-8403-34BD856669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lang w:val="en-GB"/>
        </w:rPr>
        <w:t xml:space="preserve"> </w:t>
      </w:r>
      <w:r>
        <w:rPr>
          <w:noProof/>
          <w:lang w:val="en-US"/>
        </w:rPr>
        <w:drawing>
          <wp:inline distT="0" distB="0" distL="0" distR="0" wp14:anchorId="60E8D121" wp14:editId="5EABD872">
            <wp:extent cx="3052763" cy="1909762"/>
            <wp:effectExtent l="0" t="0" r="14605" b="1460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6549860-187B-4124-A799-7825BD25E2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lang w:val="en-GB"/>
        </w:rPr>
        <w:t xml:space="preserve"> </w:t>
      </w:r>
      <w:r>
        <w:rPr>
          <w:noProof/>
          <w:lang w:val="en-US"/>
        </w:rPr>
        <w:drawing>
          <wp:inline distT="0" distB="0" distL="0" distR="0" wp14:anchorId="019B781E" wp14:editId="445BBD30">
            <wp:extent cx="3057525" cy="1918648"/>
            <wp:effectExtent l="0" t="0" r="9525" b="571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BD653F-10D5-4C67-9BA7-45DF65E3B3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33B5A2" w14:textId="77777777" w:rsidR="00FA75CD" w:rsidRPr="00FA75CD" w:rsidRDefault="00FA75CD" w:rsidP="00FA75CD">
      <w:pPr>
        <w:jc w:val="center"/>
        <w:rPr>
          <w:lang w:val="en-GB"/>
        </w:rPr>
      </w:pPr>
      <w:r>
        <w:rPr>
          <w:noProof/>
          <w:lang w:val="en-US"/>
        </w:rPr>
        <w:drawing>
          <wp:inline distT="0" distB="0" distL="0" distR="0" wp14:anchorId="0E75AD50" wp14:editId="538690F5">
            <wp:extent cx="3057525" cy="1914525"/>
            <wp:effectExtent l="0" t="0" r="9525" b="952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EDB328-E5F1-4A68-8D1C-7E807AF114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lang w:val="en-GB"/>
        </w:rPr>
        <w:t xml:space="preserve"> </w:t>
      </w:r>
      <w:r w:rsidR="00CB0BED">
        <w:rPr>
          <w:noProof/>
          <w:lang w:val="en-US"/>
        </w:rPr>
        <w:drawing>
          <wp:inline distT="0" distB="0" distL="0" distR="0" wp14:anchorId="6C73D800" wp14:editId="33325F67">
            <wp:extent cx="3048000" cy="1909763"/>
            <wp:effectExtent l="0" t="0" r="0" b="1460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ABA5D6-CFAF-4EFA-8CF6-D20842F1F4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lang w:val="en-GB"/>
        </w:rPr>
        <w:t xml:space="preserve"> </w:t>
      </w:r>
      <w:r>
        <w:rPr>
          <w:noProof/>
          <w:lang w:val="en-US"/>
        </w:rPr>
        <w:drawing>
          <wp:inline distT="0" distB="0" distL="0" distR="0" wp14:anchorId="2E82BF5F" wp14:editId="68F467E4">
            <wp:extent cx="3057525" cy="1919288"/>
            <wp:effectExtent l="0" t="0" r="9525" b="508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57992E-6BE1-4F41-A461-01B56829AC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CBE090" w14:textId="77777777" w:rsidR="0082142E" w:rsidRPr="002F08A4" w:rsidRDefault="00980489" w:rsidP="00980489">
      <w:pPr>
        <w:tabs>
          <w:tab w:val="left" w:pos="2936"/>
        </w:tabs>
        <w:rPr>
          <w:noProof/>
          <w:lang w:val="en-GB"/>
        </w:rPr>
      </w:pPr>
      <w:r>
        <w:rPr>
          <w:noProof/>
          <w:lang w:val="en-GB"/>
        </w:rPr>
        <w:tab/>
      </w:r>
    </w:p>
    <w:p w14:paraId="4172F6EA" w14:textId="77777777" w:rsidR="003156E6" w:rsidRPr="00661212" w:rsidRDefault="00833F15" w:rsidP="003156E6">
      <w:pPr>
        <w:tabs>
          <w:tab w:val="left" w:pos="2997"/>
        </w:tabs>
        <w:rPr>
          <w:i/>
          <w:lang w:val="en-GB"/>
        </w:rPr>
      </w:pPr>
      <w:r w:rsidRPr="00661212">
        <w:rPr>
          <w:b/>
          <w:lang w:val="en-GB"/>
        </w:rPr>
        <w:t>Figure 1</w:t>
      </w:r>
      <w:r w:rsidR="00661212">
        <w:rPr>
          <w:b/>
          <w:lang w:val="en-GB"/>
        </w:rPr>
        <w:t>S</w:t>
      </w:r>
      <w:r w:rsidR="003156E6" w:rsidRPr="003156E6">
        <w:rPr>
          <w:lang w:val="en-GB"/>
        </w:rPr>
        <w:t xml:space="preserve">. </w:t>
      </w:r>
      <w:r w:rsidR="003156E6" w:rsidRPr="00661212">
        <w:rPr>
          <w:i/>
          <w:lang w:val="en-GB"/>
        </w:rPr>
        <w:t>Z-scores of neurocognitive domains at baseline (T1) and at a five-year follow-up (T2)</w:t>
      </w:r>
      <w:r w:rsidR="00D52BA5" w:rsidRPr="00661212">
        <w:rPr>
          <w:i/>
          <w:lang w:val="en-GB"/>
        </w:rPr>
        <w:t>. A) Speed processing index (SP); B) Working Memory Index (WM); C) Verbal Memory Index (VbM); D) Visual Memory Index (VisM; E) Executive Functioning Index (FEXE); F) Attention index (ATT).</w:t>
      </w:r>
    </w:p>
    <w:p w14:paraId="7277398F" w14:textId="77777777" w:rsidR="00C0421E" w:rsidRDefault="00C0421E" w:rsidP="003156E6">
      <w:pPr>
        <w:tabs>
          <w:tab w:val="left" w:pos="2997"/>
        </w:tabs>
        <w:rPr>
          <w:lang w:val="en-GB"/>
        </w:rPr>
      </w:pPr>
    </w:p>
    <w:p w14:paraId="62E818E2" w14:textId="77777777" w:rsidR="00C0421E" w:rsidRDefault="00C0421E" w:rsidP="003156E6">
      <w:pPr>
        <w:tabs>
          <w:tab w:val="left" w:pos="2997"/>
        </w:tabs>
        <w:rPr>
          <w:lang w:val="en-GB"/>
        </w:rPr>
      </w:pPr>
    </w:p>
    <w:p w14:paraId="7D0F92B4" w14:textId="77777777" w:rsidR="00C0421E" w:rsidRPr="003156E6" w:rsidRDefault="00C0421E" w:rsidP="003156E6">
      <w:pPr>
        <w:tabs>
          <w:tab w:val="left" w:pos="2997"/>
        </w:tabs>
        <w:rPr>
          <w:lang w:val="en-GB"/>
        </w:rPr>
      </w:pPr>
    </w:p>
    <w:sectPr w:rsidR="00C0421E" w:rsidRPr="003156E6" w:rsidSect="00ED0D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0A"/>
    <w:rsid w:val="0009567A"/>
    <w:rsid w:val="000E4F56"/>
    <w:rsid w:val="00170082"/>
    <w:rsid w:val="002F08A4"/>
    <w:rsid w:val="003156E6"/>
    <w:rsid w:val="003422B8"/>
    <w:rsid w:val="00661212"/>
    <w:rsid w:val="00684C9F"/>
    <w:rsid w:val="0082142E"/>
    <w:rsid w:val="00833F15"/>
    <w:rsid w:val="00980489"/>
    <w:rsid w:val="00C00EBF"/>
    <w:rsid w:val="00C0421E"/>
    <w:rsid w:val="00CB0BED"/>
    <w:rsid w:val="00CC2E73"/>
    <w:rsid w:val="00D52BA5"/>
    <w:rsid w:val="00DA1856"/>
    <w:rsid w:val="00E86152"/>
    <w:rsid w:val="00ED0D0A"/>
    <w:rsid w:val="00F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CF9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C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9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C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chart" Target="charts/chart4.xml"/><Relationship Id="rId9" Type="http://schemas.openxmlformats.org/officeDocument/2006/relationships/chart" Target="charts/chart5.xml"/><Relationship Id="rId10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2.xml"/><Relationship Id="rId3" Type="http://schemas.microsoft.com/office/2011/relationships/chartColorStyle" Target="colors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3.xml"/><Relationship Id="rId3" Type="http://schemas.microsoft.com/office/2011/relationships/chartColorStyle" Target="colors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4.xml"/><Relationship Id="rId3" Type="http://schemas.microsoft.com/office/2011/relationships/chartColorStyle" Target="colors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5.xml"/><Relationship Id="rId3" Type="http://schemas.microsoft.com/office/2011/relationships/chartColorStyle" Target="colors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el\Dropbox\B_01_ARTICULOS\05_LA_PUTA_HOSTIA\0000_ART&#205;CULO_RESUBMISSION\Cosas%20que%20no%20se%20env&#237;an\Graficos2.xlsx" TargetMode="External"/><Relationship Id="rId2" Type="http://schemas.microsoft.com/office/2011/relationships/chartStyle" Target="style6.xml"/><Relationship Id="rId3" Type="http://schemas.microsoft.com/office/2011/relationships/chartColorStyle" Target="colors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A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dom NCOG'!$B$1</c:f>
              <c:strCache>
                <c:ptCount val="1"/>
                <c:pt idx="0">
                  <c:v>SP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NCOG'!$A$2:$A$5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NCOG'!$B$2:$B$5</c:f>
              <c:numCache>
                <c:formatCode>0.00</c:formatCode>
                <c:ptCount val="4"/>
                <c:pt idx="0">
                  <c:v>0.0</c:v>
                </c:pt>
                <c:pt idx="1">
                  <c:v>-0.6</c:v>
                </c:pt>
                <c:pt idx="2">
                  <c:v>-0.82</c:v>
                </c:pt>
                <c:pt idx="3">
                  <c:v>-0.88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87-4FD9-8F43-E8EE6F8D7B13}"/>
            </c:ext>
          </c:extLst>
        </c:ser>
        <c:ser>
          <c:idx val="1"/>
          <c:order val="1"/>
          <c:tx>
            <c:strRef>
              <c:f>'Finales dom NCOG'!$C$1</c:f>
              <c:strCache>
                <c:ptCount val="1"/>
                <c:pt idx="0">
                  <c:v>SP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NCOG'!$A$2:$A$5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NCOG'!$C$2:$C$5</c:f>
              <c:numCache>
                <c:formatCode>0.00</c:formatCode>
                <c:ptCount val="4"/>
                <c:pt idx="0">
                  <c:v>0.06</c:v>
                </c:pt>
                <c:pt idx="1">
                  <c:v>-0.69</c:v>
                </c:pt>
                <c:pt idx="2">
                  <c:v>-0.87</c:v>
                </c:pt>
                <c:pt idx="3">
                  <c:v>-1.08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87-4FD9-8F43-E8EE6F8D7B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8901752"/>
        <c:axId val="2098645560"/>
      </c:barChart>
      <c:catAx>
        <c:axId val="2098901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8645560"/>
        <c:crosses val="autoZero"/>
        <c:auto val="1"/>
        <c:lblAlgn val="ctr"/>
        <c:lblOffset val="100"/>
        <c:noMultiLvlLbl val="0"/>
      </c:catAx>
      <c:valAx>
        <c:axId val="2098645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8901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B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dom NCOG'!$E$1</c:f>
              <c:strCache>
                <c:ptCount val="1"/>
                <c:pt idx="0">
                  <c:v>WM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NCOG'!$D$2:$D$5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NCOG'!$E$2:$E$5</c:f>
              <c:numCache>
                <c:formatCode>0.00</c:formatCode>
                <c:ptCount val="4"/>
                <c:pt idx="0">
                  <c:v>0.0</c:v>
                </c:pt>
                <c:pt idx="1">
                  <c:v>-0.1</c:v>
                </c:pt>
                <c:pt idx="2">
                  <c:v>-0.81</c:v>
                </c:pt>
                <c:pt idx="3">
                  <c:v>-1.13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C5-4D95-B001-3BBA559E383A}"/>
            </c:ext>
          </c:extLst>
        </c:ser>
        <c:ser>
          <c:idx val="1"/>
          <c:order val="1"/>
          <c:tx>
            <c:strRef>
              <c:f>'Finales dom NCOG'!$F$1</c:f>
              <c:strCache>
                <c:ptCount val="1"/>
                <c:pt idx="0">
                  <c:v>WM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NCOG'!$D$2:$D$5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NCOG'!$F$2:$F$5</c:f>
              <c:numCache>
                <c:formatCode>0.00</c:formatCode>
                <c:ptCount val="4"/>
                <c:pt idx="0">
                  <c:v>-0.04</c:v>
                </c:pt>
                <c:pt idx="1">
                  <c:v>-0.41</c:v>
                </c:pt>
                <c:pt idx="2">
                  <c:v>-0.79</c:v>
                </c:pt>
                <c:pt idx="3">
                  <c:v>-1.01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C5-4D95-B001-3BBA559E3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46014280"/>
        <c:axId val="2109407912"/>
      </c:barChart>
      <c:catAx>
        <c:axId val="-2146014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9407912"/>
        <c:crosses val="autoZero"/>
        <c:auto val="1"/>
        <c:lblAlgn val="ctr"/>
        <c:lblOffset val="100"/>
        <c:noMultiLvlLbl val="0"/>
      </c:catAx>
      <c:valAx>
        <c:axId val="2109407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46014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C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dom NCOG'!$H$1</c:f>
              <c:strCache>
                <c:ptCount val="1"/>
                <c:pt idx="0">
                  <c:v>VbM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NCOG'!$G$2:$G$5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NCOG'!$H$2:$H$5</c:f>
              <c:numCache>
                <c:formatCode>0.00</c:formatCode>
                <c:ptCount val="4"/>
                <c:pt idx="0">
                  <c:v>0.0</c:v>
                </c:pt>
                <c:pt idx="1">
                  <c:v>-0.67</c:v>
                </c:pt>
                <c:pt idx="2">
                  <c:v>-0.77</c:v>
                </c:pt>
                <c:pt idx="3">
                  <c:v>-0.9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8-4891-8BC1-8D32BCAC3A8E}"/>
            </c:ext>
          </c:extLst>
        </c:ser>
        <c:ser>
          <c:idx val="1"/>
          <c:order val="1"/>
          <c:tx>
            <c:strRef>
              <c:f>'Finales dom NCOG'!$I$1</c:f>
              <c:strCache>
                <c:ptCount val="1"/>
                <c:pt idx="0">
                  <c:v>VbM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NCOG'!$G$2:$G$5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NCOG'!$I$2:$I$5</c:f>
              <c:numCache>
                <c:formatCode>0.00</c:formatCode>
                <c:ptCount val="4"/>
                <c:pt idx="0">
                  <c:v>0.03</c:v>
                </c:pt>
                <c:pt idx="1">
                  <c:v>-0.77</c:v>
                </c:pt>
                <c:pt idx="2">
                  <c:v>-0.69</c:v>
                </c:pt>
                <c:pt idx="3">
                  <c:v>-0.94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F8-4891-8BC1-8D32BCAC3A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80536"/>
        <c:axId val="-2146500344"/>
      </c:barChart>
      <c:catAx>
        <c:axId val="210948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46500344"/>
        <c:crosses val="autoZero"/>
        <c:auto val="1"/>
        <c:lblAlgn val="ctr"/>
        <c:lblOffset val="100"/>
        <c:noMultiLvlLbl val="0"/>
      </c:catAx>
      <c:valAx>
        <c:axId val="-2146500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9480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D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dom NCOG'!$K$1</c:f>
              <c:strCache>
                <c:ptCount val="1"/>
                <c:pt idx="0">
                  <c:v>VisM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NCOG'!$J$2:$J$5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NCOG'!$K$2:$K$5</c:f>
              <c:numCache>
                <c:formatCode>0.00</c:formatCode>
                <c:ptCount val="4"/>
                <c:pt idx="0">
                  <c:v>0.0</c:v>
                </c:pt>
                <c:pt idx="1">
                  <c:v>-1.22</c:v>
                </c:pt>
                <c:pt idx="2">
                  <c:v>-1.18</c:v>
                </c:pt>
                <c:pt idx="3">
                  <c:v>-1.63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D1-4311-9D8F-FBB6B75646B0}"/>
            </c:ext>
          </c:extLst>
        </c:ser>
        <c:ser>
          <c:idx val="1"/>
          <c:order val="1"/>
          <c:tx>
            <c:strRef>
              <c:f>'Finales dom NCOG'!$L$1</c:f>
              <c:strCache>
                <c:ptCount val="1"/>
                <c:pt idx="0">
                  <c:v>VisM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NCOG'!$J$2:$J$5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NCOG'!$L$2:$L$5</c:f>
              <c:numCache>
                <c:formatCode>0.00</c:formatCode>
                <c:ptCount val="4"/>
                <c:pt idx="0">
                  <c:v>-0.19</c:v>
                </c:pt>
                <c:pt idx="1">
                  <c:v>-1.59</c:v>
                </c:pt>
                <c:pt idx="2">
                  <c:v>-1.33</c:v>
                </c:pt>
                <c:pt idx="3">
                  <c:v>-1.61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D1-4311-9D8F-FBB6B7564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9119704"/>
        <c:axId val="2098725784"/>
      </c:barChart>
      <c:catAx>
        <c:axId val="2099119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8725784"/>
        <c:crosses val="autoZero"/>
        <c:auto val="1"/>
        <c:lblAlgn val="ctr"/>
        <c:lblOffset val="100"/>
        <c:noMultiLvlLbl val="0"/>
      </c:catAx>
      <c:valAx>
        <c:axId val="2098725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9119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E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dom NCOG'!$N$1</c:f>
              <c:strCache>
                <c:ptCount val="1"/>
                <c:pt idx="0">
                  <c:v>FEXE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NCOG'!$M$2:$M$5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NCOG'!$N$2:$N$5</c:f>
              <c:numCache>
                <c:formatCode>0.00</c:formatCode>
                <c:ptCount val="4"/>
                <c:pt idx="0">
                  <c:v>0.0</c:v>
                </c:pt>
                <c:pt idx="1">
                  <c:v>-0.96</c:v>
                </c:pt>
                <c:pt idx="2">
                  <c:v>-1.0</c:v>
                </c:pt>
                <c:pt idx="3">
                  <c:v>-1.32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E5-4D2F-BABC-7BC1D98A3D87}"/>
            </c:ext>
          </c:extLst>
        </c:ser>
        <c:ser>
          <c:idx val="1"/>
          <c:order val="1"/>
          <c:tx>
            <c:strRef>
              <c:f>'Finales dom NCOG'!$O$1</c:f>
              <c:strCache>
                <c:ptCount val="1"/>
                <c:pt idx="0">
                  <c:v>FEXE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NCOG'!$M$2:$M$5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NCOG'!$O$2:$O$5</c:f>
              <c:numCache>
                <c:formatCode>0.00</c:formatCode>
                <c:ptCount val="4"/>
                <c:pt idx="0">
                  <c:v>0.03</c:v>
                </c:pt>
                <c:pt idx="1">
                  <c:v>-0.7</c:v>
                </c:pt>
                <c:pt idx="2">
                  <c:v>-0.72</c:v>
                </c:pt>
                <c:pt idx="3">
                  <c:v>-1.17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E5-4D2F-BABC-7BC1D98A3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9081048"/>
        <c:axId val="-2146905992"/>
      </c:barChart>
      <c:catAx>
        <c:axId val="2099081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46905992"/>
        <c:crosses val="autoZero"/>
        <c:auto val="1"/>
        <c:lblAlgn val="ctr"/>
        <c:lblOffset val="100"/>
        <c:noMultiLvlLbl val="0"/>
      </c:catAx>
      <c:valAx>
        <c:axId val="-2146905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9081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F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'Finales dom NCOG'!$Q$1</c:f>
              <c:strCache>
                <c:ptCount val="1"/>
                <c:pt idx="0">
                  <c:v>ATT T1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NCOG'!$P$2:$P$5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NCOG'!$Q$2:$Q$5</c:f>
              <c:numCache>
                <c:formatCode>0.00</c:formatCode>
                <c:ptCount val="4"/>
                <c:pt idx="0">
                  <c:v>0.0</c:v>
                </c:pt>
                <c:pt idx="1">
                  <c:v>-0.4</c:v>
                </c:pt>
                <c:pt idx="2">
                  <c:v>-0.45</c:v>
                </c:pt>
                <c:pt idx="3">
                  <c:v>-0.52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DB-40D0-9525-78F1C90D65B5}"/>
            </c:ext>
          </c:extLst>
        </c:ser>
        <c:ser>
          <c:idx val="1"/>
          <c:order val="1"/>
          <c:tx>
            <c:strRef>
              <c:f>'Finales dom NCOG'!$R$1</c:f>
              <c:strCache>
                <c:ptCount val="1"/>
                <c:pt idx="0">
                  <c:v>ATT T2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'Finales dom NCOG'!$P$2:$P$5</c:f>
              <c:strCache>
                <c:ptCount val="4"/>
                <c:pt idx="0">
                  <c:v>HC</c:v>
                </c:pt>
                <c:pt idx="1">
                  <c:v>BD-NP</c:v>
                </c:pt>
                <c:pt idx="2">
                  <c:v>BD-P</c:v>
                </c:pt>
                <c:pt idx="3">
                  <c:v>SZ</c:v>
                </c:pt>
              </c:strCache>
            </c:strRef>
          </c:cat>
          <c:val>
            <c:numRef>
              <c:f>'Finales dom NCOG'!$R$2:$R$5</c:f>
              <c:numCache>
                <c:formatCode>0.00</c:formatCode>
                <c:ptCount val="4"/>
                <c:pt idx="0">
                  <c:v>-0.33</c:v>
                </c:pt>
                <c:pt idx="1">
                  <c:v>-0.79</c:v>
                </c:pt>
                <c:pt idx="2">
                  <c:v>-0.99</c:v>
                </c:pt>
                <c:pt idx="3">
                  <c:v>-1.08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DB-40D0-9525-78F1C90D65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47266872"/>
        <c:axId val="2098668296"/>
      </c:barChart>
      <c:catAx>
        <c:axId val="-2147266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8668296"/>
        <c:crosses val="autoZero"/>
        <c:auto val="1"/>
        <c:lblAlgn val="ctr"/>
        <c:lblOffset val="100"/>
        <c:noMultiLvlLbl val="0"/>
      </c:catAx>
      <c:valAx>
        <c:axId val="2098668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47266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Macintosh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Jiménez López</dc:creator>
  <cp:keywords/>
  <dc:description/>
  <cp:lastModifiedBy>Sunita Rai</cp:lastModifiedBy>
  <cp:revision>4</cp:revision>
  <dcterms:created xsi:type="dcterms:W3CDTF">2018-12-04T14:53:00Z</dcterms:created>
  <dcterms:modified xsi:type="dcterms:W3CDTF">2018-12-11T12:39:00Z</dcterms:modified>
</cp:coreProperties>
</file>