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DB89" w14:textId="77777777" w:rsidR="00653A4B" w:rsidRDefault="00653A4B" w:rsidP="00653A4B">
      <w:pPr>
        <w:pStyle w:val="Default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SUPPLEMENTARY APPENDIX</w:t>
      </w:r>
      <w:r w:rsidR="00F66179">
        <w:rPr>
          <w:rFonts w:ascii="Calibri" w:eastAsia="Calibri" w:hAnsi="Calibri" w:cs="Calibri"/>
          <w:b/>
          <w:bCs/>
          <w:u w:color="000000"/>
        </w:rPr>
        <w:t xml:space="preserve"> A</w:t>
      </w:r>
    </w:p>
    <w:p w14:paraId="0008DC88" w14:textId="77777777" w:rsidR="00653A4B" w:rsidRDefault="00653A4B" w:rsidP="00653A4B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6F010500" w14:textId="77777777" w:rsidR="00653A4B" w:rsidRDefault="00653A4B" w:rsidP="00653A4B">
      <w:pPr>
        <w:pStyle w:val="Default"/>
      </w:pPr>
      <w:r>
        <w:rPr>
          <w:rFonts w:ascii="Calibri" w:eastAsia="Calibri" w:hAnsi="Calibri" w:cs="Calibri"/>
          <w:b/>
          <w:bCs/>
          <w:u w:color="000000"/>
        </w:rPr>
        <w:t xml:space="preserve">Table </w:t>
      </w:r>
      <w:r w:rsidR="00F66179">
        <w:rPr>
          <w:rFonts w:ascii="Calibri" w:eastAsia="Calibri" w:hAnsi="Calibri" w:cs="Calibri"/>
          <w:b/>
          <w:bCs/>
          <w:u w:color="000000"/>
        </w:rPr>
        <w:t>A</w:t>
      </w:r>
      <w:r>
        <w:rPr>
          <w:rFonts w:ascii="Calibri" w:eastAsia="Calibri" w:hAnsi="Calibri" w:cs="Calibri"/>
          <w:b/>
          <w:bCs/>
          <w:u w:color="000000"/>
        </w:rPr>
        <w:t>1.</w:t>
      </w:r>
      <w:r>
        <w:rPr>
          <w:rFonts w:ascii="Calibri" w:eastAsia="Calibri" w:hAnsi="Calibri" w:cs="Calibri"/>
          <w:u w:color="000000"/>
        </w:rPr>
        <w:t xml:space="preserve"> Baseline characteristics of clustering of BD patients based on their mood instability</w:t>
      </w:r>
    </w:p>
    <w:p w14:paraId="1529C8AA" w14:textId="77777777" w:rsidR="00653A4B" w:rsidRDefault="00653A4B" w:rsidP="00653A4B">
      <w:pPr>
        <w:pStyle w:val="Default"/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780"/>
        <w:gridCol w:w="1730"/>
        <w:gridCol w:w="985"/>
      </w:tblGrid>
      <w:tr w:rsidR="00653A4B" w14:paraId="38AD122F" w14:textId="77777777" w:rsidTr="0081554B">
        <w:trPr>
          <w:trHeight w:val="640"/>
          <w:jc w:val="center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</w:tcPr>
          <w:p w14:paraId="7F03E604" w14:textId="77777777" w:rsidR="00653A4B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Baseline characteristics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14:paraId="539C1380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Cluster 1</w:t>
            </w:r>
          </w:p>
          <w:p w14:paraId="25A4ECA5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“High Instability”</w:t>
            </w:r>
          </w:p>
          <w:p w14:paraId="431732EF" w14:textId="77777777" w:rsidR="00653A4B" w:rsidRDefault="00653A4B" w:rsidP="0081554B">
            <w:pPr>
              <w:pStyle w:val="Default"/>
              <w:jc w:val="both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(N=43)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14:paraId="6C09CF1E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Cluster 2</w:t>
            </w:r>
          </w:p>
          <w:p w14:paraId="4F5B9900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“Low Instability”</w:t>
            </w:r>
          </w:p>
          <w:p w14:paraId="08096C72" w14:textId="77777777" w:rsidR="00653A4B" w:rsidRDefault="00653A4B" w:rsidP="0081554B">
            <w:pPr>
              <w:pStyle w:val="Default"/>
              <w:jc w:val="both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(N=43)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6C9203EA" w14:textId="77777777" w:rsidR="00653A4B" w:rsidRDefault="00653A4B" w:rsidP="0081554B">
            <w:pPr>
              <w:pStyle w:val="Default"/>
              <w:jc w:val="both"/>
            </w:pPr>
            <w:proofErr w:type="gramStart"/>
            <w:r>
              <w:rPr>
                <w:rFonts w:ascii="Calibri" w:eastAsia="Calibri" w:hAnsi="Calibri" w:cs="Calibri"/>
                <w:b/>
                <w:bCs/>
                <w:u w:color="000000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bCs/>
                <w:u w:color="000000"/>
              </w:rPr>
              <w:t xml:space="preserve"> value</w:t>
            </w:r>
            <w:r w:rsidRPr="00F04B2B">
              <w:rPr>
                <w:rFonts w:ascii="Calibri" w:eastAsia="Calibri" w:hAnsi="Calibri" w:cs="Calibri"/>
                <w:b/>
                <w:bCs/>
                <w:u w:color="000000"/>
                <w:vertAlign w:val="superscript"/>
              </w:rPr>
              <w:t>1</w:t>
            </w:r>
          </w:p>
        </w:tc>
      </w:tr>
      <w:tr w:rsidR="00653A4B" w14:paraId="6B15D7DF" w14:textId="77777777" w:rsidTr="0081554B">
        <w:trPr>
          <w:trHeight w:val="314"/>
          <w:jc w:val="center"/>
        </w:trPr>
        <w:tc>
          <w:tcPr>
            <w:tcW w:w="4770" w:type="dxa"/>
            <w:tcBorders>
              <w:top w:val="single" w:sz="4" w:space="0" w:color="000000"/>
              <w:bottom w:val="nil"/>
            </w:tcBorders>
          </w:tcPr>
          <w:p w14:paraId="629F5762" w14:textId="77777777" w:rsidR="00653A4B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Demographical variables</w:t>
            </w:r>
          </w:p>
        </w:tc>
        <w:tc>
          <w:tcPr>
            <w:tcW w:w="1780" w:type="dxa"/>
            <w:tcBorders>
              <w:top w:val="single" w:sz="4" w:space="0" w:color="000000"/>
              <w:bottom w:val="nil"/>
            </w:tcBorders>
          </w:tcPr>
          <w:p w14:paraId="15E8414A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nil"/>
            </w:tcBorders>
          </w:tcPr>
          <w:p w14:paraId="0A1D82F0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nil"/>
            </w:tcBorders>
          </w:tcPr>
          <w:p w14:paraId="2934D681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53A4B" w14:paraId="11CD5F67" w14:textId="77777777" w:rsidTr="0081554B">
        <w:trPr>
          <w:jc w:val="center"/>
        </w:trPr>
        <w:tc>
          <w:tcPr>
            <w:tcW w:w="4770" w:type="dxa"/>
            <w:tcBorders>
              <w:top w:val="nil"/>
            </w:tcBorders>
          </w:tcPr>
          <w:p w14:paraId="40076B04" w14:textId="77777777" w:rsidR="00653A4B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  <w:u w:color="000000"/>
              </w:rPr>
              <w:t>Age at onset - years (mean, SD)</w:t>
            </w:r>
          </w:p>
        </w:tc>
        <w:tc>
          <w:tcPr>
            <w:tcW w:w="1780" w:type="dxa"/>
            <w:tcBorders>
              <w:top w:val="nil"/>
            </w:tcBorders>
          </w:tcPr>
          <w:p w14:paraId="77A14C98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25.9 (8.0)</w:t>
            </w:r>
          </w:p>
        </w:tc>
        <w:tc>
          <w:tcPr>
            <w:tcW w:w="1730" w:type="dxa"/>
            <w:tcBorders>
              <w:top w:val="nil"/>
            </w:tcBorders>
          </w:tcPr>
          <w:p w14:paraId="020462C0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23.3 (7.8)</w:t>
            </w:r>
          </w:p>
        </w:tc>
        <w:tc>
          <w:tcPr>
            <w:tcW w:w="985" w:type="dxa"/>
            <w:tcBorders>
              <w:top w:val="nil"/>
            </w:tcBorders>
          </w:tcPr>
          <w:p w14:paraId="7D4D1937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0.366</w:t>
            </w:r>
          </w:p>
        </w:tc>
      </w:tr>
      <w:tr w:rsidR="00653A4B" w14:paraId="2D1A32EB" w14:textId="77777777" w:rsidTr="0081554B">
        <w:trPr>
          <w:trHeight w:val="200"/>
          <w:jc w:val="center"/>
        </w:trPr>
        <w:tc>
          <w:tcPr>
            <w:tcW w:w="4770" w:type="dxa"/>
          </w:tcPr>
          <w:p w14:paraId="0ED1A5BF" w14:textId="77777777" w:rsidR="00653A4B" w:rsidRDefault="000F4C98" w:rsidP="0081554B">
            <w:pPr>
              <w:pStyle w:val="Default"/>
            </w:pPr>
            <w:r>
              <w:rPr>
                <w:rFonts w:ascii="Calibri" w:eastAsia="Calibri" w:hAnsi="Calibri" w:cs="Calibri"/>
                <w:u w:color="000000"/>
              </w:rPr>
              <w:t xml:space="preserve">Male sex – </w:t>
            </w:r>
            <w:r w:rsidR="00653A4B">
              <w:rPr>
                <w:rFonts w:ascii="Calibri" w:eastAsia="Calibri" w:hAnsi="Calibri" w:cs="Calibri"/>
                <w:u w:color="000000"/>
              </w:rPr>
              <w:t>(%)</w:t>
            </w:r>
          </w:p>
        </w:tc>
        <w:tc>
          <w:tcPr>
            <w:tcW w:w="1780" w:type="dxa"/>
          </w:tcPr>
          <w:p w14:paraId="1BD05420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 (30.2)</w:t>
            </w:r>
          </w:p>
        </w:tc>
        <w:tc>
          <w:tcPr>
            <w:tcW w:w="1730" w:type="dxa"/>
          </w:tcPr>
          <w:p w14:paraId="22380AE5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(32.6)</w:t>
            </w:r>
          </w:p>
        </w:tc>
        <w:tc>
          <w:tcPr>
            <w:tcW w:w="985" w:type="dxa"/>
          </w:tcPr>
          <w:p w14:paraId="5B06C0AA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1.000</w:t>
            </w:r>
          </w:p>
        </w:tc>
      </w:tr>
      <w:tr w:rsidR="00653A4B" w14:paraId="26DBB48B" w14:textId="77777777" w:rsidTr="0081554B">
        <w:trPr>
          <w:jc w:val="center"/>
        </w:trPr>
        <w:tc>
          <w:tcPr>
            <w:tcW w:w="4770" w:type="dxa"/>
          </w:tcPr>
          <w:p w14:paraId="61203032" w14:textId="77777777" w:rsidR="00653A4B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  <w:u w:color="000000"/>
              </w:rPr>
              <w:t>Length of follow up (</w:t>
            </w:r>
            <w:proofErr w:type="spellStart"/>
            <w:r>
              <w:rPr>
                <w:rFonts w:ascii="Calibri" w:eastAsia="Calibri" w:hAnsi="Calibri" w:cs="Calibri"/>
                <w:u w:color="000000"/>
              </w:rPr>
              <w:t>yr</w:t>
            </w:r>
            <w:proofErr w:type="spellEnd"/>
            <w:r>
              <w:rPr>
                <w:rFonts w:ascii="Calibri" w:eastAsia="Calibri" w:hAnsi="Calibri" w:cs="Calibri"/>
                <w:u w:color="000000"/>
              </w:rPr>
              <w:t>) (mean, SD)</w:t>
            </w:r>
          </w:p>
        </w:tc>
        <w:tc>
          <w:tcPr>
            <w:tcW w:w="1780" w:type="dxa"/>
          </w:tcPr>
          <w:p w14:paraId="2AE5CB4D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 (2.9)</w:t>
            </w:r>
          </w:p>
        </w:tc>
        <w:tc>
          <w:tcPr>
            <w:tcW w:w="1730" w:type="dxa"/>
          </w:tcPr>
          <w:p w14:paraId="4CB51A58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5.9 (2.6)</w:t>
            </w:r>
          </w:p>
        </w:tc>
        <w:tc>
          <w:tcPr>
            <w:tcW w:w="985" w:type="dxa"/>
          </w:tcPr>
          <w:p w14:paraId="5AC085D9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0.807</w:t>
            </w:r>
          </w:p>
        </w:tc>
      </w:tr>
      <w:tr w:rsidR="00653A4B" w14:paraId="78ED03D7" w14:textId="77777777" w:rsidTr="0081554B">
        <w:trPr>
          <w:jc w:val="center"/>
        </w:trPr>
        <w:tc>
          <w:tcPr>
            <w:tcW w:w="4770" w:type="dxa"/>
          </w:tcPr>
          <w:p w14:paraId="55AA02C0" w14:textId="77777777" w:rsidR="00653A4B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Education (mean, SD)</w:t>
            </w:r>
          </w:p>
          <w:p w14:paraId="763859D0" w14:textId="77777777" w:rsidR="00653A4B" w:rsidRPr="00F417D5" w:rsidRDefault="00653A4B" w:rsidP="0081554B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Baseline clinical variables</w:t>
            </w:r>
          </w:p>
        </w:tc>
        <w:tc>
          <w:tcPr>
            <w:tcW w:w="1780" w:type="dxa"/>
          </w:tcPr>
          <w:p w14:paraId="6ADA6723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14.69 (2.7)</w:t>
            </w:r>
          </w:p>
        </w:tc>
        <w:tc>
          <w:tcPr>
            <w:tcW w:w="1730" w:type="dxa"/>
          </w:tcPr>
          <w:p w14:paraId="57B39D2E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14.6 (3.5)</w:t>
            </w:r>
          </w:p>
        </w:tc>
        <w:tc>
          <w:tcPr>
            <w:tcW w:w="985" w:type="dxa"/>
          </w:tcPr>
          <w:p w14:paraId="20A1C41B" w14:textId="77777777" w:rsidR="00653A4B" w:rsidRPr="00C14679" w:rsidRDefault="00653A4B" w:rsidP="0081554B">
            <w:pPr>
              <w:pStyle w:val="Default"/>
              <w:suppressAutoHyphens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0.849</w:t>
            </w:r>
          </w:p>
        </w:tc>
      </w:tr>
      <w:tr w:rsidR="00653A4B" w14:paraId="3B94DE1D" w14:textId="77777777" w:rsidTr="0081554B">
        <w:trPr>
          <w:trHeight w:val="260"/>
          <w:jc w:val="center"/>
        </w:trPr>
        <w:tc>
          <w:tcPr>
            <w:tcW w:w="4770" w:type="dxa"/>
          </w:tcPr>
          <w:p w14:paraId="37B94C9C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BD type</w:t>
            </w:r>
            <w:r w:rsidR="000F4C98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I – </w:t>
            </w: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(%)</w:t>
            </w:r>
          </w:p>
        </w:tc>
        <w:tc>
          <w:tcPr>
            <w:tcW w:w="1780" w:type="dxa"/>
          </w:tcPr>
          <w:p w14:paraId="5ABCE01A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 (39.1)</w:t>
            </w:r>
          </w:p>
        </w:tc>
        <w:tc>
          <w:tcPr>
            <w:tcW w:w="1730" w:type="dxa"/>
          </w:tcPr>
          <w:p w14:paraId="1AEE20B6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 (60.8)</w:t>
            </w:r>
          </w:p>
        </w:tc>
        <w:tc>
          <w:tcPr>
            <w:tcW w:w="985" w:type="dxa"/>
          </w:tcPr>
          <w:p w14:paraId="3C69A2BC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0.052</w:t>
            </w:r>
          </w:p>
        </w:tc>
      </w:tr>
      <w:tr w:rsidR="00653A4B" w14:paraId="72CA1AEE" w14:textId="77777777" w:rsidTr="0081554B">
        <w:trPr>
          <w:trHeight w:val="260"/>
          <w:jc w:val="center"/>
        </w:trPr>
        <w:tc>
          <w:tcPr>
            <w:tcW w:w="4770" w:type="dxa"/>
          </w:tcPr>
          <w:p w14:paraId="5919D3E1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>Psychotic symptoms – no. (%)</w:t>
            </w:r>
          </w:p>
        </w:tc>
        <w:tc>
          <w:tcPr>
            <w:tcW w:w="1780" w:type="dxa"/>
          </w:tcPr>
          <w:p w14:paraId="4EE2344E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(47.6)</w:t>
            </w:r>
          </w:p>
        </w:tc>
        <w:tc>
          <w:tcPr>
            <w:tcW w:w="1730" w:type="dxa"/>
          </w:tcPr>
          <w:p w14:paraId="56FD7ECF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 (59.5)</w:t>
            </w:r>
          </w:p>
        </w:tc>
        <w:tc>
          <w:tcPr>
            <w:tcW w:w="985" w:type="dxa"/>
          </w:tcPr>
          <w:p w14:paraId="55F6A94F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0.191</w:t>
            </w:r>
          </w:p>
        </w:tc>
      </w:tr>
      <w:tr w:rsidR="00653A4B" w14:paraId="1B706F2D" w14:textId="77777777" w:rsidTr="0081554B">
        <w:trPr>
          <w:jc w:val="center"/>
        </w:trPr>
        <w:tc>
          <w:tcPr>
            <w:tcW w:w="4770" w:type="dxa"/>
          </w:tcPr>
          <w:p w14:paraId="4E78177E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Hospitalizations </w:t>
            </w: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yr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</w:t>
            </w: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>(mean, SD)</w:t>
            </w:r>
          </w:p>
        </w:tc>
        <w:tc>
          <w:tcPr>
            <w:tcW w:w="1780" w:type="dxa"/>
          </w:tcPr>
          <w:p w14:paraId="702A2080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 (0.2)</w:t>
            </w:r>
          </w:p>
        </w:tc>
        <w:tc>
          <w:tcPr>
            <w:tcW w:w="1730" w:type="dxa"/>
          </w:tcPr>
          <w:p w14:paraId="1B2DC5A3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 (0.2)</w:t>
            </w:r>
          </w:p>
        </w:tc>
        <w:tc>
          <w:tcPr>
            <w:tcW w:w="985" w:type="dxa"/>
          </w:tcPr>
          <w:p w14:paraId="4603D0DC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0.465</w:t>
            </w:r>
          </w:p>
        </w:tc>
      </w:tr>
      <w:tr w:rsidR="00653A4B" w14:paraId="613C72C8" w14:textId="77777777" w:rsidTr="0081554B">
        <w:trPr>
          <w:jc w:val="center"/>
        </w:trPr>
        <w:tc>
          <w:tcPr>
            <w:tcW w:w="4770" w:type="dxa"/>
          </w:tcPr>
          <w:p w14:paraId="4365D05D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Total number of</w:t>
            </w: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episodes</w:t>
            </w: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yr</w:t>
            </w:r>
            <w:proofErr w:type="spellEnd"/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(mean, SD)*</w:t>
            </w:r>
          </w:p>
        </w:tc>
        <w:tc>
          <w:tcPr>
            <w:tcW w:w="1780" w:type="dxa"/>
          </w:tcPr>
          <w:p w14:paraId="33F75069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1.0 (0.6)</w:t>
            </w:r>
          </w:p>
        </w:tc>
        <w:tc>
          <w:tcPr>
            <w:tcW w:w="1730" w:type="dxa"/>
          </w:tcPr>
          <w:p w14:paraId="31D490B5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0.4 (0.4)</w:t>
            </w:r>
          </w:p>
        </w:tc>
        <w:tc>
          <w:tcPr>
            <w:tcW w:w="985" w:type="dxa"/>
          </w:tcPr>
          <w:p w14:paraId="42C02AF3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&lt;0.001*</w:t>
            </w:r>
          </w:p>
        </w:tc>
      </w:tr>
      <w:tr w:rsidR="00653A4B" w14:paraId="2436B8EB" w14:textId="77777777" w:rsidTr="0081554B">
        <w:trPr>
          <w:trHeight w:val="280"/>
          <w:jc w:val="center"/>
        </w:trPr>
        <w:tc>
          <w:tcPr>
            <w:tcW w:w="4770" w:type="dxa"/>
          </w:tcPr>
          <w:p w14:paraId="670C5FEF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TEMPS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cyclothimia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</w:t>
            </w: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>(mean, SD)*</w:t>
            </w:r>
          </w:p>
        </w:tc>
        <w:tc>
          <w:tcPr>
            <w:tcW w:w="1780" w:type="dxa"/>
          </w:tcPr>
          <w:p w14:paraId="60C948A3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10.8 (5.6)</w:t>
            </w:r>
          </w:p>
        </w:tc>
        <w:tc>
          <w:tcPr>
            <w:tcW w:w="1730" w:type="dxa"/>
          </w:tcPr>
          <w:p w14:paraId="24F475E0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7.5 (3.7)</w:t>
            </w:r>
          </w:p>
        </w:tc>
        <w:tc>
          <w:tcPr>
            <w:tcW w:w="985" w:type="dxa"/>
          </w:tcPr>
          <w:p w14:paraId="515AD1FD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0.043*</w:t>
            </w:r>
          </w:p>
        </w:tc>
      </w:tr>
      <w:tr w:rsidR="00653A4B" w14:paraId="43D5138F" w14:textId="77777777" w:rsidTr="0081554B">
        <w:trPr>
          <w:jc w:val="center"/>
        </w:trPr>
        <w:tc>
          <w:tcPr>
            <w:tcW w:w="4770" w:type="dxa"/>
          </w:tcPr>
          <w:p w14:paraId="6260D953" w14:textId="77777777" w:rsidR="00653A4B" w:rsidRPr="00914E06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>Suicide attempts</w:t>
            </w: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during follow up</w:t>
            </w:r>
            <w:r w:rsidRPr="00914E06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(mean, SD)</w:t>
            </w:r>
          </w:p>
        </w:tc>
        <w:tc>
          <w:tcPr>
            <w:tcW w:w="1780" w:type="dxa"/>
          </w:tcPr>
          <w:p w14:paraId="387E29B5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0.4 (0.6)</w:t>
            </w:r>
          </w:p>
        </w:tc>
        <w:tc>
          <w:tcPr>
            <w:tcW w:w="1730" w:type="dxa"/>
          </w:tcPr>
          <w:p w14:paraId="5B12D573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0.3 (0.6)</w:t>
            </w:r>
          </w:p>
        </w:tc>
        <w:tc>
          <w:tcPr>
            <w:tcW w:w="985" w:type="dxa"/>
          </w:tcPr>
          <w:p w14:paraId="7C938EAA" w14:textId="77777777" w:rsidR="00653A4B" w:rsidRPr="00D1511C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0.124</w:t>
            </w:r>
          </w:p>
        </w:tc>
      </w:tr>
      <w:tr w:rsidR="00653A4B" w14:paraId="0A55C6A1" w14:textId="77777777" w:rsidTr="0081554B">
        <w:trPr>
          <w:jc w:val="center"/>
        </w:trPr>
        <w:tc>
          <w:tcPr>
            <w:tcW w:w="4770" w:type="dxa"/>
          </w:tcPr>
          <w:p w14:paraId="605C1BE8" w14:textId="77777777" w:rsidR="00653A4B" w:rsidRPr="00F417D5" w:rsidRDefault="00653A4B" w:rsidP="0081554B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Functional outcomes</w:t>
            </w:r>
          </w:p>
        </w:tc>
        <w:tc>
          <w:tcPr>
            <w:tcW w:w="1780" w:type="dxa"/>
          </w:tcPr>
          <w:p w14:paraId="48A76DA5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A262F07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E70274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3A4B" w14:paraId="7A409C23" w14:textId="77777777" w:rsidTr="0081554B">
        <w:trPr>
          <w:jc w:val="center"/>
        </w:trPr>
        <w:tc>
          <w:tcPr>
            <w:tcW w:w="4770" w:type="dxa"/>
          </w:tcPr>
          <w:p w14:paraId="17B1C198" w14:textId="77777777" w:rsidR="00653A4B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>GAF total score (mean, SD)</w:t>
            </w:r>
          </w:p>
          <w:p w14:paraId="195C930D" w14:textId="77777777" w:rsidR="00653A4B" w:rsidRPr="00F417D5" w:rsidRDefault="00653A4B" w:rsidP="0081554B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Mood instability variables</w:t>
            </w:r>
          </w:p>
        </w:tc>
        <w:tc>
          <w:tcPr>
            <w:tcW w:w="1780" w:type="dxa"/>
          </w:tcPr>
          <w:p w14:paraId="0F82215B" w14:textId="77777777" w:rsidR="00653A4B" w:rsidRPr="004A3F34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79.1 (11.8)</w:t>
            </w:r>
          </w:p>
        </w:tc>
        <w:tc>
          <w:tcPr>
            <w:tcW w:w="1730" w:type="dxa"/>
          </w:tcPr>
          <w:p w14:paraId="0E466C6A" w14:textId="77777777" w:rsidR="00653A4B" w:rsidRPr="004A3F34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83.6 (8.9)</w:t>
            </w:r>
          </w:p>
        </w:tc>
        <w:tc>
          <w:tcPr>
            <w:tcW w:w="985" w:type="dxa"/>
          </w:tcPr>
          <w:p w14:paraId="3EB9D581" w14:textId="77777777" w:rsidR="00653A4B" w:rsidRPr="004A3F34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0.04 *</w:t>
            </w:r>
          </w:p>
        </w:tc>
      </w:tr>
      <w:tr w:rsidR="00653A4B" w14:paraId="4750911D" w14:textId="77777777" w:rsidTr="0081554B">
        <w:trPr>
          <w:jc w:val="center"/>
        </w:trPr>
        <w:tc>
          <w:tcPr>
            <w:tcW w:w="4770" w:type="dxa"/>
          </w:tcPr>
          <w:p w14:paraId="1BB2E899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Mood Instability Factor (mean, SD)</w:t>
            </w:r>
          </w:p>
        </w:tc>
        <w:tc>
          <w:tcPr>
            <w:tcW w:w="1780" w:type="dxa"/>
          </w:tcPr>
          <w:p w14:paraId="3991EF0E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5.2 (2.4)</w:t>
            </w:r>
          </w:p>
        </w:tc>
        <w:tc>
          <w:tcPr>
            <w:tcW w:w="1730" w:type="dxa"/>
          </w:tcPr>
          <w:p w14:paraId="2E8CABC7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1.7 (1.2)</w:t>
            </w:r>
          </w:p>
        </w:tc>
        <w:tc>
          <w:tcPr>
            <w:tcW w:w="985" w:type="dxa"/>
          </w:tcPr>
          <w:p w14:paraId="65A6B3E7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&lt;0.01*</w:t>
            </w:r>
          </w:p>
        </w:tc>
      </w:tr>
      <w:tr w:rsidR="00653A4B" w14:paraId="103EA278" w14:textId="77777777" w:rsidTr="0081554B">
        <w:trPr>
          <w:jc w:val="center"/>
        </w:trPr>
        <w:tc>
          <w:tcPr>
            <w:tcW w:w="4770" w:type="dxa"/>
          </w:tcPr>
          <w:p w14:paraId="78DBEA76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Max. Weeks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>Euthymia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(mean, SD)</w:t>
            </w:r>
          </w:p>
        </w:tc>
        <w:tc>
          <w:tcPr>
            <w:tcW w:w="1780" w:type="dxa"/>
          </w:tcPr>
          <w:p w14:paraId="27BEA469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7.8 (3.5)</w:t>
            </w:r>
          </w:p>
        </w:tc>
        <w:tc>
          <w:tcPr>
            <w:tcW w:w="1730" w:type="dxa"/>
          </w:tcPr>
          <w:p w14:paraId="57B60737" w14:textId="77777777" w:rsidR="00653A4B" w:rsidRPr="004A4DF6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</w:rPr>
              <w:t>26.1 (11.2)</w:t>
            </w:r>
          </w:p>
        </w:tc>
        <w:tc>
          <w:tcPr>
            <w:tcW w:w="985" w:type="dxa"/>
          </w:tcPr>
          <w:p w14:paraId="7D3FB639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&lt;0.01*</w:t>
            </w:r>
          </w:p>
        </w:tc>
      </w:tr>
    </w:tbl>
    <w:p w14:paraId="4DEB8F83" w14:textId="77777777" w:rsidR="00653A4B" w:rsidRPr="00C97FC8" w:rsidRDefault="00653A4B" w:rsidP="00653A4B">
      <w:pPr>
        <w:pStyle w:val="Default"/>
        <w:numPr>
          <w:ilvl w:val="0"/>
          <w:numId w:val="2"/>
        </w:numPr>
        <w:rPr>
          <w:sz w:val="16"/>
          <w:szCs w:val="16"/>
        </w:rPr>
      </w:pPr>
      <w:r w:rsidRPr="00C97FC8">
        <w:rPr>
          <w:sz w:val="16"/>
          <w:szCs w:val="16"/>
        </w:rPr>
        <w:t>Two-sided p values. Mean values are compared with Student’s T-test and proportions with X</w:t>
      </w:r>
      <w:r w:rsidRPr="00C97FC8">
        <w:rPr>
          <w:sz w:val="16"/>
          <w:szCs w:val="16"/>
          <w:vertAlign w:val="superscript"/>
        </w:rPr>
        <w:t>2</w:t>
      </w:r>
      <w:r w:rsidRPr="00C97FC8">
        <w:rPr>
          <w:sz w:val="16"/>
          <w:szCs w:val="16"/>
        </w:rPr>
        <w:t xml:space="preserve"> test. </w:t>
      </w:r>
    </w:p>
    <w:p w14:paraId="60ED7E16" w14:textId="77777777" w:rsidR="00653A4B" w:rsidRPr="00C97FC8" w:rsidRDefault="00653A4B" w:rsidP="00653A4B">
      <w:pPr>
        <w:pStyle w:val="Default"/>
        <w:ind w:left="360"/>
        <w:rPr>
          <w:sz w:val="16"/>
          <w:szCs w:val="16"/>
        </w:rPr>
      </w:pPr>
      <w:r w:rsidRPr="00C97FC8">
        <w:rPr>
          <w:sz w:val="16"/>
          <w:szCs w:val="16"/>
        </w:rPr>
        <w:t xml:space="preserve">Abbreviations: SD = Standard Deviation, </w:t>
      </w:r>
      <w:proofErr w:type="spellStart"/>
      <w:r w:rsidRPr="00C97FC8">
        <w:rPr>
          <w:sz w:val="16"/>
          <w:szCs w:val="16"/>
        </w:rPr>
        <w:t>yr</w:t>
      </w:r>
      <w:proofErr w:type="spellEnd"/>
      <w:r w:rsidRPr="00C97FC8">
        <w:rPr>
          <w:sz w:val="16"/>
          <w:szCs w:val="16"/>
        </w:rPr>
        <w:t>= Years, GAF = Global Assessment of Functioning, BD = Bipolar Disorder</w:t>
      </w:r>
    </w:p>
    <w:p w14:paraId="120B089B" w14:textId="77777777" w:rsidR="00653A4B" w:rsidRDefault="00653A4B" w:rsidP="00653A4B">
      <w:pPr>
        <w:pStyle w:val="Default"/>
      </w:pPr>
    </w:p>
    <w:p w14:paraId="4C55EA64" w14:textId="77777777" w:rsidR="00653A4B" w:rsidRDefault="00653A4B" w:rsidP="00653A4B">
      <w:pPr>
        <w:pStyle w:val="Default"/>
      </w:pPr>
    </w:p>
    <w:p w14:paraId="170DCE21" w14:textId="77777777" w:rsidR="00653A4B" w:rsidRDefault="00653A4B" w:rsidP="00653A4B">
      <w:pPr>
        <w:pStyle w:val="Default"/>
      </w:pPr>
    </w:p>
    <w:p w14:paraId="07A98CA0" w14:textId="77777777" w:rsidR="00653A4B" w:rsidRDefault="00653A4B" w:rsidP="00653A4B">
      <w:pPr>
        <w:pStyle w:val="Default"/>
      </w:pPr>
    </w:p>
    <w:p w14:paraId="0E84984A" w14:textId="77777777" w:rsidR="00653A4B" w:rsidRDefault="00653A4B" w:rsidP="00653A4B">
      <w:pPr>
        <w:pStyle w:val="Default"/>
      </w:pPr>
    </w:p>
    <w:p w14:paraId="0FD31146" w14:textId="77777777" w:rsidR="00653A4B" w:rsidRDefault="00653A4B" w:rsidP="00653A4B">
      <w:pPr>
        <w:pStyle w:val="Default"/>
      </w:pPr>
    </w:p>
    <w:p w14:paraId="2F4A5B5C" w14:textId="77777777" w:rsidR="00653A4B" w:rsidRDefault="00653A4B" w:rsidP="00653A4B">
      <w:pPr>
        <w:pStyle w:val="Default"/>
      </w:pPr>
    </w:p>
    <w:p w14:paraId="529FA359" w14:textId="77777777" w:rsidR="00653A4B" w:rsidRDefault="00653A4B" w:rsidP="00653A4B">
      <w:pPr>
        <w:pStyle w:val="Default"/>
      </w:pPr>
    </w:p>
    <w:p w14:paraId="514A7FBF" w14:textId="77777777" w:rsidR="00653A4B" w:rsidRDefault="00653A4B" w:rsidP="00653A4B">
      <w:pPr>
        <w:pStyle w:val="Default"/>
      </w:pPr>
    </w:p>
    <w:p w14:paraId="3213AA3D" w14:textId="77777777" w:rsidR="00653A4B" w:rsidRDefault="00653A4B" w:rsidP="00653A4B">
      <w:pPr>
        <w:pStyle w:val="Default"/>
      </w:pPr>
    </w:p>
    <w:p w14:paraId="3776B68F" w14:textId="77777777" w:rsidR="00653A4B" w:rsidRDefault="00653A4B" w:rsidP="00653A4B">
      <w:pPr>
        <w:pStyle w:val="Default"/>
      </w:pPr>
    </w:p>
    <w:p w14:paraId="604661F7" w14:textId="77777777" w:rsidR="00653A4B" w:rsidRDefault="00653A4B" w:rsidP="00653A4B">
      <w:pPr>
        <w:pStyle w:val="Default"/>
      </w:pPr>
    </w:p>
    <w:p w14:paraId="07292EA7" w14:textId="77777777" w:rsidR="00653A4B" w:rsidRDefault="00653A4B" w:rsidP="00653A4B">
      <w:pPr>
        <w:pStyle w:val="Default"/>
      </w:pPr>
    </w:p>
    <w:p w14:paraId="51EF820D" w14:textId="77777777" w:rsidR="00653A4B" w:rsidRDefault="00653A4B" w:rsidP="00653A4B">
      <w:pPr>
        <w:pStyle w:val="Default"/>
      </w:pPr>
    </w:p>
    <w:p w14:paraId="6C5D0E34" w14:textId="77777777" w:rsidR="00653A4B" w:rsidRDefault="00653A4B" w:rsidP="00653A4B">
      <w:pPr>
        <w:pStyle w:val="Default"/>
      </w:pPr>
    </w:p>
    <w:p w14:paraId="48F6C6CB" w14:textId="77777777" w:rsidR="00653A4B" w:rsidRDefault="00653A4B" w:rsidP="00653A4B">
      <w:pPr>
        <w:pStyle w:val="Default"/>
      </w:pPr>
    </w:p>
    <w:p w14:paraId="3E3534C9" w14:textId="77777777" w:rsidR="00653A4B" w:rsidRDefault="00653A4B" w:rsidP="00653A4B">
      <w:pPr>
        <w:pStyle w:val="Default"/>
      </w:pPr>
    </w:p>
    <w:p w14:paraId="1A36D119" w14:textId="77777777" w:rsidR="00653A4B" w:rsidRDefault="00653A4B" w:rsidP="00653A4B">
      <w:pPr>
        <w:pStyle w:val="Default"/>
      </w:pPr>
    </w:p>
    <w:p w14:paraId="440069E6" w14:textId="77777777" w:rsidR="00653A4B" w:rsidRDefault="00653A4B" w:rsidP="00653A4B">
      <w:pPr>
        <w:pStyle w:val="Default"/>
      </w:pPr>
    </w:p>
    <w:p w14:paraId="5EEB70C6" w14:textId="77777777" w:rsidR="00653A4B" w:rsidRDefault="00653A4B" w:rsidP="00653A4B">
      <w:pPr>
        <w:pStyle w:val="Default"/>
      </w:pPr>
    </w:p>
    <w:p w14:paraId="09523C11" w14:textId="77777777" w:rsidR="00653A4B" w:rsidRDefault="00653A4B" w:rsidP="00653A4B">
      <w:pPr>
        <w:pStyle w:val="Default"/>
      </w:pPr>
    </w:p>
    <w:p w14:paraId="32D70D60" w14:textId="77777777" w:rsidR="00AF0AA7" w:rsidRDefault="00AF0AA7" w:rsidP="00653A4B">
      <w:pPr>
        <w:pStyle w:val="Default"/>
      </w:pPr>
    </w:p>
    <w:p w14:paraId="7F28F45D" w14:textId="77777777" w:rsidR="00653A4B" w:rsidRDefault="00653A4B" w:rsidP="00653A4B">
      <w:pPr>
        <w:pStyle w:val="Default"/>
      </w:pPr>
      <w:r>
        <w:rPr>
          <w:rFonts w:ascii="Calibri" w:eastAsia="Calibri" w:hAnsi="Calibri" w:cs="Calibri"/>
          <w:b/>
          <w:bCs/>
          <w:u w:color="000000"/>
        </w:rPr>
        <w:t xml:space="preserve">Table </w:t>
      </w:r>
      <w:r w:rsidR="00F66179">
        <w:rPr>
          <w:rFonts w:ascii="Calibri" w:eastAsia="Calibri" w:hAnsi="Calibri" w:cs="Calibri"/>
          <w:b/>
          <w:bCs/>
          <w:u w:color="000000"/>
        </w:rPr>
        <w:t>A</w:t>
      </w:r>
      <w:r>
        <w:rPr>
          <w:rFonts w:ascii="Calibri" w:eastAsia="Calibri" w:hAnsi="Calibri" w:cs="Calibri"/>
          <w:b/>
          <w:bCs/>
          <w:u w:color="000000"/>
        </w:rPr>
        <w:t>2.</w:t>
      </w:r>
      <w:r>
        <w:rPr>
          <w:rFonts w:ascii="Calibri" w:eastAsia="Calibri" w:hAnsi="Calibri" w:cs="Calibri"/>
          <w:u w:color="000000"/>
        </w:rPr>
        <w:t xml:space="preserve"> Mood symptomatology across different clusters </w:t>
      </w:r>
    </w:p>
    <w:p w14:paraId="6133817A" w14:textId="77777777" w:rsidR="00653A4B" w:rsidRDefault="00653A4B" w:rsidP="00653A4B">
      <w:pPr>
        <w:pStyle w:val="Default"/>
      </w:pP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1785"/>
        <w:gridCol w:w="375"/>
        <w:gridCol w:w="1980"/>
        <w:gridCol w:w="1530"/>
      </w:tblGrid>
      <w:tr w:rsidR="00653A4B" w14:paraId="59B885C9" w14:textId="77777777" w:rsidTr="0081554B">
        <w:trPr>
          <w:trHeight w:val="640"/>
          <w:jc w:val="center"/>
        </w:trPr>
        <w:tc>
          <w:tcPr>
            <w:tcW w:w="4855" w:type="dxa"/>
            <w:tcBorders>
              <w:top w:val="single" w:sz="4" w:space="0" w:color="000000"/>
              <w:bottom w:val="single" w:sz="4" w:space="0" w:color="000000"/>
            </w:tcBorders>
          </w:tcPr>
          <w:p w14:paraId="0FFB2287" w14:textId="77777777" w:rsidR="00653A4B" w:rsidRDefault="00653A4B" w:rsidP="0081554B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Baseline characteristic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685C87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Cluster I</w:t>
            </w:r>
          </w:p>
          <w:p w14:paraId="2EB26576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“High Instability”</w:t>
            </w:r>
          </w:p>
          <w:p w14:paraId="0CEB1F1C" w14:textId="77777777" w:rsidR="00653A4B" w:rsidRDefault="00653A4B" w:rsidP="0081554B">
            <w:pPr>
              <w:pStyle w:val="Default"/>
              <w:jc w:val="both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(N=43)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33153456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Cluster II</w:t>
            </w:r>
          </w:p>
          <w:p w14:paraId="4F85A5CD" w14:textId="77777777" w:rsidR="00653A4B" w:rsidRDefault="00653A4B" w:rsidP="0081554B">
            <w:pPr>
              <w:pStyle w:val="Default"/>
              <w:jc w:val="both"/>
              <w:rPr>
                <w:rFonts w:ascii="Calibri" w:eastAsia="Calibri" w:hAnsi="Calibri" w:cs="Calibri"/>
                <w:b/>
                <w:bCs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“Low Instability”</w:t>
            </w:r>
          </w:p>
          <w:p w14:paraId="55368C27" w14:textId="77777777" w:rsidR="00653A4B" w:rsidRDefault="00653A4B" w:rsidP="0081554B">
            <w:pPr>
              <w:pStyle w:val="Default"/>
              <w:jc w:val="both"/>
            </w:pPr>
            <w:r>
              <w:rPr>
                <w:rFonts w:ascii="Calibri" w:eastAsia="Calibri" w:hAnsi="Calibri" w:cs="Calibri"/>
                <w:b/>
                <w:bCs/>
                <w:u w:color="000000"/>
              </w:rPr>
              <w:t>(N=43)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28AB967A" w14:textId="77777777" w:rsidR="00653A4B" w:rsidRDefault="00653A4B" w:rsidP="0081554B">
            <w:pPr>
              <w:pStyle w:val="Default"/>
              <w:jc w:val="both"/>
            </w:pPr>
            <w:proofErr w:type="gramStart"/>
            <w:r>
              <w:rPr>
                <w:rFonts w:ascii="Calibri" w:eastAsia="Calibri" w:hAnsi="Calibri" w:cs="Calibri"/>
                <w:b/>
                <w:bCs/>
                <w:u w:color="000000"/>
              </w:rPr>
              <w:t>p</w:t>
            </w:r>
            <w:proofErr w:type="gramEnd"/>
            <w:r>
              <w:rPr>
                <w:rFonts w:ascii="Calibri" w:eastAsia="Calibri" w:hAnsi="Calibri" w:cs="Calibri"/>
                <w:b/>
                <w:bCs/>
                <w:u w:color="000000"/>
              </w:rPr>
              <w:t xml:space="preserve"> value</w:t>
            </w:r>
            <w:r w:rsidRPr="00512DB4">
              <w:rPr>
                <w:rFonts w:ascii="Calibri" w:eastAsia="Calibri" w:hAnsi="Calibri" w:cs="Calibri"/>
                <w:b/>
                <w:bCs/>
                <w:u w:color="000000"/>
                <w:vertAlign w:val="superscript"/>
              </w:rPr>
              <w:t>1</w:t>
            </w:r>
          </w:p>
        </w:tc>
      </w:tr>
      <w:tr w:rsidR="00653A4B" w14:paraId="763F59C1" w14:textId="77777777" w:rsidTr="0081554B">
        <w:trPr>
          <w:trHeight w:val="200"/>
          <w:jc w:val="center"/>
        </w:trPr>
        <w:tc>
          <w:tcPr>
            <w:tcW w:w="4855" w:type="dxa"/>
          </w:tcPr>
          <w:p w14:paraId="16F14418" w14:textId="77777777" w:rsidR="00653A4B" w:rsidRPr="001235C9" w:rsidRDefault="00653A4B" w:rsidP="0081554B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  <w:u w:color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color="000000"/>
              </w:rPr>
              <w:t xml:space="preserve">Follow-up </w:t>
            </w:r>
            <w:r w:rsidRPr="001235C9">
              <w:rPr>
                <w:rFonts w:ascii="Calibri" w:eastAsia="Calibri" w:hAnsi="Calibri" w:cs="Calibri"/>
                <w:b/>
                <w:sz w:val="22"/>
                <w:szCs w:val="22"/>
                <w:u w:color="000000"/>
              </w:rPr>
              <w:t>Mood Variables</w:t>
            </w:r>
          </w:p>
          <w:p w14:paraId="40CDF88D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time</w:t>
            </w:r>
            <w:proofErr w:type="gramEnd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depressive symptoms (mean, SD)</w:t>
            </w:r>
          </w:p>
        </w:tc>
        <w:tc>
          <w:tcPr>
            <w:tcW w:w="1785" w:type="dxa"/>
          </w:tcPr>
          <w:p w14:paraId="38C51D07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F76D48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22.7 (16.4)</w:t>
            </w:r>
          </w:p>
        </w:tc>
        <w:tc>
          <w:tcPr>
            <w:tcW w:w="2355" w:type="dxa"/>
            <w:gridSpan w:val="2"/>
          </w:tcPr>
          <w:p w14:paraId="3B2857E5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C0C609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7.5 (7.5)</w:t>
            </w:r>
          </w:p>
        </w:tc>
        <w:tc>
          <w:tcPr>
            <w:tcW w:w="1530" w:type="dxa"/>
          </w:tcPr>
          <w:p w14:paraId="1F79F295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5BF128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&lt;0.001</w:t>
            </w:r>
          </w:p>
        </w:tc>
      </w:tr>
      <w:tr w:rsidR="00653A4B" w14:paraId="05B8C98E" w14:textId="77777777" w:rsidTr="0081554B">
        <w:trPr>
          <w:jc w:val="center"/>
        </w:trPr>
        <w:tc>
          <w:tcPr>
            <w:tcW w:w="4855" w:type="dxa"/>
            <w:tcBorders>
              <w:bottom w:val="nil"/>
            </w:tcBorders>
          </w:tcPr>
          <w:p w14:paraId="7763333A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time</w:t>
            </w:r>
            <w:proofErr w:type="gramEnd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hypo/manic symptoms (mean, SD)</w:t>
            </w:r>
          </w:p>
        </w:tc>
        <w:tc>
          <w:tcPr>
            <w:tcW w:w="1785" w:type="dxa"/>
          </w:tcPr>
          <w:p w14:paraId="33B12A7D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7.2 (7.5)</w:t>
            </w:r>
          </w:p>
        </w:tc>
        <w:tc>
          <w:tcPr>
            <w:tcW w:w="2355" w:type="dxa"/>
            <w:gridSpan w:val="2"/>
          </w:tcPr>
          <w:p w14:paraId="2EB7BEF9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2.9 (4.3)</w:t>
            </w:r>
          </w:p>
        </w:tc>
        <w:tc>
          <w:tcPr>
            <w:tcW w:w="1530" w:type="dxa"/>
          </w:tcPr>
          <w:p w14:paraId="5A262DD2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0.002</w:t>
            </w:r>
          </w:p>
        </w:tc>
      </w:tr>
      <w:tr w:rsidR="00653A4B" w14:paraId="4A9ABA92" w14:textId="77777777" w:rsidTr="0081554B">
        <w:trPr>
          <w:trHeight w:val="220"/>
          <w:jc w:val="center"/>
        </w:trPr>
        <w:tc>
          <w:tcPr>
            <w:tcW w:w="4855" w:type="dxa"/>
            <w:tcBorders>
              <w:top w:val="nil"/>
            </w:tcBorders>
          </w:tcPr>
          <w:p w14:paraId="1D18EE28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time</w:t>
            </w:r>
            <w:proofErr w:type="gramEnd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mixed symptoms (mean, SD)</w:t>
            </w:r>
          </w:p>
        </w:tc>
        <w:tc>
          <w:tcPr>
            <w:tcW w:w="1785" w:type="dxa"/>
          </w:tcPr>
          <w:p w14:paraId="60753664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4.4 (5.3)</w:t>
            </w:r>
          </w:p>
        </w:tc>
        <w:tc>
          <w:tcPr>
            <w:tcW w:w="2355" w:type="dxa"/>
            <w:gridSpan w:val="2"/>
          </w:tcPr>
          <w:p w14:paraId="0BB48D92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1.2 (2.7)</w:t>
            </w:r>
          </w:p>
        </w:tc>
        <w:tc>
          <w:tcPr>
            <w:tcW w:w="1530" w:type="dxa"/>
          </w:tcPr>
          <w:p w14:paraId="28A7DB74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0.001</w:t>
            </w:r>
          </w:p>
        </w:tc>
      </w:tr>
      <w:tr w:rsidR="00653A4B" w14:paraId="5DD8F6DD" w14:textId="77777777" w:rsidTr="0081554B">
        <w:trPr>
          <w:trHeight w:val="220"/>
          <w:jc w:val="center"/>
        </w:trPr>
        <w:tc>
          <w:tcPr>
            <w:tcW w:w="4855" w:type="dxa"/>
            <w:tcBorders>
              <w:top w:val="nil"/>
            </w:tcBorders>
          </w:tcPr>
          <w:p w14:paraId="2CF44D2E" w14:textId="77777777" w:rsidR="00653A4B" w:rsidRPr="003F7FD3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time</w:t>
            </w:r>
            <w:proofErr w:type="gramEnd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>euthymia</w:t>
            </w:r>
            <w:proofErr w:type="spellEnd"/>
            <w:r w:rsidRPr="003F7FD3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(mean, SD)</w:t>
            </w:r>
          </w:p>
        </w:tc>
        <w:tc>
          <w:tcPr>
            <w:tcW w:w="1785" w:type="dxa"/>
          </w:tcPr>
          <w:p w14:paraId="3341A4E5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65.8 (14.3)</w:t>
            </w:r>
          </w:p>
        </w:tc>
        <w:tc>
          <w:tcPr>
            <w:tcW w:w="2355" w:type="dxa"/>
            <w:gridSpan w:val="2"/>
          </w:tcPr>
          <w:p w14:paraId="785FAE18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88.4 (7.8)</w:t>
            </w:r>
          </w:p>
        </w:tc>
        <w:tc>
          <w:tcPr>
            <w:tcW w:w="1530" w:type="dxa"/>
          </w:tcPr>
          <w:p w14:paraId="09A6C4CF" w14:textId="77777777" w:rsidR="00653A4B" w:rsidRPr="003F7FD3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&lt;0.001</w:t>
            </w:r>
          </w:p>
        </w:tc>
      </w:tr>
      <w:tr w:rsidR="00653A4B" w14:paraId="537A43C6" w14:textId="77777777" w:rsidTr="0081554B">
        <w:trPr>
          <w:jc w:val="center"/>
        </w:trPr>
        <w:tc>
          <w:tcPr>
            <w:tcW w:w="4855" w:type="dxa"/>
          </w:tcPr>
          <w:p w14:paraId="678368EE" w14:textId="77777777" w:rsidR="00653A4B" w:rsidRPr="00D142B9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 w:rsidRPr="00D142B9">
              <w:rPr>
                <w:rFonts w:ascii="Calibri" w:eastAsia="Calibri" w:hAnsi="Calibri" w:cs="Calibri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u w:color="000000"/>
              </w:rPr>
              <w:t xml:space="preserve"> follow up with sub-</w:t>
            </w:r>
            <w:proofErr w:type="spellStart"/>
            <w:r w:rsidRPr="00D142B9">
              <w:rPr>
                <w:rFonts w:ascii="Calibri" w:eastAsia="Calibri" w:hAnsi="Calibri" w:cs="Calibri"/>
                <w:u w:color="000000"/>
              </w:rPr>
              <w:t>syndromal</w:t>
            </w:r>
            <w:proofErr w:type="spellEnd"/>
            <w:r w:rsidRPr="00D142B9">
              <w:rPr>
                <w:rFonts w:ascii="Calibri" w:eastAsia="Calibri" w:hAnsi="Calibri" w:cs="Calibri"/>
                <w:u w:color="000000"/>
              </w:rPr>
              <w:t xml:space="preserve"> depression (mean, SD)</w:t>
            </w:r>
          </w:p>
          <w:p w14:paraId="375D5AD6" w14:textId="77777777" w:rsidR="00653A4B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 w:rsidRPr="00D142B9">
              <w:rPr>
                <w:rFonts w:ascii="Calibri" w:eastAsia="Calibri" w:hAnsi="Calibri" w:cs="Calibri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u w:color="000000"/>
              </w:rPr>
              <w:t xml:space="preserve"> follow up with sub-</w:t>
            </w:r>
            <w:proofErr w:type="spellStart"/>
            <w:r w:rsidRPr="00D142B9">
              <w:rPr>
                <w:rFonts w:ascii="Calibri" w:eastAsia="Calibri" w:hAnsi="Calibri" w:cs="Calibri"/>
                <w:u w:color="000000"/>
              </w:rPr>
              <w:t>syndromal</w:t>
            </w:r>
            <w:proofErr w:type="spellEnd"/>
            <w:r w:rsidRPr="00D142B9">
              <w:rPr>
                <w:rFonts w:ascii="Calibri" w:eastAsia="Calibri" w:hAnsi="Calibri" w:cs="Calibri"/>
                <w:u w:color="000000"/>
              </w:rPr>
              <w:t xml:space="preserve"> mania </w:t>
            </w:r>
          </w:p>
          <w:p w14:paraId="13729E8F" w14:textId="77777777" w:rsidR="00653A4B" w:rsidRPr="00D142B9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 w:rsidRPr="00D142B9">
              <w:rPr>
                <w:rFonts w:ascii="Calibri" w:eastAsia="Calibri" w:hAnsi="Calibri" w:cs="Calibri"/>
                <w:u w:color="000000"/>
              </w:rPr>
              <w:t>(</w:t>
            </w:r>
            <w:proofErr w:type="gramStart"/>
            <w:r w:rsidRPr="00D142B9">
              <w:rPr>
                <w:rFonts w:ascii="Calibri" w:eastAsia="Calibri" w:hAnsi="Calibri" w:cs="Calibri"/>
                <w:u w:color="000000"/>
              </w:rPr>
              <w:t>mean</w:t>
            </w:r>
            <w:proofErr w:type="gramEnd"/>
            <w:r w:rsidRPr="00D142B9">
              <w:rPr>
                <w:rFonts w:ascii="Calibri" w:eastAsia="Calibri" w:hAnsi="Calibri" w:cs="Calibri"/>
                <w:u w:color="000000"/>
              </w:rPr>
              <w:t>, SD)</w:t>
            </w:r>
          </w:p>
          <w:p w14:paraId="2F398D1F" w14:textId="77777777" w:rsidR="00653A4B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 w:rsidRPr="00D142B9">
              <w:rPr>
                <w:rFonts w:ascii="Calibri" w:eastAsia="Calibri" w:hAnsi="Calibri" w:cs="Calibri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u w:color="000000"/>
              </w:rPr>
              <w:t xml:space="preserve"> follow up with sub-</w:t>
            </w:r>
            <w:proofErr w:type="spellStart"/>
            <w:r w:rsidRPr="00D142B9">
              <w:rPr>
                <w:rFonts w:ascii="Calibri" w:eastAsia="Calibri" w:hAnsi="Calibri" w:cs="Calibri"/>
                <w:u w:color="000000"/>
              </w:rPr>
              <w:t>syndromal</w:t>
            </w:r>
            <w:proofErr w:type="spellEnd"/>
            <w:r w:rsidRPr="00D142B9">
              <w:rPr>
                <w:rFonts w:ascii="Calibri" w:eastAsia="Calibri" w:hAnsi="Calibri" w:cs="Calibri"/>
                <w:u w:color="000000"/>
              </w:rPr>
              <w:t xml:space="preserve"> mixed </w:t>
            </w:r>
          </w:p>
          <w:p w14:paraId="4DE7A871" w14:textId="77777777" w:rsidR="00653A4B" w:rsidRPr="00D142B9" w:rsidRDefault="00653A4B" w:rsidP="0081554B">
            <w:pPr>
              <w:pStyle w:val="Default"/>
              <w:rPr>
                <w:rFonts w:ascii="Calibri" w:eastAsia="Calibri" w:hAnsi="Calibri" w:cs="Calibri"/>
                <w:u w:color="000000"/>
              </w:rPr>
            </w:pPr>
            <w:r w:rsidRPr="00D142B9">
              <w:rPr>
                <w:rFonts w:ascii="Calibri" w:eastAsia="Calibri" w:hAnsi="Calibri" w:cs="Calibri"/>
                <w:u w:color="000000"/>
              </w:rPr>
              <w:t>(</w:t>
            </w:r>
            <w:proofErr w:type="gramStart"/>
            <w:r w:rsidRPr="00D142B9">
              <w:rPr>
                <w:rFonts w:ascii="Calibri" w:eastAsia="Calibri" w:hAnsi="Calibri" w:cs="Calibri"/>
                <w:u w:color="000000"/>
              </w:rPr>
              <w:t>mean</w:t>
            </w:r>
            <w:proofErr w:type="gramEnd"/>
            <w:r w:rsidRPr="00D142B9">
              <w:rPr>
                <w:rFonts w:ascii="Calibri" w:eastAsia="Calibri" w:hAnsi="Calibri" w:cs="Calibri"/>
                <w:u w:color="000000"/>
              </w:rPr>
              <w:t>, SD)</w:t>
            </w:r>
          </w:p>
          <w:p w14:paraId="4B35CA25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mild depressive symptoms (mean, SD)</w:t>
            </w:r>
          </w:p>
        </w:tc>
        <w:tc>
          <w:tcPr>
            <w:tcW w:w="1785" w:type="dxa"/>
          </w:tcPr>
          <w:p w14:paraId="6998D823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14.4 (13.7)</w:t>
            </w:r>
          </w:p>
          <w:p w14:paraId="27A8A9BB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843DCF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5.1 (5.4)</w:t>
            </w:r>
          </w:p>
          <w:p w14:paraId="4843DDA1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9A4280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3.9 (5.0)</w:t>
            </w:r>
          </w:p>
          <w:p w14:paraId="2EF6209D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4DE11B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6.3 (5.5)</w:t>
            </w:r>
          </w:p>
          <w:p w14:paraId="4DC199E1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17393B1C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4.6 (4.4)</w:t>
            </w:r>
          </w:p>
          <w:p w14:paraId="099D6A01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F8711E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1.8 (2.8)</w:t>
            </w:r>
          </w:p>
          <w:p w14:paraId="3418740D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28DCC8" w14:textId="77777777" w:rsidR="00653A4B" w:rsidRDefault="00653A4B" w:rsidP="00653A4B">
            <w:pPr>
              <w:pStyle w:val="Normal1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(2.6)</w:t>
            </w:r>
          </w:p>
          <w:p w14:paraId="1FAAB821" w14:textId="77777777" w:rsidR="00653A4B" w:rsidRDefault="00653A4B" w:rsidP="0081554B">
            <w:pPr>
              <w:pStyle w:val="Normal1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668ACC" w14:textId="77777777" w:rsidR="00653A4B" w:rsidRDefault="00653A4B" w:rsidP="0081554B">
            <w:pPr>
              <w:pStyle w:val="Normal1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1.9 (3.4)</w:t>
            </w:r>
          </w:p>
        </w:tc>
        <w:tc>
          <w:tcPr>
            <w:tcW w:w="1530" w:type="dxa"/>
          </w:tcPr>
          <w:p w14:paraId="3FE7B8E2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&lt;0.001</w:t>
            </w:r>
          </w:p>
          <w:p w14:paraId="37AC8AD9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576B04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0.001</w:t>
            </w:r>
          </w:p>
          <w:p w14:paraId="41B15D88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5E0598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0.002</w:t>
            </w:r>
          </w:p>
          <w:p w14:paraId="4E09743B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CD75F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&lt;0.001</w:t>
            </w:r>
          </w:p>
          <w:p w14:paraId="769F2C7A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53A4B" w14:paraId="3B96075D" w14:textId="77777777" w:rsidTr="0081554B">
        <w:trPr>
          <w:jc w:val="center"/>
        </w:trPr>
        <w:tc>
          <w:tcPr>
            <w:tcW w:w="4855" w:type="dxa"/>
          </w:tcPr>
          <w:p w14:paraId="1486DBB9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</w:t>
            </w:r>
            <w:r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up with mild </w:t>
            </w: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manic symptoms (mean, SD)</w:t>
            </w:r>
          </w:p>
        </w:tc>
        <w:tc>
          <w:tcPr>
            <w:tcW w:w="1785" w:type="dxa"/>
          </w:tcPr>
          <w:p w14:paraId="14A8050D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1.4 (1.8)</w:t>
            </w:r>
          </w:p>
        </w:tc>
        <w:tc>
          <w:tcPr>
            <w:tcW w:w="2355" w:type="dxa"/>
            <w:gridSpan w:val="2"/>
          </w:tcPr>
          <w:p w14:paraId="0CD68A15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0.8 (1.5)</w:t>
            </w:r>
          </w:p>
        </w:tc>
        <w:tc>
          <w:tcPr>
            <w:tcW w:w="1530" w:type="dxa"/>
          </w:tcPr>
          <w:p w14:paraId="1D7C109D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0.06</w:t>
            </w:r>
          </w:p>
        </w:tc>
      </w:tr>
      <w:tr w:rsidR="00653A4B" w14:paraId="0EAED86D" w14:textId="77777777" w:rsidTr="0081554B">
        <w:trPr>
          <w:jc w:val="center"/>
        </w:trPr>
        <w:tc>
          <w:tcPr>
            <w:tcW w:w="4855" w:type="dxa"/>
          </w:tcPr>
          <w:p w14:paraId="05A55AB2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moderate depressive symptoms (mean, SD)</w:t>
            </w:r>
          </w:p>
        </w:tc>
        <w:tc>
          <w:tcPr>
            <w:tcW w:w="1785" w:type="dxa"/>
          </w:tcPr>
          <w:p w14:paraId="33952553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1.9 (3.3)</w:t>
            </w:r>
          </w:p>
          <w:p w14:paraId="7BC59FA4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678A4326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0.9 (2.6)</w:t>
            </w:r>
          </w:p>
        </w:tc>
        <w:tc>
          <w:tcPr>
            <w:tcW w:w="1530" w:type="dxa"/>
          </w:tcPr>
          <w:p w14:paraId="3E3EEA49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0.11</w:t>
            </w:r>
          </w:p>
        </w:tc>
      </w:tr>
      <w:tr w:rsidR="00653A4B" w14:paraId="1E1ACA1E" w14:textId="77777777" w:rsidTr="0081554B">
        <w:trPr>
          <w:jc w:val="center"/>
        </w:trPr>
        <w:tc>
          <w:tcPr>
            <w:tcW w:w="4855" w:type="dxa"/>
          </w:tcPr>
          <w:p w14:paraId="64B18245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moderate manic symptoms (mean, SD)</w:t>
            </w:r>
          </w:p>
        </w:tc>
        <w:tc>
          <w:tcPr>
            <w:tcW w:w="1785" w:type="dxa"/>
          </w:tcPr>
          <w:p w14:paraId="08DF8582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0.6 (1.4)</w:t>
            </w:r>
          </w:p>
        </w:tc>
        <w:tc>
          <w:tcPr>
            <w:tcW w:w="2355" w:type="dxa"/>
            <w:gridSpan w:val="2"/>
          </w:tcPr>
          <w:p w14:paraId="02118A0C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0.3 (1.2)</w:t>
            </w:r>
          </w:p>
        </w:tc>
        <w:tc>
          <w:tcPr>
            <w:tcW w:w="1530" w:type="dxa"/>
          </w:tcPr>
          <w:p w14:paraId="75E99C36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0.42</w:t>
            </w:r>
          </w:p>
        </w:tc>
      </w:tr>
      <w:tr w:rsidR="00653A4B" w14:paraId="031DB0D8" w14:textId="77777777" w:rsidTr="0081554B">
        <w:trPr>
          <w:jc w:val="center"/>
        </w:trPr>
        <w:tc>
          <w:tcPr>
            <w:tcW w:w="4855" w:type="dxa"/>
          </w:tcPr>
          <w:p w14:paraId="04C8AD1B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moderate mixed symptoms (mean, SD)</w:t>
            </w:r>
          </w:p>
        </w:tc>
        <w:tc>
          <w:tcPr>
            <w:tcW w:w="1785" w:type="dxa"/>
          </w:tcPr>
          <w:p w14:paraId="21A58DDF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0.3 (0.7)</w:t>
            </w:r>
          </w:p>
        </w:tc>
        <w:tc>
          <w:tcPr>
            <w:tcW w:w="2355" w:type="dxa"/>
            <w:gridSpan w:val="2"/>
          </w:tcPr>
          <w:p w14:paraId="67406C2A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0.1 (0.3)</w:t>
            </w:r>
          </w:p>
        </w:tc>
        <w:tc>
          <w:tcPr>
            <w:tcW w:w="1530" w:type="dxa"/>
          </w:tcPr>
          <w:p w14:paraId="2D828464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0.07</w:t>
            </w:r>
          </w:p>
        </w:tc>
      </w:tr>
      <w:tr w:rsidR="00653A4B" w14:paraId="1C0E58DF" w14:textId="77777777" w:rsidTr="0081554B">
        <w:trPr>
          <w:jc w:val="center"/>
        </w:trPr>
        <w:tc>
          <w:tcPr>
            <w:tcW w:w="4855" w:type="dxa"/>
          </w:tcPr>
          <w:p w14:paraId="25161102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severe depressive symptoms (mean, SD)</w:t>
            </w:r>
          </w:p>
        </w:tc>
        <w:tc>
          <w:tcPr>
            <w:tcW w:w="1785" w:type="dxa"/>
          </w:tcPr>
          <w:p w14:paraId="5A973898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 (0.5)</w:t>
            </w:r>
          </w:p>
        </w:tc>
        <w:tc>
          <w:tcPr>
            <w:tcW w:w="2355" w:type="dxa"/>
            <w:gridSpan w:val="2"/>
          </w:tcPr>
          <w:p w14:paraId="7662F8E8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0.1 (0.6)</w:t>
            </w:r>
          </w:p>
        </w:tc>
        <w:tc>
          <w:tcPr>
            <w:tcW w:w="1530" w:type="dxa"/>
          </w:tcPr>
          <w:p w14:paraId="4DF3C661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0.98</w:t>
            </w:r>
          </w:p>
        </w:tc>
      </w:tr>
      <w:tr w:rsidR="00653A4B" w14:paraId="1E379378" w14:textId="77777777" w:rsidTr="0081554B">
        <w:trPr>
          <w:jc w:val="center"/>
        </w:trPr>
        <w:tc>
          <w:tcPr>
            <w:tcW w:w="4855" w:type="dxa"/>
          </w:tcPr>
          <w:p w14:paraId="6D74307C" w14:textId="77777777" w:rsidR="00653A4B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severe manic symptoms </w:t>
            </w:r>
          </w:p>
          <w:p w14:paraId="1D74FE35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(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mean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, SD)</w:t>
            </w:r>
          </w:p>
        </w:tc>
        <w:tc>
          <w:tcPr>
            <w:tcW w:w="1785" w:type="dxa"/>
          </w:tcPr>
          <w:p w14:paraId="2C490628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 (0.3)</w:t>
            </w:r>
          </w:p>
        </w:tc>
        <w:tc>
          <w:tcPr>
            <w:tcW w:w="2355" w:type="dxa"/>
            <w:gridSpan w:val="2"/>
          </w:tcPr>
          <w:p w14:paraId="087DEA47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0.0 (0.7)</w:t>
            </w:r>
          </w:p>
        </w:tc>
        <w:tc>
          <w:tcPr>
            <w:tcW w:w="1530" w:type="dxa"/>
          </w:tcPr>
          <w:p w14:paraId="61914CAE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0.17</w:t>
            </w:r>
          </w:p>
        </w:tc>
      </w:tr>
      <w:tr w:rsidR="00653A4B" w14:paraId="10E5B9E1" w14:textId="77777777" w:rsidTr="0081554B">
        <w:trPr>
          <w:jc w:val="center"/>
        </w:trPr>
        <w:tc>
          <w:tcPr>
            <w:tcW w:w="4855" w:type="dxa"/>
          </w:tcPr>
          <w:p w14:paraId="5521176B" w14:textId="77777777" w:rsidR="00653A4B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% 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of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 xml:space="preserve"> follow up with severe mixed symptoms </w:t>
            </w:r>
          </w:p>
          <w:p w14:paraId="718C3FE1" w14:textId="77777777" w:rsidR="00653A4B" w:rsidRPr="00D142B9" w:rsidRDefault="00653A4B" w:rsidP="0081554B">
            <w:pPr>
              <w:pStyle w:val="Normal1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(</w:t>
            </w:r>
            <w:proofErr w:type="gramStart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mean</w:t>
            </w:r>
            <w:proofErr w:type="gramEnd"/>
            <w:r w:rsidRPr="00D142B9">
              <w:rPr>
                <w:rFonts w:ascii="Calibri" w:eastAsia="Calibri" w:hAnsi="Calibri" w:cs="Calibri"/>
                <w:sz w:val="22"/>
                <w:szCs w:val="22"/>
                <w:u w:color="000000"/>
              </w:rPr>
              <w:t>, SD)</w:t>
            </w:r>
          </w:p>
        </w:tc>
        <w:tc>
          <w:tcPr>
            <w:tcW w:w="1785" w:type="dxa"/>
          </w:tcPr>
          <w:p w14:paraId="2C7B9D0A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0.2 (1.1)</w:t>
            </w:r>
          </w:p>
        </w:tc>
        <w:tc>
          <w:tcPr>
            <w:tcW w:w="2355" w:type="dxa"/>
            <w:gridSpan w:val="2"/>
          </w:tcPr>
          <w:p w14:paraId="1D445DAE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0.0 (0.0)</w:t>
            </w:r>
          </w:p>
        </w:tc>
        <w:tc>
          <w:tcPr>
            <w:tcW w:w="1530" w:type="dxa"/>
          </w:tcPr>
          <w:p w14:paraId="62CA95E7" w14:textId="77777777" w:rsidR="00653A4B" w:rsidRDefault="00653A4B" w:rsidP="0081554B">
            <w:pPr>
              <w:pStyle w:val="Normal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0.07</w:t>
            </w:r>
          </w:p>
        </w:tc>
      </w:tr>
    </w:tbl>
    <w:p w14:paraId="5818A2FC" w14:textId="77777777" w:rsidR="00653A4B" w:rsidRPr="00C97FC8" w:rsidRDefault="00653A4B" w:rsidP="00653A4B">
      <w:pPr>
        <w:pStyle w:val="Default"/>
        <w:numPr>
          <w:ilvl w:val="0"/>
          <w:numId w:val="3"/>
        </w:numPr>
        <w:rPr>
          <w:sz w:val="16"/>
          <w:szCs w:val="16"/>
        </w:rPr>
      </w:pPr>
      <w:r w:rsidRPr="00C97FC8">
        <w:rPr>
          <w:sz w:val="16"/>
          <w:szCs w:val="16"/>
        </w:rPr>
        <w:t>Two-sided p values. Mean values are compared with Student’s T-test and proportions with X</w:t>
      </w:r>
      <w:r w:rsidRPr="00C97FC8">
        <w:rPr>
          <w:sz w:val="16"/>
          <w:szCs w:val="16"/>
          <w:vertAlign w:val="superscript"/>
        </w:rPr>
        <w:t>2</w:t>
      </w:r>
      <w:r w:rsidRPr="00C97FC8">
        <w:rPr>
          <w:sz w:val="16"/>
          <w:szCs w:val="16"/>
        </w:rPr>
        <w:t xml:space="preserve"> test. </w:t>
      </w:r>
    </w:p>
    <w:p w14:paraId="44318ADE" w14:textId="77777777" w:rsidR="00653A4B" w:rsidRPr="00C97FC8" w:rsidRDefault="00653A4B" w:rsidP="00653A4B">
      <w:pPr>
        <w:pStyle w:val="Default"/>
        <w:ind w:left="360"/>
        <w:rPr>
          <w:sz w:val="16"/>
          <w:szCs w:val="16"/>
        </w:rPr>
      </w:pPr>
      <w:r w:rsidRPr="00C97FC8">
        <w:rPr>
          <w:sz w:val="16"/>
          <w:szCs w:val="16"/>
        </w:rPr>
        <w:t>Abbreviations: SD = Standard Deviation</w:t>
      </w:r>
    </w:p>
    <w:p w14:paraId="3BA94103" w14:textId="77777777" w:rsidR="00653A4B" w:rsidRDefault="00653A4B" w:rsidP="00653A4B">
      <w:pPr>
        <w:pStyle w:val="Default"/>
      </w:pPr>
    </w:p>
    <w:p w14:paraId="672FEC2D" w14:textId="77777777" w:rsidR="00653A4B" w:rsidRDefault="00653A4B" w:rsidP="00653A4B">
      <w:pPr>
        <w:pStyle w:val="Default"/>
      </w:pPr>
    </w:p>
    <w:p w14:paraId="34845D41" w14:textId="77777777" w:rsidR="00653A4B" w:rsidRDefault="00653A4B" w:rsidP="00653A4B">
      <w:pPr>
        <w:pStyle w:val="Default"/>
      </w:pPr>
    </w:p>
    <w:p w14:paraId="54FA5776" w14:textId="77777777" w:rsidR="00653A4B" w:rsidRDefault="00653A4B" w:rsidP="00653A4B">
      <w:pPr>
        <w:pStyle w:val="Default"/>
      </w:pPr>
    </w:p>
    <w:p w14:paraId="22FA2355" w14:textId="77777777" w:rsidR="00653A4B" w:rsidRDefault="00653A4B" w:rsidP="00653A4B">
      <w:pPr>
        <w:pStyle w:val="Default"/>
      </w:pPr>
    </w:p>
    <w:p w14:paraId="712A4912" w14:textId="77777777" w:rsidR="00653A4B" w:rsidRDefault="00653A4B" w:rsidP="00653A4B">
      <w:pPr>
        <w:pStyle w:val="Default"/>
      </w:pPr>
    </w:p>
    <w:p w14:paraId="7E422588" w14:textId="77777777" w:rsidR="00653A4B" w:rsidRDefault="00653A4B" w:rsidP="00653A4B">
      <w:pPr>
        <w:pStyle w:val="Default"/>
      </w:pPr>
    </w:p>
    <w:p w14:paraId="4AA6C51F" w14:textId="77777777" w:rsidR="00653A4B" w:rsidRDefault="00653A4B" w:rsidP="00653A4B">
      <w:pPr>
        <w:pStyle w:val="Default"/>
      </w:pPr>
    </w:p>
    <w:p w14:paraId="7AE513B2" w14:textId="77777777" w:rsidR="00653A4B" w:rsidRDefault="00653A4B" w:rsidP="00653A4B">
      <w:pPr>
        <w:pStyle w:val="Default"/>
      </w:pPr>
    </w:p>
    <w:p w14:paraId="413180E9" w14:textId="77777777" w:rsidR="00653A4B" w:rsidRDefault="00653A4B" w:rsidP="00653A4B">
      <w:pPr>
        <w:pStyle w:val="Default"/>
      </w:pPr>
    </w:p>
    <w:p w14:paraId="232B3E31" w14:textId="77777777" w:rsidR="00653A4B" w:rsidRDefault="00653A4B" w:rsidP="00653A4B">
      <w:pPr>
        <w:pStyle w:val="Default"/>
      </w:pPr>
    </w:p>
    <w:p w14:paraId="4CFDA595" w14:textId="77777777" w:rsidR="00653A4B" w:rsidRDefault="00653A4B" w:rsidP="00653A4B">
      <w:pPr>
        <w:pStyle w:val="Default"/>
      </w:pPr>
    </w:p>
    <w:p w14:paraId="39C61F6B" w14:textId="77777777" w:rsidR="00653A4B" w:rsidRDefault="00653A4B" w:rsidP="00653A4B">
      <w:pPr>
        <w:pStyle w:val="Default"/>
      </w:pPr>
    </w:p>
    <w:p w14:paraId="00B020FE" w14:textId="77777777" w:rsidR="00653A4B" w:rsidRPr="00B458E4" w:rsidRDefault="00653A4B" w:rsidP="00653A4B">
      <w:pPr>
        <w:pStyle w:val="Default"/>
        <w:rPr>
          <w:rFonts w:ascii="Calibri" w:hAnsi="Calibri" w:cs="Calibri"/>
          <w:sz w:val="24"/>
          <w:szCs w:val="24"/>
        </w:rPr>
      </w:pPr>
      <w:r w:rsidRPr="00C73849">
        <w:rPr>
          <w:rFonts w:ascii="Calibri" w:hAnsi="Calibri" w:cs="Calibri"/>
          <w:b/>
          <w:sz w:val="24"/>
          <w:szCs w:val="24"/>
        </w:rPr>
        <w:lastRenderedPageBreak/>
        <w:t xml:space="preserve">Figure </w:t>
      </w:r>
      <w:r w:rsidR="00F66179">
        <w:rPr>
          <w:rFonts w:ascii="Calibri" w:hAnsi="Calibri" w:cs="Calibri"/>
          <w:b/>
          <w:sz w:val="24"/>
          <w:szCs w:val="24"/>
        </w:rPr>
        <w:t>A</w:t>
      </w:r>
      <w:r w:rsidRPr="00C73849">
        <w:rPr>
          <w:rFonts w:ascii="Calibri" w:hAnsi="Calibri" w:cs="Calibri"/>
          <w:b/>
          <w:sz w:val="24"/>
          <w:szCs w:val="24"/>
        </w:rPr>
        <w:t xml:space="preserve">1. </w:t>
      </w:r>
      <w:proofErr w:type="spellStart"/>
      <w:r w:rsidRPr="00B458E4">
        <w:rPr>
          <w:rFonts w:ascii="Calibri" w:hAnsi="Calibri" w:cs="Calibri"/>
          <w:sz w:val="24"/>
          <w:szCs w:val="24"/>
        </w:rPr>
        <w:t>Dendogram</w:t>
      </w:r>
      <w:proofErr w:type="spellEnd"/>
      <w:r w:rsidRPr="00B458E4">
        <w:rPr>
          <w:rFonts w:ascii="Calibri" w:hAnsi="Calibri" w:cs="Calibri"/>
          <w:sz w:val="24"/>
          <w:szCs w:val="24"/>
        </w:rPr>
        <w:t xml:space="preserve"> using </w:t>
      </w:r>
      <w:proofErr w:type="spellStart"/>
      <w:r w:rsidRPr="00B458E4">
        <w:rPr>
          <w:rFonts w:ascii="Calibri" w:hAnsi="Calibri" w:cs="Calibri"/>
          <w:sz w:val="24"/>
          <w:szCs w:val="24"/>
        </w:rPr>
        <w:t>Hierarchichal</w:t>
      </w:r>
      <w:proofErr w:type="spellEnd"/>
      <w:r w:rsidRPr="00B458E4">
        <w:rPr>
          <w:rFonts w:ascii="Calibri" w:hAnsi="Calibri" w:cs="Calibri"/>
          <w:sz w:val="24"/>
          <w:szCs w:val="24"/>
        </w:rPr>
        <w:t xml:space="preserve"> Cluster Analysis to determine appropriate cluster number</w:t>
      </w:r>
    </w:p>
    <w:p w14:paraId="7FEE70EF" w14:textId="77777777" w:rsidR="00653A4B" w:rsidRDefault="00653A4B" w:rsidP="00653A4B">
      <w:pPr>
        <w:pStyle w:val="Default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A1574A" wp14:editId="539E6369">
            <wp:extent cx="3838575" cy="6734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"/>
                    <a:stretch/>
                  </pic:blipFill>
                  <pic:spPr bwMode="auto">
                    <a:xfrm>
                      <a:off x="0" y="0"/>
                      <a:ext cx="3853916" cy="67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F77A9" w14:textId="77777777" w:rsidR="001D22BE" w:rsidRDefault="00857C61">
      <w:r w:rsidRPr="004564A5">
        <w:rPr>
          <w:highlight w:val="yellow"/>
        </w:rPr>
        <w:t xml:space="preserve">Rows (or </w:t>
      </w:r>
      <w:r w:rsidRPr="004564A5">
        <w:rPr>
          <w:i/>
          <w:highlight w:val="yellow"/>
        </w:rPr>
        <w:t>leaves</w:t>
      </w:r>
      <w:r w:rsidRPr="004564A5">
        <w:rPr>
          <w:highlight w:val="yellow"/>
        </w:rPr>
        <w:t xml:space="preserve">) represent individual patients, and branches represent similarities between observations. As we move up, braches begin to merge with each other or with an individual leaf. </w:t>
      </w:r>
      <w:r w:rsidR="004564A5" w:rsidRPr="004564A5">
        <w:rPr>
          <w:highlight w:val="yellow"/>
        </w:rPr>
        <w:t xml:space="preserve">The earlier the fusion, the more similar those observations are. To identify the optimal number of clusters, we make a vertical cut across the </w:t>
      </w:r>
      <w:proofErr w:type="spellStart"/>
      <w:r w:rsidR="004564A5" w:rsidRPr="004564A5">
        <w:rPr>
          <w:highlight w:val="yellow"/>
        </w:rPr>
        <w:t>dendogram</w:t>
      </w:r>
      <w:proofErr w:type="spellEnd"/>
      <w:r w:rsidR="004564A5" w:rsidRPr="004564A5">
        <w:rPr>
          <w:highlight w:val="yellow"/>
        </w:rPr>
        <w:t xml:space="preserve"> and observe the resulting clusters. The height of the cut will determine the numbers of clusters. In this case, a two-cluster solution is observed throughout the majority of the axis.</w:t>
      </w:r>
      <w:r w:rsidR="004564A5">
        <w:t xml:space="preserve"> </w:t>
      </w:r>
    </w:p>
    <w:p w14:paraId="444E76EB" w14:textId="77777777" w:rsidR="00FF03D0" w:rsidRDefault="00FF03D0" w:rsidP="00FF03D0">
      <w:pPr>
        <w:pStyle w:val="Default"/>
        <w:rPr>
          <w:rFonts w:ascii="Calibri" w:hAnsi="Calibri" w:cs="Calibri"/>
          <w:sz w:val="24"/>
          <w:szCs w:val="24"/>
        </w:rPr>
      </w:pPr>
      <w:r w:rsidRPr="00C73849">
        <w:rPr>
          <w:rFonts w:ascii="Calibri" w:hAnsi="Calibri" w:cs="Calibri"/>
          <w:b/>
          <w:sz w:val="24"/>
          <w:szCs w:val="24"/>
        </w:rPr>
        <w:lastRenderedPageBreak/>
        <w:t xml:space="preserve">Figure </w:t>
      </w:r>
      <w:r>
        <w:rPr>
          <w:rFonts w:ascii="Calibri" w:hAnsi="Calibri" w:cs="Calibri"/>
          <w:b/>
          <w:sz w:val="24"/>
          <w:szCs w:val="24"/>
        </w:rPr>
        <w:t>A2</w:t>
      </w:r>
      <w:r w:rsidRPr="00C73849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Different combinations of mood instability factor (MIF), </w:t>
      </w:r>
      <w:proofErr w:type="spellStart"/>
      <w:r>
        <w:rPr>
          <w:rFonts w:ascii="Calibri" w:hAnsi="Calibri" w:cs="Calibri"/>
          <w:sz w:val="24"/>
          <w:szCs w:val="24"/>
        </w:rPr>
        <w:t>subsyndromal</w:t>
      </w:r>
      <w:proofErr w:type="spellEnd"/>
      <w:r>
        <w:rPr>
          <w:rFonts w:ascii="Calibri" w:hAnsi="Calibri" w:cs="Calibri"/>
          <w:sz w:val="24"/>
          <w:szCs w:val="24"/>
        </w:rPr>
        <w:t xml:space="preserve"> density symptoms (SD) and episodic density (ED)</w:t>
      </w:r>
    </w:p>
    <w:p w14:paraId="1134FE33" w14:textId="77777777" w:rsidR="00FF03D0" w:rsidRDefault="00FF03D0" w:rsidP="00FF03D0">
      <w:pPr>
        <w:pStyle w:val="Default"/>
        <w:rPr>
          <w:rFonts w:ascii="Calibri" w:hAnsi="Calibri" w:cs="Calibri"/>
          <w:sz w:val="24"/>
          <w:szCs w:val="24"/>
        </w:rPr>
      </w:pPr>
    </w:p>
    <w:p w14:paraId="3908A26D" w14:textId="77777777" w:rsidR="00FF03D0" w:rsidRDefault="006B707A">
      <w:r>
        <w:rPr>
          <w:noProof/>
        </w:rPr>
        <w:drawing>
          <wp:inline distT="0" distB="0" distL="0" distR="0" wp14:anchorId="7E588F74" wp14:editId="26844CF4">
            <wp:extent cx="5943600" cy="2025015"/>
            <wp:effectExtent l="0" t="0" r="0" b="6985"/>
            <wp:docPr id="2" name="Picture 1" descr="Passang:Users:imac20:Downloads:Fig A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ang:Users:imac20:Downloads:Fig A2-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F668" w14:textId="77777777" w:rsidR="006B707A" w:rsidRDefault="006B707A"/>
    <w:p w14:paraId="4C38C035" w14:textId="77777777" w:rsidR="006B707A" w:rsidRDefault="006B707A"/>
    <w:p w14:paraId="38329595" w14:textId="77777777" w:rsidR="006B707A" w:rsidRDefault="006B707A">
      <w:bookmarkStart w:id="0" w:name="_GoBack"/>
      <w:r>
        <w:rPr>
          <w:noProof/>
        </w:rPr>
        <w:drawing>
          <wp:inline distT="0" distB="0" distL="0" distR="0" wp14:anchorId="3C88F133" wp14:editId="6C9A1315">
            <wp:extent cx="5943600" cy="1922145"/>
            <wp:effectExtent l="0" t="0" r="0" b="8255"/>
            <wp:docPr id="3" name="Picture 2" descr="Passang:Users:imac20:Downloads:Fig A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ang:Users:imac20:Downloads:Fig A2-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707A" w:rsidSect="0019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787"/>
    <w:multiLevelType w:val="hybridMultilevel"/>
    <w:tmpl w:val="BC52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258"/>
    <w:multiLevelType w:val="hybridMultilevel"/>
    <w:tmpl w:val="BC52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122F"/>
    <w:multiLevelType w:val="multilevel"/>
    <w:tmpl w:val="728A9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4B"/>
    <w:rsid w:val="000F4C98"/>
    <w:rsid w:val="00192A39"/>
    <w:rsid w:val="001E1350"/>
    <w:rsid w:val="003D5FA8"/>
    <w:rsid w:val="0041135D"/>
    <w:rsid w:val="004564A5"/>
    <w:rsid w:val="00653A4B"/>
    <w:rsid w:val="00660472"/>
    <w:rsid w:val="006B707A"/>
    <w:rsid w:val="00824CCE"/>
    <w:rsid w:val="00857C61"/>
    <w:rsid w:val="00A347A9"/>
    <w:rsid w:val="00AF0AA7"/>
    <w:rsid w:val="00F66179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A27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3A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A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Normal1">
    <w:name w:val="Normal1"/>
    <w:rsid w:val="00653A4B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7A"/>
    <w:rPr>
      <w:rFonts w:ascii="Lucida Grande" w:eastAsia="Arial Unicode MS" w:hAnsi="Lucida Grande" w:cs="Times New Roman"/>
      <w:sz w:val="18"/>
      <w:szCs w:val="18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3A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A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Normal1">
    <w:name w:val="Normal1"/>
    <w:rsid w:val="00653A4B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7A"/>
    <w:rPr>
      <w:rFonts w:ascii="Lucida Grande" w:eastAsia="Arial Unicode MS" w:hAnsi="Lucida Grande" w:cs="Times New Roman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551</Words>
  <Characters>3146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2018-09-05T22:22:00Z</dcterms:created>
  <dcterms:modified xsi:type="dcterms:W3CDTF">2018-10-22T05:47:00Z</dcterms:modified>
</cp:coreProperties>
</file>