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37" w:rsidRPr="00A970A8" w:rsidRDefault="006E6337">
      <w:pPr>
        <w:rPr>
          <w:rFonts w:ascii="Arial" w:hAnsi="Arial" w:cs="Arial"/>
          <w:sz w:val="24"/>
          <w:lang w:val="en-GB"/>
        </w:rPr>
      </w:pPr>
      <w:r w:rsidRPr="00B53599">
        <w:rPr>
          <w:rFonts w:ascii="Arial" w:hAnsi="Arial" w:cs="Arial"/>
          <w:lang w:val="en-US"/>
        </w:rPr>
        <w:t>eTable1. TRIPOD checklist</w:t>
      </w:r>
    </w:p>
    <w:tbl>
      <w:tblPr>
        <w:tblStyle w:val="Tabela-Siatka"/>
        <w:tblW w:w="9951" w:type="dxa"/>
        <w:tblLook w:val="04A0" w:firstRow="1" w:lastRow="0" w:firstColumn="1" w:lastColumn="0" w:noHBand="0" w:noVBand="1"/>
      </w:tblPr>
      <w:tblGrid>
        <w:gridCol w:w="2721"/>
        <w:gridCol w:w="737"/>
        <w:gridCol w:w="1587"/>
        <w:gridCol w:w="4906"/>
      </w:tblGrid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Section/Topic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Item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 xml:space="preserve">Development </w:t>
            </w:r>
          </w:p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Or Validation?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Checklist item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Title and abstract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Title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The study is identified as developing </w:t>
            </w:r>
            <w:r>
              <w:rPr>
                <w:lang w:val="en-GB"/>
              </w:rPr>
              <w:t xml:space="preserve">a </w:t>
            </w:r>
            <w:r w:rsidRPr="00FE76EC">
              <w:rPr>
                <w:lang w:val="en-GB"/>
              </w:rPr>
              <w:t xml:space="preserve">prediction model (including clinical variables) in </w:t>
            </w:r>
            <w:r>
              <w:rPr>
                <w:lang w:val="en-GB"/>
              </w:rPr>
              <w:t xml:space="preserve">a </w:t>
            </w:r>
            <w:r w:rsidRPr="00FE76EC">
              <w:rPr>
                <w:lang w:val="en-GB"/>
              </w:rPr>
              <w:t xml:space="preserve">clinical high risk for psychosis (CHR-P) Polish cohort. The outcome is identified as transition </w:t>
            </w:r>
            <w:r>
              <w:rPr>
                <w:lang w:val="en-GB"/>
              </w:rPr>
              <w:t xml:space="preserve">from </w:t>
            </w:r>
            <w:r w:rsidRPr="00FE76EC">
              <w:rPr>
                <w:lang w:val="en-GB"/>
              </w:rPr>
              <w:t>CHR-P to full blown psychosis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Abstract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2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A summary of objectives, study design, settings, participants, sample size, predictors, outcome, statistical analysis, results and conclusions is provided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Introduction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Background and objectives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3a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 medical context and rationale for developing the model including references to existing models is described.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 </w:t>
            </w:r>
            <w:r w:rsidRPr="00FE76EC">
              <w:rPr>
                <w:rFonts w:cstheme="minorHAnsi"/>
                <w:lang w:val="en-GB"/>
              </w:rPr>
              <w:t>In order to improve the prognostic accuracy for CHR-P individuals, innovative risk estimation tools are required which are universally valid</w:t>
            </w:r>
            <w:r w:rsidRPr="00FE76EC">
              <w:rPr>
                <w:lang w:val="en-GB"/>
              </w:rPr>
              <w:t xml:space="preserve"> 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3b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rFonts w:cstheme="minorHAnsi"/>
                <w:lang w:val="en-GB"/>
              </w:rPr>
            </w:pPr>
            <w:r w:rsidRPr="00FE76EC">
              <w:rPr>
                <w:rFonts w:cstheme="minorHAnsi"/>
                <w:lang w:val="en-GB"/>
              </w:rPr>
              <w:t>The objective of the study is specified as developing a clinically-based risk estimation</w:t>
            </w:r>
            <w:r>
              <w:rPr>
                <w:rFonts w:cstheme="minorHAnsi"/>
                <w:lang w:val="en-GB"/>
              </w:rPr>
              <w:t xml:space="preserve"> </w:t>
            </w:r>
            <w:r w:rsidRPr="00FE76EC">
              <w:rPr>
                <w:rFonts w:cstheme="minorHAnsi"/>
                <w:lang w:val="en-GB"/>
              </w:rPr>
              <w:t>model that could refine the ability of the clinician to predict the onset of psychosis in Polish CHR-P individuals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Methods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Source of data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4a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 study is specified as a prospective cohort study (cohort of Polish CHR-P individuals)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4b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The key study dates, including start and </w:t>
            </w:r>
            <w:r>
              <w:rPr>
                <w:lang w:val="en-GB"/>
              </w:rPr>
              <w:t xml:space="preserve">end </w:t>
            </w:r>
            <w:r w:rsidRPr="00FE76EC">
              <w:rPr>
                <w:lang w:val="en-GB"/>
              </w:rPr>
              <w:t>of accrual (March 2010</w:t>
            </w:r>
            <w:r>
              <w:rPr>
                <w:lang w:val="en-GB"/>
              </w:rPr>
              <w:t xml:space="preserve"> - </w:t>
            </w:r>
            <w:r w:rsidRPr="00FE76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July </w:t>
            </w:r>
            <w:r w:rsidRPr="00FE76EC">
              <w:rPr>
                <w:lang w:val="en-GB"/>
              </w:rPr>
              <w:t>2015) as well as end of follow-up (May 2017) are specified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Participants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5a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Study settings are briefly described. The study was contacted in the Programme of Recognition and Therapy (PORT) affiliated with the Medical University of Lodz. </w:t>
            </w:r>
            <w:r>
              <w:rPr>
                <w:lang w:val="en-GB"/>
              </w:rPr>
              <w:t>D</w:t>
            </w:r>
            <w:r w:rsidRPr="00FE76EC">
              <w:rPr>
                <w:lang w:val="en-GB"/>
              </w:rPr>
              <w:t>etailed information regarding the PORT has been published previously (references provided)</w:t>
            </w:r>
          </w:p>
        </w:tc>
      </w:tr>
      <w:tr w:rsidR="006E6337" w:rsidRPr="001C6767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5b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The eligibility criterion for participants was </w:t>
            </w:r>
            <w:r>
              <w:rPr>
                <w:lang w:val="en-GB"/>
              </w:rPr>
              <w:t xml:space="preserve">to meet the </w:t>
            </w:r>
            <w:r w:rsidRPr="00FE76EC">
              <w:rPr>
                <w:lang w:val="en-GB"/>
              </w:rPr>
              <w:t>criteria of CHR-P for psychosis according to the Comprehensive Assessment of At Risk Mental State- CAARMS/2006. Exclusion criteria are also provided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5c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Treatment applied in the sample is described. 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 standardised treatment was provided for participants but only needs-based interventions. Antidepressants, mood stabilizers and antipsychotic medications (in strictly defined clinical situations) were used in the sample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Outcome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6a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jc w:val="center"/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o</w:t>
            </w:r>
            <w:r w:rsidRPr="00FE76EC">
              <w:rPr>
                <w:rFonts w:cstheme="minorHAnsi"/>
                <w:lang w:val="en-GB"/>
              </w:rPr>
              <w:t xml:space="preserve">utcome predicted in the study was transition from a CHR-P to psychotic disorder which was determined on the basis of CAARMS criteria for </w:t>
            </w:r>
            <w:r w:rsidRPr="00FE76EC">
              <w:rPr>
                <w:rFonts w:cstheme="minorHAnsi"/>
                <w:lang w:val="en-GB"/>
              </w:rPr>
              <w:lastRenderedPageBreak/>
              <w:t>psychosis threshold and evaluated at the end of the follow-up period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6b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rFonts w:cstheme="minorHAnsi"/>
                <w:lang w:val="en-GB"/>
              </w:rPr>
            </w:pPr>
            <w:r w:rsidRPr="00FE76EC">
              <w:rPr>
                <w:rFonts w:cstheme="minorHAnsi"/>
                <w:lang w:val="en-GB"/>
              </w:rPr>
              <w:t>Subsequent follow-up assessments were performed by clinicians who were blind to the baseline evaluation of predictors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Predictors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7a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D;V 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rFonts w:cstheme="minorHAnsi"/>
                <w:lang w:val="en-GB"/>
              </w:rPr>
            </w:pPr>
            <w:r w:rsidRPr="00FE76EC">
              <w:rPr>
                <w:rFonts w:cstheme="minorHAnsi"/>
                <w:lang w:val="en-GB"/>
              </w:rPr>
              <w:t xml:space="preserve">Predictors included in the model were preselected on the basis of existing clinical knowledge, as currently recommended. The number of predictors was </w:t>
            </w:r>
            <w:r w:rsidRPr="001C4068">
              <w:rPr>
                <w:rFonts w:cstheme="minorHAnsi"/>
                <w:i/>
                <w:lang w:val="en-GB"/>
              </w:rPr>
              <w:t>a priori</w:t>
            </w:r>
            <w:r w:rsidRPr="00FE76EC">
              <w:rPr>
                <w:rFonts w:cstheme="minorHAnsi"/>
                <w:lang w:val="en-GB"/>
              </w:rPr>
              <w:t xml:space="preserve"> limited to two, </w:t>
            </w: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 xml:space="preserve">to allow an event per variable (EPV) ratio of 10 and above, which is recommended to develop robust prognostic models. </w:t>
            </w:r>
            <w:r w:rsidRPr="00FE76EC">
              <w:rPr>
                <w:rFonts w:cstheme="minorHAnsi"/>
                <w:lang w:val="en-GB"/>
              </w:rPr>
              <w:t>The rationale for selection was described i</w:t>
            </w:r>
            <w:r>
              <w:rPr>
                <w:rFonts w:cstheme="minorHAnsi"/>
                <w:lang w:val="en-GB"/>
              </w:rPr>
              <w:t>n detail</w:t>
            </w:r>
            <w:r w:rsidRPr="00FE76EC">
              <w:rPr>
                <w:rFonts w:cstheme="minorHAnsi"/>
                <w:lang w:val="en-GB"/>
              </w:rPr>
              <w:t xml:space="preserve"> in the Results section. Preselected predictors were: disorganized speech (DS) and unusual thought content (UTC). Both parameters were measured at baseline with CAARMS.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7b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Baseline and follow-up assessments with CAARMS were carried out by different clinicians. Both were blind to the results of their evaluations 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Sample size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8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Study participants were 105 individuals subsequently referred to the PORT between March 2010 and </w:t>
            </w:r>
            <w:r>
              <w:rPr>
                <w:lang w:val="en-GB"/>
              </w:rPr>
              <w:t>July</w:t>
            </w:r>
            <w:r w:rsidRPr="00FE76EC">
              <w:rPr>
                <w:lang w:val="en-GB"/>
              </w:rPr>
              <w:t xml:space="preserve"> 2015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Missing data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9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There was</w:t>
            </w:r>
            <w:r>
              <w:rPr>
                <w:lang w:val="en-GB"/>
              </w:rPr>
              <w:t xml:space="preserve"> </w:t>
            </w:r>
            <w:r w:rsidRPr="00FE76EC">
              <w:rPr>
                <w:lang w:val="en-GB"/>
              </w:rPr>
              <w:t>no missing data in the study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Statistical analysis methods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Predictors were treated as continuous variables which ranged between 0 and 6. Predictors proved to be non-collinear 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Model building procedures included: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- </w:t>
            </w:r>
            <w:r w:rsidRPr="001C4068">
              <w:rPr>
                <w:i/>
                <w:lang w:val="en-GB"/>
              </w:rPr>
              <w:t>A priori</w:t>
            </w:r>
            <w:r w:rsidRPr="00FE76EC">
              <w:rPr>
                <w:lang w:val="en-GB"/>
              </w:rPr>
              <w:t xml:space="preserve"> selected variables based on literature review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- The model was developed on the dataset after Synthetic Minority Over-sampling Technique 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-Time-to-event model developed with Cox proportional hazard method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-The model was internally validated on 1000 bootstrap resamples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10c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 model was internally validated on 1000 bootstrap resamples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10d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Measures used to assess model’s performance included:</w:t>
            </w:r>
          </w:p>
          <w:p w:rsidR="006E6337" w:rsidRPr="00FE76EC" w:rsidRDefault="006E6337" w:rsidP="000D6056">
            <w:pPr>
              <w:rPr>
                <w:rStyle w:val="apple-converted-space"/>
                <w:shd w:val="clear" w:color="auto" w:fill="FFFFFF"/>
                <w:lang w:val="en-GB"/>
              </w:rPr>
            </w:pPr>
            <w:r w:rsidRPr="00FE76EC">
              <w:rPr>
                <w:lang w:val="en-GB"/>
              </w:rPr>
              <w:t>-Harrell's concordance index</w:t>
            </w:r>
            <w:r w:rsidRPr="00FE76EC">
              <w:rPr>
                <w:rStyle w:val="apple-converted-space"/>
                <w:shd w:val="clear" w:color="auto" w:fill="FFFFFF"/>
                <w:lang w:val="en-GB"/>
              </w:rPr>
              <w:t xml:space="preserve">, </w:t>
            </w:r>
          </w:p>
          <w:p w:rsidR="006E6337" w:rsidRPr="00FE76EC" w:rsidRDefault="006E6337" w:rsidP="000D6056">
            <w:pPr>
              <w:rPr>
                <w:rStyle w:val="apple-converted-space"/>
                <w:shd w:val="clear" w:color="auto" w:fill="FFFFFF"/>
                <w:lang w:val="en-GB"/>
              </w:rPr>
            </w:pPr>
            <w:r w:rsidRPr="00FE76EC">
              <w:rPr>
                <w:rStyle w:val="apple-converted-space"/>
                <w:shd w:val="clear" w:color="auto" w:fill="FFFFFF"/>
                <w:lang w:val="en-GB"/>
              </w:rPr>
              <w:t xml:space="preserve">-Receiver-operating characteristics (ROC) curves in a function of time, 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rStyle w:val="apple-converted-space"/>
                <w:shd w:val="clear" w:color="auto" w:fill="FFFFFF"/>
                <w:lang w:val="en-GB"/>
              </w:rPr>
              <w:t xml:space="preserve">-Calibration of the model (calibration plots) with optimism correction 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10e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Non-applicable 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Risk groups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11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Non-applicable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Development vs validation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12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Non-applicable:</w:t>
            </w:r>
            <w:r>
              <w:rPr>
                <w:lang w:val="en-GB"/>
              </w:rPr>
              <w:t xml:space="preserve"> </w:t>
            </w:r>
            <w:r w:rsidRPr="00FE76EC">
              <w:rPr>
                <w:lang w:val="en-GB"/>
              </w:rPr>
              <w:t xml:space="preserve">for this study only internal validation on the original dataset was performed 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Results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lastRenderedPageBreak/>
              <w:t xml:space="preserve">Participants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13a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rFonts w:cs="Times New Roman"/>
                <w:lang w:val="en-GB"/>
              </w:rPr>
              <w:t>The median follow-up period for the entire sample was 36 months (IQR: 10-59 months; mean time: 35.4 ± 25.0 months). The outcome rates in subsequent time points (24 and 12, 36 and 48 months) are presented.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13b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Basic demographic and clinical characteristics of participants are presented in Table 1.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13c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Non-applicable</w:t>
            </w:r>
          </w:p>
        </w:tc>
      </w:tr>
      <w:tr w:rsidR="006E6337" w:rsidRPr="005A026B" w:rsidTr="000D6056">
        <w:trPr>
          <w:trHeight w:val="411"/>
        </w:trPr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Model development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14a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105 individuals participated in the study, 20</w:t>
            </w:r>
            <w:r>
              <w:rPr>
                <w:lang w:val="en-GB"/>
              </w:rPr>
              <w:t xml:space="preserve"> </w:t>
            </w:r>
            <w:r w:rsidRPr="00FE76EC">
              <w:rPr>
                <w:lang w:val="en-GB"/>
              </w:rPr>
              <w:t>transitioned</w:t>
            </w:r>
            <w:r>
              <w:rPr>
                <w:lang w:val="en-GB"/>
              </w:rPr>
              <w:t xml:space="preserve"> </w:t>
            </w:r>
            <w:r w:rsidRPr="00FE76EC">
              <w:rPr>
                <w:lang w:val="en-GB"/>
              </w:rPr>
              <w:t>to psychosis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14b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Non-applicable (only adjusted associations were calculated)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Model specification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15a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 prediction model was presented as:</w:t>
            </w:r>
          </w:p>
          <w:p w:rsidR="006E6337" w:rsidRPr="00FE76EC" w:rsidRDefault="006E6337" w:rsidP="000D6056">
            <w:pPr>
              <w:rPr>
                <w:rFonts w:cs="Times New Roman"/>
                <w:shd w:val="clear" w:color="auto" w:fill="FFFFFF"/>
                <w:lang w:val="en-GB"/>
              </w:rPr>
            </w:pPr>
            <w:r w:rsidRPr="00FE76EC">
              <w:rPr>
                <w:lang w:val="en-GB"/>
              </w:rPr>
              <w:t>-Hazard ratios with 95% CI</w:t>
            </w:r>
            <w:r>
              <w:rPr>
                <w:rFonts w:cs="Times New Roman"/>
                <w:shd w:val="clear" w:color="auto" w:fill="FFFFFF"/>
                <w:lang w:val="en-GB"/>
              </w:rPr>
              <w:t xml:space="preserve"> </w:t>
            </w: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 xml:space="preserve">-Risk calculator for estimation of the likelihood of transition 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15b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 xml:space="preserve">Based on the model, an algorithm </w:t>
            </w:r>
            <w:r w:rsidRPr="00FE76EC">
              <w:rPr>
                <w:rFonts w:cs="Times New Roman"/>
                <w:lang w:val="en-GB"/>
              </w:rPr>
              <w:t>was generated allowing the probability of transition from a CHR-P to psychosis to be estimated. The risk calculator is provided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Model performance 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16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rStyle w:val="apple-converted-space"/>
                <w:rFonts w:cs="Times New Roman"/>
                <w:shd w:val="clear" w:color="auto" w:fill="FFFFFF"/>
                <w:lang w:val="en-GB"/>
              </w:rPr>
            </w:pP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>Performance measures included:</w:t>
            </w:r>
          </w:p>
          <w:p w:rsidR="006E6337" w:rsidRPr="00FE76EC" w:rsidRDefault="006E6337" w:rsidP="000D6056">
            <w:pPr>
              <w:rPr>
                <w:rStyle w:val="apple-converted-space"/>
                <w:rFonts w:cs="Times New Roman"/>
                <w:shd w:val="clear" w:color="auto" w:fill="FFFFFF"/>
                <w:lang w:val="en-GB"/>
              </w:rPr>
            </w:pP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>-Harrell’s concordance index (c-index)</w:t>
            </w:r>
          </w:p>
          <w:p w:rsidR="006E6337" w:rsidRPr="00FE76EC" w:rsidRDefault="006E6337" w:rsidP="000D6056">
            <w:pPr>
              <w:rPr>
                <w:rStyle w:val="apple-converted-space"/>
                <w:rFonts w:cs="Times New Roman"/>
                <w:shd w:val="clear" w:color="auto" w:fill="FFFFFF"/>
                <w:lang w:val="en-GB"/>
              </w:rPr>
            </w:pP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 xml:space="preserve">-Receiver-operating characteristics (ROC) curves against time </w:t>
            </w:r>
            <w:r w:rsidR="00C32B8E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>w</w:t>
            </w: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>ith sensitivity, specificity, accuracy and AUCs for subsequent time points (Figure 1)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>-Internal validation with 1000 bootstrap resamples:</w:t>
            </w:r>
            <w:r w:rsidRPr="00FE76EC">
              <w:rPr>
                <w:rFonts w:cs="Times New Roman"/>
                <w:shd w:val="clear" w:color="auto" w:fill="FFFFFF"/>
                <w:lang w:val="en-GB"/>
              </w:rPr>
              <w:t xml:space="preserve"> </w:t>
            </w:r>
            <w:r w:rsidRPr="00FE76EC">
              <w:rPr>
                <w:rStyle w:val="apple-converted-space"/>
                <w:rFonts w:cs="Times New Roman"/>
                <w:shd w:val="clear" w:color="auto" w:fill="FFFFFF"/>
                <w:lang w:val="en-GB"/>
              </w:rPr>
              <w:t xml:space="preserve">calibration plots with a correction for optimism (Figure 2) 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Model updating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17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C- index for the model is established as high (0.79) and its performance is satisfactory (Figure1)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rStyle w:val="xapple-converted-space"/>
                <w:rFonts w:cs="Times New Roman"/>
                <w:lang w:val="en-GB"/>
              </w:rPr>
              <w:t>Consistency between the observed probabilities and the model-predicted probabilities derived from 1000 bootstrap resamples is high (Figure2)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Discussion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Limitations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18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Limitations of the study are discussed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Interpretation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19a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Non-applicable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19b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An overall interpretation of the results with references to similar studies is presented</w:t>
            </w: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Implications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20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The potential clinical use of the model and implications for future research are discussed</w:t>
            </w:r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b/>
                <w:lang w:val="en-GB"/>
              </w:rPr>
            </w:pPr>
            <w:r w:rsidRPr="00FE76EC">
              <w:rPr>
                <w:b/>
                <w:lang w:val="en-GB"/>
              </w:rPr>
              <w:t>Other information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</w:p>
        </w:tc>
      </w:tr>
      <w:tr w:rsidR="006E6337" w:rsidRPr="005A026B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Supplementary information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21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Supplementary data include</w:t>
            </w:r>
            <w:r>
              <w:rPr>
                <w:lang w:val="en-GB"/>
              </w:rPr>
              <w:t>s</w:t>
            </w:r>
            <w:r w:rsidRPr="00FE76EC">
              <w:rPr>
                <w:lang w:val="en-GB"/>
              </w:rPr>
              <w:t>:</w:t>
            </w:r>
          </w:p>
          <w:p w:rsidR="006E6337" w:rsidRPr="00FE76EC" w:rsidRDefault="006E6337" w:rsidP="000D6056">
            <w:pPr>
              <w:rPr>
                <w:rFonts w:cs="Times New Roman"/>
                <w:lang w:val="en-GB"/>
              </w:rPr>
            </w:pPr>
            <w:r w:rsidRPr="00FE76EC">
              <w:rPr>
                <w:rFonts w:cs="Times New Roman"/>
                <w:lang w:val="en-GB"/>
              </w:rPr>
              <w:t>-Schoenfeld residuals plot confirming assumptions of Cox modelling for both preselected predictors (Suppl. Figure 1)</w:t>
            </w:r>
          </w:p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-</w:t>
            </w:r>
            <w:r w:rsidRPr="00FE76EC">
              <w:rPr>
                <w:rFonts w:cs="Times New Roman"/>
                <w:lang w:val="en-GB"/>
              </w:rPr>
              <w:t xml:space="preserve"> Results of the proportional hazard assumption test for a Cox regression model fit (Suppl. Table 1)</w:t>
            </w:r>
          </w:p>
          <w:p w:rsidR="006E6337" w:rsidRPr="00FE76EC" w:rsidRDefault="006E6337" w:rsidP="000D6056">
            <w:pPr>
              <w:rPr>
                <w:rFonts w:cs="Times New Roman"/>
                <w:shd w:val="clear" w:color="auto" w:fill="FFFFFF"/>
                <w:lang w:val="en-GB"/>
              </w:rPr>
            </w:pPr>
            <w:r w:rsidRPr="00FE76EC">
              <w:rPr>
                <w:lang w:val="en-GB"/>
              </w:rPr>
              <w:t xml:space="preserve">Web risk calculator is available at: </w:t>
            </w:r>
            <w:hyperlink r:id="rId4" w:history="1">
              <w:r w:rsidRPr="001E4318">
                <w:rPr>
                  <w:rStyle w:val="Hipercze"/>
                  <w:lang w:val="en-GB"/>
                </w:rPr>
                <w:t>https://link.konsta.com.pl/psychosis</w:t>
              </w:r>
            </w:hyperlink>
          </w:p>
        </w:tc>
      </w:tr>
      <w:tr w:rsidR="006E6337" w:rsidRPr="00FE76EC" w:rsidTr="000D6056">
        <w:tc>
          <w:tcPr>
            <w:tcW w:w="2721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Funding</w:t>
            </w:r>
          </w:p>
        </w:tc>
        <w:tc>
          <w:tcPr>
            <w:tcW w:w="73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22</w:t>
            </w:r>
          </w:p>
        </w:tc>
        <w:tc>
          <w:tcPr>
            <w:tcW w:w="1587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>D;V</w:t>
            </w:r>
          </w:p>
        </w:tc>
        <w:tc>
          <w:tcPr>
            <w:tcW w:w="4906" w:type="dxa"/>
          </w:tcPr>
          <w:p w:rsidR="006E6337" w:rsidRPr="00FE76EC" w:rsidRDefault="006E6337" w:rsidP="000D6056">
            <w:pPr>
              <w:rPr>
                <w:lang w:val="en-GB"/>
              </w:rPr>
            </w:pPr>
            <w:r w:rsidRPr="00FE76EC">
              <w:rPr>
                <w:lang w:val="en-GB"/>
              </w:rPr>
              <w:t xml:space="preserve">Funding source is specified </w:t>
            </w:r>
          </w:p>
        </w:tc>
      </w:tr>
    </w:tbl>
    <w:p w:rsidR="006E6337" w:rsidRDefault="006E6337" w:rsidP="00D84F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87B3D" w:rsidRDefault="00787B3D" w:rsidP="00D84F91">
      <w:pPr>
        <w:rPr>
          <w:rFonts w:ascii="Arial" w:hAnsi="Arial" w:cs="Arial"/>
          <w:lang w:val="en-US"/>
        </w:rPr>
      </w:pPr>
      <w:r w:rsidRPr="00787B3D">
        <w:rPr>
          <w:rFonts w:ascii="Arial" w:hAnsi="Arial" w:cs="Arial"/>
          <w:lang w:val="en-US"/>
        </w:rPr>
        <w:lastRenderedPageBreak/>
        <w:t xml:space="preserve">eTable2. </w:t>
      </w:r>
      <w:r>
        <w:rPr>
          <w:rFonts w:ascii="Arial" w:hAnsi="Arial" w:cs="Arial"/>
          <w:lang w:val="en-US"/>
        </w:rPr>
        <w:t xml:space="preserve">Detailed sociodemographic and clinical characteristics of the </w:t>
      </w:r>
      <w:r w:rsidR="000517C8">
        <w:rPr>
          <w:rFonts w:ascii="Arial" w:hAnsi="Arial" w:cs="Arial"/>
          <w:lang w:val="en-US"/>
        </w:rPr>
        <w:t xml:space="preserve">clinical high risk for psychosis </w:t>
      </w:r>
      <w:r>
        <w:rPr>
          <w:rFonts w:ascii="Arial" w:hAnsi="Arial" w:cs="Arial"/>
          <w:lang w:val="en-US"/>
        </w:rPr>
        <w:t>sample (</w:t>
      </w:r>
      <w:r w:rsidR="00D45FAF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=105).</w:t>
      </w:r>
    </w:p>
    <w:p w:rsidR="009D0704" w:rsidRPr="00787B3D" w:rsidRDefault="009D0704" w:rsidP="00D84F91">
      <w:pPr>
        <w:rPr>
          <w:rFonts w:ascii="Arial" w:hAnsi="Arial" w:cs="Arial"/>
          <w:lang w:val="en-US"/>
        </w:rPr>
      </w:pPr>
    </w:p>
    <w:tbl>
      <w:tblPr>
        <w:tblStyle w:val="Tabela-Siatka"/>
        <w:tblpPr w:leftFromText="141" w:rightFromText="141" w:vertAnchor="text" w:horzAnchor="margin" w:tblpY="-311"/>
        <w:tblW w:w="8217" w:type="dxa"/>
        <w:tblLayout w:type="fixed"/>
        <w:tblLook w:val="04A0" w:firstRow="1" w:lastRow="0" w:firstColumn="1" w:lastColumn="0" w:noHBand="0" w:noVBand="1"/>
      </w:tblPr>
      <w:tblGrid>
        <w:gridCol w:w="4876"/>
        <w:gridCol w:w="3341"/>
      </w:tblGrid>
      <w:tr w:rsidR="0069131B" w:rsidRPr="005A026B" w:rsidTr="00DE70D7">
        <w:trPr>
          <w:tblHeader/>
        </w:trPr>
        <w:tc>
          <w:tcPr>
            <w:tcW w:w="4876" w:type="dxa"/>
            <w:tcBorders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lastRenderedPageBreak/>
              <w:t>Characteristic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Median (25</w:t>
            </w:r>
            <w:r w:rsidRPr="00787B3D">
              <w:rPr>
                <w:rFonts w:cstheme="minorHAnsi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-75</w:t>
            </w:r>
            <w:r w:rsidRPr="00787B3D">
              <w:rPr>
                <w:rFonts w:cstheme="minorHAnsi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 xml:space="preserve"> percentile) or</w:t>
            </w:r>
          </w:p>
          <w:p w:rsidR="0069131B" w:rsidRPr="00787B3D" w:rsidRDefault="0069131B" w:rsidP="0069131B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 xml:space="preserve"> Number (proportion)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single" w:sz="4" w:space="0" w:color="auto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Age</w:t>
            </w: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 (years)</w:t>
            </w:r>
          </w:p>
          <w:p w:rsidR="0069131B" w:rsidRPr="00787B3D" w:rsidRDefault="00DC72B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Mean ± SD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18 (16-20)</w:t>
            </w:r>
          </w:p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18.8 ± 3.5</w:t>
            </w:r>
          </w:p>
        </w:tc>
      </w:tr>
      <w:tr w:rsidR="008F464B" w:rsidRPr="0069131B" w:rsidTr="00DE70D7">
        <w:tc>
          <w:tcPr>
            <w:tcW w:w="4876" w:type="dxa"/>
            <w:tcBorders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Gender</w:t>
            </w: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 (male/female)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49 (46.7%) / 56 (53.3%)</w:t>
            </w:r>
          </w:p>
        </w:tc>
      </w:tr>
      <w:tr w:rsidR="008F464B" w:rsidRPr="0069131B" w:rsidTr="00DE70D7">
        <w:tc>
          <w:tcPr>
            <w:tcW w:w="4876" w:type="dxa"/>
            <w:tcBorders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Education</w:t>
            </w: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 (years)</w:t>
            </w:r>
          </w:p>
          <w:p w:rsidR="0069131B" w:rsidRPr="00787B3D" w:rsidRDefault="00DC72B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Mean ± SD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11 (9-12)</w:t>
            </w:r>
          </w:p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10.6 ± 2.4</w:t>
            </w:r>
          </w:p>
        </w:tc>
      </w:tr>
      <w:tr w:rsidR="001B5B29" w:rsidRPr="0069131B" w:rsidTr="001B5B29">
        <w:tc>
          <w:tcPr>
            <w:tcW w:w="4876" w:type="dxa"/>
            <w:tcBorders>
              <w:bottom w:val="nil"/>
              <w:right w:val="nil"/>
            </w:tcBorders>
          </w:tcPr>
          <w:p w:rsidR="001B5B29" w:rsidRPr="00787B3D" w:rsidRDefault="001B5B29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Occupation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1B5B29" w:rsidRPr="00787B3D" w:rsidRDefault="001B5B29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B5B29" w:rsidRPr="0069131B" w:rsidTr="001B5B29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1B5B29" w:rsidRPr="001B5B29" w:rsidRDefault="001B5B29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Student 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1B5B29" w:rsidRPr="001B5B29" w:rsidRDefault="001B5B29" w:rsidP="001B5B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78 (74.3%)</w:t>
            </w:r>
          </w:p>
        </w:tc>
      </w:tr>
      <w:tr w:rsidR="008F464B" w:rsidRPr="0069131B" w:rsidTr="001B5B29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>Employed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1B5B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20 (19.0%)</w:t>
            </w:r>
          </w:p>
        </w:tc>
      </w:tr>
      <w:tr w:rsidR="004A37E5" w:rsidRPr="0069131B" w:rsidTr="001B5B29">
        <w:tc>
          <w:tcPr>
            <w:tcW w:w="4876" w:type="dxa"/>
            <w:tcBorders>
              <w:top w:val="nil"/>
              <w:bottom w:val="single" w:sz="4" w:space="0" w:color="auto"/>
              <w:right w:val="nil"/>
            </w:tcBorders>
          </w:tcPr>
          <w:p w:rsidR="004A37E5" w:rsidRPr="004A37E5" w:rsidRDefault="004A37E5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>No educationally/vocationally active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A37E5" w:rsidRPr="00787B3D" w:rsidRDefault="004A37E5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(6.7%)</w:t>
            </w:r>
          </w:p>
        </w:tc>
      </w:tr>
      <w:tr w:rsidR="008F464B" w:rsidRPr="0069131B" w:rsidTr="001B5B29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First-degree relative with psychotic disorder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17 (16.2%)</w:t>
            </w:r>
          </w:p>
        </w:tc>
      </w:tr>
      <w:tr w:rsidR="008F464B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Intake group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APS only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63 (60.0%)</w:t>
            </w:r>
          </w:p>
        </w:tc>
      </w:tr>
      <w:tr w:rsidR="008F464B" w:rsidRPr="0069131B" w:rsidTr="00DE70D7">
        <w:trPr>
          <w:trHeight w:val="70"/>
        </w:trPr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BLIPS only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(2.9%)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0517C8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GRD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 xml:space="preserve"> only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</w:rPr>
              <w:t>20 (19.0%)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APS plus </w:t>
            </w:r>
            <w:r w:rsidR="00900022">
              <w:rPr>
                <w:rFonts w:cstheme="minorHAnsi"/>
                <w:sz w:val="18"/>
                <w:szCs w:val="18"/>
                <w:lang w:val="en-GB"/>
              </w:rPr>
              <w:t>GRD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18 (17.1%)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BLIPS plus </w:t>
            </w:r>
            <w:r w:rsidR="00900022">
              <w:rPr>
                <w:rFonts w:cstheme="minorHAnsi"/>
                <w:sz w:val="18"/>
                <w:szCs w:val="18"/>
                <w:lang w:val="en-GB"/>
              </w:rPr>
              <w:t>GRD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1 (1.0%)</w:t>
            </w:r>
          </w:p>
        </w:tc>
      </w:tr>
      <w:tr w:rsidR="008F464B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>CAARMS severity score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i/>
                <w:sz w:val="18"/>
                <w:szCs w:val="18"/>
                <w:lang w:val="en-GB"/>
              </w:rPr>
              <w:t>Positive symptoms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Unusual thought content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(0-4)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Non-bizarre ideas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(0-4)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Perceptual abnormalities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(0-4)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Disorganized speech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(0-3)</w:t>
            </w:r>
          </w:p>
        </w:tc>
      </w:tr>
      <w:tr w:rsidR="008F464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Subjective </w:t>
            </w:r>
            <w:r w:rsidR="009D0704">
              <w:rPr>
                <w:rFonts w:cstheme="minorHAnsi"/>
                <w:sz w:val="18"/>
                <w:szCs w:val="18"/>
                <w:lang w:val="en-GB"/>
              </w:rPr>
              <w:t xml:space="preserve">cognitive change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(2-4)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Observed </w:t>
            </w:r>
            <w:r w:rsidR="009D0704">
              <w:rPr>
                <w:rFonts w:cstheme="minorHAnsi"/>
                <w:sz w:val="18"/>
                <w:szCs w:val="18"/>
                <w:lang w:val="en-GB"/>
              </w:rPr>
              <w:t xml:space="preserve">cognitive change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2 (1-3)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Emotional disturbance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Subjective emotional disturbance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(0-4)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Observed blunted affect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(2-4)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Observed inappropriate affect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(0-0)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i/>
                <w:sz w:val="18"/>
                <w:szCs w:val="18"/>
                <w:lang w:val="en-GB"/>
              </w:rPr>
              <w:t>Negative symptoms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Alogia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(1-4)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Avolition/Apathy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(2-5)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4A37E5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A37E5">
              <w:rPr>
                <w:rFonts w:cstheme="minorHAnsi"/>
                <w:sz w:val="18"/>
                <w:szCs w:val="18"/>
                <w:lang w:val="en-GB"/>
              </w:rPr>
              <w:t xml:space="preserve">   Anhedonia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(3-5)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Behavioural change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Social isolation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(3-4)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Impaired role function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(3-5)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Disorganised/Odd behaviour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(0-3)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Aggression/Dangerous behaviour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(0-3)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Motor/physical changes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Subjective motor change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(0-2)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Observed changes in motor functioning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0 (0-1)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Subjective complaints of impaired bodily sensations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</w:rPr>
              <w:t>0 (0-0)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Subjective complaints of impaired autonomic functioning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</w:rPr>
              <w:t>0 (0-3)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General psychopathology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Mania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(0-0)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Depression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(2-4)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Suicidality and </w:t>
            </w:r>
            <w:proofErr w:type="spellStart"/>
            <w:r w:rsidRPr="00787B3D">
              <w:rPr>
                <w:rFonts w:cstheme="minorHAnsi"/>
                <w:sz w:val="18"/>
                <w:szCs w:val="18"/>
                <w:lang w:val="en-GB"/>
              </w:rPr>
              <w:t>self harm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(0-3)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Mood swings/Lability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(0-2)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Anxiety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(2-4)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OCD symptoms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(0-0)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Dissociative symptoms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0 (0-2)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Impaired tolerance to normal stress 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4 (3-4)</w:t>
            </w:r>
          </w:p>
        </w:tc>
      </w:tr>
      <w:tr w:rsidR="0069131B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69131B" w:rsidRPr="00787B3D" w:rsidRDefault="0069131B" w:rsidP="0069131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b/>
                <w:sz w:val="18"/>
                <w:szCs w:val="18"/>
                <w:lang w:val="en-GB"/>
              </w:rPr>
              <w:t xml:space="preserve">Fulfilling APS criteria 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Unusual thought content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57 (54.3%)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Non-bizarre ideas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63 (60.0%)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Perceptual abnormalities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41 (39.0%)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Disorganized speech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11 (10.5%)</w:t>
            </w:r>
          </w:p>
        </w:tc>
      </w:tr>
      <w:tr w:rsidR="0069131B" w:rsidRPr="0069131B" w:rsidTr="00DE70D7">
        <w:tc>
          <w:tcPr>
            <w:tcW w:w="4876" w:type="dxa"/>
            <w:tcBorders>
              <w:right w:val="nil"/>
            </w:tcBorders>
          </w:tcPr>
          <w:p w:rsidR="0069131B" w:rsidRPr="00C32B8E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32B8E">
              <w:rPr>
                <w:rFonts w:cstheme="minorHAnsi"/>
                <w:b/>
                <w:sz w:val="18"/>
                <w:szCs w:val="18"/>
                <w:lang w:val="en-GB"/>
              </w:rPr>
              <w:t>SOFAS</w:t>
            </w:r>
            <w:r w:rsidR="00300282">
              <w:rPr>
                <w:rFonts w:cstheme="minorHAnsi"/>
                <w:b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C32B8E">
              <w:rPr>
                <w:rFonts w:cstheme="minorHAnsi"/>
                <w:b/>
                <w:sz w:val="18"/>
                <w:szCs w:val="18"/>
                <w:lang w:val="en-GB"/>
              </w:rPr>
              <w:t>score</w:t>
            </w:r>
          </w:p>
          <w:p w:rsidR="0069131B" w:rsidRPr="00787B3D" w:rsidRDefault="00DC72B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Mean ± SD</w:t>
            </w:r>
          </w:p>
        </w:tc>
        <w:tc>
          <w:tcPr>
            <w:tcW w:w="3341" w:type="dxa"/>
            <w:tcBorders>
              <w:left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50 (45-55)</w:t>
            </w:r>
          </w:p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49.4 ± 7.6</w:t>
            </w:r>
          </w:p>
        </w:tc>
      </w:tr>
      <w:tr w:rsidR="00DC72BE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DC72BE" w:rsidRPr="00C32B8E" w:rsidRDefault="00DC72BE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IQ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DC72BE" w:rsidRPr="00DC72BE" w:rsidRDefault="00DC72BE" w:rsidP="00DC72B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106 (98-112)</w:t>
            </w:r>
          </w:p>
        </w:tc>
      </w:tr>
      <w:tr w:rsidR="00DC72BE" w:rsidRPr="0069131B" w:rsidTr="00DE70D7">
        <w:tc>
          <w:tcPr>
            <w:tcW w:w="4876" w:type="dxa"/>
            <w:tcBorders>
              <w:top w:val="nil"/>
              <w:right w:val="nil"/>
            </w:tcBorders>
          </w:tcPr>
          <w:p w:rsidR="00DC72BE" w:rsidRDefault="00DC72BE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 </w:t>
            </w: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 Mean ± SD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DC72BE" w:rsidRDefault="00DC72BE" w:rsidP="00DC72B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104.7 </w:t>
            </w:r>
            <w:r w:rsidRPr="00EE5691">
              <w:rPr>
                <w:rFonts w:ascii="Arial" w:hAnsi="Arial" w:cs="Arial"/>
                <w:sz w:val="16"/>
                <w:szCs w:val="16"/>
                <w:lang w:val="en-GB"/>
              </w:rPr>
              <w:t>±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14.3</w:t>
            </w:r>
          </w:p>
        </w:tc>
      </w:tr>
      <w:tr w:rsidR="0069131B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69131B" w:rsidRPr="00C32B8E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32B8E">
              <w:rPr>
                <w:rFonts w:cstheme="minorHAnsi"/>
                <w:b/>
                <w:sz w:val="18"/>
                <w:szCs w:val="18"/>
                <w:lang w:val="en-GB"/>
              </w:rPr>
              <w:t>DSM – IV comorbid disorder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Depression only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30 (28.6%)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787B3D">
              <w:rPr>
                <w:rFonts w:cstheme="minorHAnsi"/>
                <w:sz w:val="18"/>
                <w:szCs w:val="18"/>
              </w:rPr>
              <w:lastRenderedPageBreak/>
              <w:t>Anxiety</w:t>
            </w:r>
            <w:proofErr w:type="spellEnd"/>
            <w:r w:rsidRPr="00787B3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7B3D">
              <w:rPr>
                <w:rFonts w:cstheme="minorHAnsi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15 (14.3%)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787B3D">
              <w:rPr>
                <w:rFonts w:cstheme="minorHAnsi"/>
                <w:sz w:val="18"/>
                <w:szCs w:val="18"/>
              </w:rPr>
              <w:t>Depression</w:t>
            </w:r>
            <w:proofErr w:type="spellEnd"/>
            <w:r w:rsidRPr="00787B3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87B3D">
              <w:rPr>
                <w:rFonts w:cstheme="minorHAnsi"/>
                <w:sz w:val="18"/>
                <w:szCs w:val="18"/>
              </w:rPr>
              <w:t>An</w:t>
            </w:r>
            <w:r w:rsidRPr="00787B3D">
              <w:rPr>
                <w:rFonts w:cstheme="minorHAnsi"/>
                <w:sz w:val="18"/>
                <w:szCs w:val="18"/>
                <w:lang w:val="en-GB"/>
              </w:rPr>
              <w:t>xiety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7 (6.7%)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Conduct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3 (2.9%)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Conduct/Depression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9 (8.6%)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Bipolar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7B3D">
              <w:rPr>
                <w:rFonts w:cstheme="minorHAnsi"/>
                <w:sz w:val="18"/>
                <w:szCs w:val="18"/>
              </w:rPr>
              <w:t>2 (1.9%)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 xml:space="preserve">Body Dysmorphic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 (1.0%)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No Axis-I comorbid disorder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38 (36.2%)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DC72BE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18"/>
                <w:szCs w:val="18"/>
                <w:lang w:val="en-GB"/>
              </w:rPr>
            </w:pPr>
            <w:r w:rsidRPr="00DC72BE">
              <w:rPr>
                <w:rFonts w:cstheme="minorHAnsi"/>
                <w:b/>
                <w:i/>
                <w:sz w:val="18"/>
                <w:szCs w:val="18"/>
                <w:lang w:val="en-GB"/>
              </w:rPr>
              <w:t>Personality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C32B8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Schizotypal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23 (21.9%)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C32B8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Borderline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4 (3.8%)</w:t>
            </w:r>
          </w:p>
        </w:tc>
      </w:tr>
      <w:tr w:rsidR="0069131B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69131B" w:rsidRPr="00787B3D" w:rsidRDefault="00C32B8E" w:rsidP="0069131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="0069131B" w:rsidRPr="00787B3D">
              <w:rPr>
                <w:rFonts w:cstheme="minorHAnsi"/>
                <w:sz w:val="18"/>
                <w:szCs w:val="18"/>
                <w:lang w:val="en-GB"/>
              </w:rPr>
              <w:t>Mixed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5 (4.8%)</w:t>
            </w:r>
          </w:p>
        </w:tc>
      </w:tr>
      <w:tr w:rsidR="0069131B" w:rsidRPr="0069131B" w:rsidTr="00DE70D7">
        <w:tc>
          <w:tcPr>
            <w:tcW w:w="4876" w:type="dxa"/>
            <w:tcBorders>
              <w:bottom w:val="single" w:sz="4" w:space="0" w:color="auto"/>
              <w:right w:val="nil"/>
            </w:tcBorders>
          </w:tcPr>
          <w:p w:rsidR="0069131B" w:rsidRPr="00C32B8E" w:rsidRDefault="0069131B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C32B8E">
              <w:rPr>
                <w:rFonts w:cstheme="minorHAnsi"/>
                <w:b/>
                <w:sz w:val="18"/>
                <w:szCs w:val="18"/>
                <w:lang w:val="en-GB"/>
              </w:rPr>
              <w:t>Use of psychoactive substances</w:t>
            </w:r>
          </w:p>
        </w:tc>
        <w:tc>
          <w:tcPr>
            <w:tcW w:w="3341" w:type="dxa"/>
            <w:tcBorders>
              <w:left w:val="nil"/>
              <w:bottom w:val="single" w:sz="4" w:space="0" w:color="auto"/>
              <w:right w:val="nil"/>
            </w:tcBorders>
          </w:tcPr>
          <w:p w:rsidR="0069131B" w:rsidRPr="00787B3D" w:rsidRDefault="0069131B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14 (13.3%)</w:t>
            </w:r>
          </w:p>
        </w:tc>
      </w:tr>
      <w:tr w:rsidR="00C32B8E" w:rsidRPr="0069131B" w:rsidTr="00DE70D7">
        <w:tc>
          <w:tcPr>
            <w:tcW w:w="4876" w:type="dxa"/>
            <w:tcBorders>
              <w:bottom w:val="nil"/>
              <w:right w:val="nil"/>
            </w:tcBorders>
          </w:tcPr>
          <w:p w:rsidR="00C32B8E" w:rsidRPr="00C32B8E" w:rsidRDefault="00C32B8E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Medication</w:t>
            </w: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C32B8E" w:rsidRPr="00787B3D" w:rsidRDefault="00C32B8E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C32B8E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C32B8E" w:rsidRPr="00C32B8E" w:rsidRDefault="00C32B8E" w:rsidP="0069131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Antipsychotic (all atypical)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C32B8E" w:rsidRPr="00787B3D" w:rsidRDefault="00C32B8E" w:rsidP="0069131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24 (22.9%)</w:t>
            </w:r>
          </w:p>
        </w:tc>
      </w:tr>
      <w:tr w:rsidR="00C32B8E" w:rsidRPr="0069131B" w:rsidTr="00DE70D7"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C32B8E" w:rsidRPr="00787B3D" w:rsidRDefault="00C32B8E" w:rsidP="00C32B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Antidepressant  (SSRI)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C32B8E" w:rsidRPr="00787B3D" w:rsidRDefault="00C32B8E" w:rsidP="00C32B8E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</w:rPr>
              <w:t>41 (39.0%)</w:t>
            </w:r>
          </w:p>
        </w:tc>
      </w:tr>
      <w:tr w:rsidR="00C32B8E" w:rsidRPr="0069131B" w:rsidTr="00DE70D7">
        <w:tc>
          <w:tcPr>
            <w:tcW w:w="4876" w:type="dxa"/>
            <w:tcBorders>
              <w:top w:val="nil"/>
              <w:bottom w:val="single" w:sz="4" w:space="0" w:color="auto"/>
              <w:right w:val="nil"/>
            </w:tcBorders>
          </w:tcPr>
          <w:p w:rsidR="00C32B8E" w:rsidRPr="00787B3D" w:rsidRDefault="00C32B8E" w:rsidP="00C32B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Mood stabilizer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B8E" w:rsidRPr="00787B3D" w:rsidRDefault="00C32B8E" w:rsidP="00C32B8E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787B3D">
              <w:rPr>
                <w:rFonts w:cstheme="minorHAnsi"/>
                <w:sz w:val="18"/>
                <w:szCs w:val="18"/>
                <w:lang w:val="en-GB"/>
              </w:rPr>
              <w:t>4 (3.8%)</w:t>
            </w:r>
          </w:p>
        </w:tc>
      </w:tr>
    </w:tbl>
    <w:p w:rsidR="0069131B" w:rsidRP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P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P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P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P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69131B" w:rsidRDefault="0069131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E163DC" w:rsidRDefault="00E163DC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</w:p>
    <w:p w:rsidR="004A37E5" w:rsidRDefault="004A37E5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DC72BE" w:rsidRDefault="00DC72BE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DC72BE" w:rsidRDefault="00DC72BE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806DAB" w:rsidRPr="0069131B" w:rsidRDefault="00806DA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9131B">
        <w:rPr>
          <w:rFonts w:ascii="Arial" w:hAnsi="Arial" w:cs="Arial"/>
          <w:sz w:val="18"/>
          <w:szCs w:val="18"/>
          <w:lang w:val="en-GB"/>
        </w:rPr>
        <w:t>APS -  attenuated psychotic symptoms</w:t>
      </w:r>
      <w:r w:rsidR="00DC72BE">
        <w:rPr>
          <w:rFonts w:ascii="Arial" w:hAnsi="Arial" w:cs="Arial"/>
          <w:sz w:val="18"/>
          <w:szCs w:val="18"/>
          <w:lang w:val="en-GB"/>
        </w:rPr>
        <w:t xml:space="preserve">; </w:t>
      </w:r>
    </w:p>
    <w:p w:rsidR="00806DAB" w:rsidRDefault="00806DA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9131B">
        <w:rPr>
          <w:rFonts w:ascii="Arial" w:hAnsi="Arial" w:cs="Arial"/>
          <w:sz w:val="18"/>
          <w:szCs w:val="18"/>
          <w:lang w:val="en-GB"/>
        </w:rPr>
        <w:t xml:space="preserve">BLIPS - </w:t>
      </w:r>
      <w:r w:rsidR="000517C8">
        <w:rPr>
          <w:rFonts w:ascii="Arial" w:hAnsi="Arial" w:cs="Arial"/>
          <w:sz w:val="18"/>
          <w:szCs w:val="18"/>
          <w:lang w:val="en-GB"/>
        </w:rPr>
        <w:t>b</w:t>
      </w:r>
      <w:r w:rsidRPr="0069131B">
        <w:rPr>
          <w:rFonts w:ascii="Arial" w:hAnsi="Arial" w:cs="Arial"/>
          <w:sz w:val="18"/>
          <w:szCs w:val="18"/>
          <w:lang w:val="en-GB"/>
        </w:rPr>
        <w:t>rief limited intermittent psychotic symptoms</w:t>
      </w:r>
      <w:r w:rsidR="00DC72BE">
        <w:rPr>
          <w:rFonts w:ascii="Arial" w:hAnsi="Arial" w:cs="Arial"/>
          <w:sz w:val="18"/>
          <w:szCs w:val="18"/>
          <w:lang w:val="en-GB"/>
        </w:rPr>
        <w:t xml:space="preserve">; </w:t>
      </w:r>
    </w:p>
    <w:p w:rsidR="00300282" w:rsidRPr="0069131B" w:rsidRDefault="00300282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9131B">
        <w:rPr>
          <w:rFonts w:ascii="Arial" w:hAnsi="Arial" w:cs="Arial"/>
          <w:sz w:val="18"/>
          <w:szCs w:val="18"/>
          <w:lang w:val="en-GB"/>
        </w:rPr>
        <w:t>CAARMS - Comprehensive Assessment of At Risk Mental State</w:t>
      </w:r>
      <w:r>
        <w:rPr>
          <w:rFonts w:ascii="Arial" w:hAnsi="Arial" w:cs="Arial"/>
          <w:sz w:val="18"/>
          <w:szCs w:val="18"/>
          <w:lang w:val="en-GB"/>
        </w:rPr>
        <w:t>s</w:t>
      </w:r>
      <w:r w:rsidR="00DC72BE">
        <w:rPr>
          <w:rFonts w:ascii="Arial" w:hAnsi="Arial" w:cs="Arial"/>
          <w:sz w:val="18"/>
          <w:szCs w:val="18"/>
          <w:lang w:val="en-GB"/>
        </w:rPr>
        <w:t xml:space="preserve">; </w:t>
      </w:r>
    </w:p>
    <w:p w:rsidR="00806DAB" w:rsidRDefault="000517C8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GRD - genetic risk and deterioration</w:t>
      </w:r>
      <w:r w:rsidR="00D240A5">
        <w:rPr>
          <w:rFonts w:ascii="Arial" w:hAnsi="Arial" w:cs="Arial"/>
          <w:sz w:val="18"/>
          <w:szCs w:val="18"/>
          <w:lang w:val="en-GB"/>
        </w:rPr>
        <w:t xml:space="preserve"> syndrome</w:t>
      </w:r>
      <w:r w:rsidR="00DC72BE">
        <w:rPr>
          <w:rFonts w:ascii="Arial" w:hAnsi="Arial" w:cs="Arial"/>
          <w:sz w:val="18"/>
          <w:szCs w:val="18"/>
          <w:lang w:val="en-GB"/>
        </w:rPr>
        <w:t xml:space="preserve">; </w:t>
      </w:r>
    </w:p>
    <w:p w:rsidR="00DC72BE" w:rsidRPr="0069131B" w:rsidRDefault="00DC72BE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IQ: intelligence quotient; </w:t>
      </w:r>
    </w:p>
    <w:p w:rsidR="00806DAB" w:rsidRPr="0069131B" w:rsidRDefault="00806DAB" w:rsidP="00806DAB">
      <w:pPr>
        <w:pStyle w:val="Tekstpodstawowy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9131B">
        <w:rPr>
          <w:rFonts w:ascii="Arial" w:hAnsi="Arial" w:cs="Arial"/>
          <w:sz w:val="18"/>
          <w:szCs w:val="18"/>
          <w:lang w:val="en-GB"/>
        </w:rPr>
        <w:t>SOFAS - Social and Occupational Functioning Assessment Scale</w:t>
      </w:r>
      <w:r w:rsidR="005A026B">
        <w:rPr>
          <w:rFonts w:ascii="Arial" w:hAnsi="Arial" w:cs="Arial"/>
          <w:sz w:val="18"/>
          <w:szCs w:val="18"/>
          <w:lang w:val="en-GB"/>
        </w:rPr>
        <w:t>.</w:t>
      </w:r>
      <w:bookmarkStart w:id="0" w:name="_GoBack"/>
      <w:bookmarkEnd w:id="0"/>
    </w:p>
    <w:p w:rsidR="00806DAB" w:rsidRPr="0069131B" w:rsidRDefault="00806DAB" w:rsidP="00806DA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806DAB" w:rsidRPr="0069131B" w:rsidRDefault="00806DAB" w:rsidP="00806DA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806DAB" w:rsidRPr="0069131B" w:rsidRDefault="00806DAB" w:rsidP="00D84F91">
      <w:pPr>
        <w:rPr>
          <w:rFonts w:ascii="Arial" w:hAnsi="Arial" w:cs="Arial"/>
          <w:sz w:val="18"/>
          <w:szCs w:val="18"/>
          <w:lang w:val="en-GB"/>
        </w:rPr>
      </w:pPr>
    </w:p>
    <w:p w:rsidR="00D84F91" w:rsidRDefault="00D84F91" w:rsidP="00D84F91">
      <w:pPr>
        <w:rPr>
          <w:rFonts w:ascii="Times New Roman" w:hAnsi="Times New Roman" w:cs="Times New Roman"/>
          <w:lang w:val="en-US"/>
        </w:rPr>
      </w:pPr>
    </w:p>
    <w:p w:rsidR="00D84F91" w:rsidRDefault="00D84F91" w:rsidP="00D84F91">
      <w:pPr>
        <w:rPr>
          <w:rFonts w:ascii="Times New Roman" w:hAnsi="Times New Roman" w:cs="Times New Roman"/>
          <w:lang w:val="en-US"/>
        </w:rPr>
      </w:pPr>
    </w:p>
    <w:p w:rsidR="00C75091" w:rsidRPr="003741B8" w:rsidRDefault="006E6337" w:rsidP="00C75091">
      <w:pPr>
        <w:rPr>
          <w:rFonts w:ascii="Arial" w:hAnsi="Arial" w:cs="Arial"/>
          <w:lang w:val="en-US"/>
        </w:rPr>
      </w:pPr>
      <w:proofErr w:type="spellStart"/>
      <w:r w:rsidRPr="003741B8">
        <w:rPr>
          <w:rFonts w:ascii="Arial" w:hAnsi="Arial" w:cs="Arial"/>
          <w:lang w:val="en-US"/>
        </w:rPr>
        <w:t>eTable</w:t>
      </w:r>
      <w:proofErr w:type="spellEnd"/>
      <w:r w:rsidRPr="003741B8">
        <w:rPr>
          <w:rFonts w:ascii="Arial" w:hAnsi="Arial" w:cs="Arial"/>
          <w:lang w:val="en-US"/>
        </w:rPr>
        <w:t xml:space="preserve"> </w:t>
      </w:r>
      <w:r w:rsidR="00D84F91">
        <w:rPr>
          <w:rFonts w:ascii="Arial" w:hAnsi="Arial" w:cs="Arial"/>
          <w:lang w:val="en-US"/>
        </w:rPr>
        <w:t>3</w:t>
      </w:r>
      <w:r w:rsidRPr="003741B8">
        <w:rPr>
          <w:rFonts w:ascii="Arial" w:hAnsi="Arial" w:cs="Arial"/>
          <w:lang w:val="en-US"/>
        </w:rPr>
        <w:t>. Results of the proportional hazards assumption test for a Cox regression model fit. P-values higher than 0.05 show that modelling met the assumptions.</w:t>
      </w:r>
    </w:p>
    <w:tbl>
      <w:tblPr>
        <w:tblStyle w:val="Tabela-Siatka"/>
        <w:tblW w:w="9291" w:type="dxa"/>
        <w:tblLook w:val="04A0" w:firstRow="1" w:lastRow="0" w:firstColumn="1" w:lastColumn="0" w:noHBand="0" w:noVBand="1"/>
      </w:tblPr>
      <w:tblGrid>
        <w:gridCol w:w="2494"/>
        <w:gridCol w:w="2265"/>
        <w:gridCol w:w="2266"/>
        <w:gridCol w:w="2266"/>
      </w:tblGrid>
      <w:tr w:rsidR="00C75091" w:rsidRPr="003741B8" w:rsidTr="006C0E4D">
        <w:tc>
          <w:tcPr>
            <w:tcW w:w="2494" w:type="dxa"/>
          </w:tcPr>
          <w:p w:rsidR="00C75091" w:rsidRPr="003741B8" w:rsidRDefault="00C75091" w:rsidP="00C7509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5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Rho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Chi</w:t>
            </w:r>
            <w:r w:rsidRPr="006C0E4D"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P-value</w:t>
            </w:r>
          </w:p>
        </w:tc>
      </w:tr>
      <w:tr w:rsidR="00C75091" w:rsidRPr="003741B8" w:rsidTr="006C0E4D">
        <w:tc>
          <w:tcPr>
            <w:tcW w:w="2494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U</w:t>
            </w:r>
            <w:r w:rsidR="006C0E4D">
              <w:rPr>
                <w:rFonts w:cstheme="minorHAnsi"/>
                <w:lang w:val="en-US"/>
              </w:rPr>
              <w:t>nusual thought content</w:t>
            </w:r>
          </w:p>
        </w:tc>
        <w:tc>
          <w:tcPr>
            <w:tcW w:w="2265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-0.1735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1.8670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0.172</w:t>
            </w:r>
          </w:p>
        </w:tc>
      </w:tr>
      <w:tr w:rsidR="00C75091" w:rsidRPr="003741B8" w:rsidTr="006C0E4D">
        <w:tc>
          <w:tcPr>
            <w:tcW w:w="2494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D</w:t>
            </w:r>
            <w:r w:rsidR="006C0E4D">
              <w:rPr>
                <w:rFonts w:cstheme="minorHAnsi"/>
                <w:lang w:val="en-US"/>
              </w:rPr>
              <w:t>isorganized speech</w:t>
            </w:r>
          </w:p>
        </w:tc>
        <w:tc>
          <w:tcPr>
            <w:tcW w:w="2265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-0.0287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0.0538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0.817</w:t>
            </w:r>
          </w:p>
        </w:tc>
      </w:tr>
      <w:tr w:rsidR="00C75091" w:rsidRPr="003741B8" w:rsidTr="006C0E4D">
        <w:tc>
          <w:tcPr>
            <w:tcW w:w="2494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Global</w:t>
            </w:r>
          </w:p>
        </w:tc>
        <w:tc>
          <w:tcPr>
            <w:tcW w:w="2265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1.8875</w:t>
            </w:r>
          </w:p>
        </w:tc>
        <w:tc>
          <w:tcPr>
            <w:tcW w:w="2266" w:type="dxa"/>
          </w:tcPr>
          <w:p w:rsidR="00C75091" w:rsidRPr="006C0E4D" w:rsidRDefault="00C75091" w:rsidP="00C75091">
            <w:pPr>
              <w:rPr>
                <w:rFonts w:cstheme="minorHAnsi"/>
                <w:lang w:val="en-US"/>
              </w:rPr>
            </w:pPr>
            <w:r w:rsidRPr="006C0E4D">
              <w:rPr>
                <w:rFonts w:cstheme="minorHAnsi"/>
                <w:lang w:val="en-US"/>
              </w:rPr>
              <w:t>0.389</w:t>
            </w:r>
          </w:p>
        </w:tc>
      </w:tr>
    </w:tbl>
    <w:p w:rsidR="00A970A8" w:rsidRDefault="00C75091" w:rsidP="00C750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A970A8" w:rsidRDefault="00A970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EE547C" w:rsidRDefault="00A970A8" w:rsidP="00C75091">
      <w:pPr>
        <w:rPr>
          <w:rFonts w:ascii="Times New Roman" w:hAnsi="Times New Roman" w:cs="Times New Roman"/>
          <w:lang w:val="en-US"/>
        </w:rPr>
      </w:pPr>
      <w:r w:rsidRPr="00C75091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760720" cy="309324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0A8" w:rsidRDefault="00A970A8" w:rsidP="00A970A8">
      <w:pPr>
        <w:rPr>
          <w:rFonts w:ascii="Times New Roman" w:hAnsi="Times New Roman" w:cs="Times New Roman"/>
          <w:lang w:val="en-US"/>
        </w:rPr>
      </w:pPr>
      <w:proofErr w:type="spellStart"/>
      <w:r w:rsidRPr="003741B8">
        <w:rPr>
          <w:rFonts w:ascii="Arial" w:hAnsi="Arial" w:cs="Arial"/>
          <w:lang w:val="en-US"/>
        </w:rPr>
        <w:t>eFigure</w:t>
      </w:r>
      <w:proofErr w:type="spellEnd"/>
      <w:r w:rsidRPr="003741B8">
        <w:rPr>
          <w:rFonts w:ascii="Arial" w:hAnsi="Arial" w:cs="Arial"/>
          <w:lang w:val="en-US"/>
        </w:rPr>
        <w:t xml:space="preserve"> 1. Schoenfeld residuals plot confirming assumptions of Cox modelling for both</w:t>
      </w:r>
      <w:r>
        <w:rPr>
          <w:rFonts w:ascii="Arial" w:hAnsi="Arial" w:cs="Arial"/>
          <w:lang w:val="en-US"/>
        </w:rPr>
        <w:t xml:space="preserve"> unusual thought content (UTC)</w:t>
      </w:r>
      <w:r w:rsidRPr="003741B8">
        <w:rPr>
          <w:rFonts w:ascii="Arial" w:hAnsi="Arial" w:cs="Arial"/>
          <w:lang w:val="en-US"/>
        </w:rPr>
        <w:t xml:space="preserve"> UTC a</w:t>
      </w:r>
      <w:r>
        <w:rPr>
          <w:rFonts w:ascii="Arial" w:hAnsi="Arial" w:cs="Arial"/>
          <w:lang w:val="en-US"/>
        </w:rPr>
        <w:t>nd Disorganized Communication (DC)</w:t>
      </w:r>
      <w:r w:rsidRPr="003741B8">
        <w:rPr>
          <w:rFonts w:ascii="Arial" w:hAnsi="Arial" w:cs="Arial"/>
          <w:lang w:val="en-US"/>
        </w:rPr>
        <w:t>. Time in months was transformed using classical KM transformation</w:t>
      </w:r>
      <w:r>
        <w:rPr>
          <w:rFonts w:ascii="Times New Roman" w:hAnsi="Times New Roman" w:cs="Times New Roman"/>
          <w:lang w:val="en-US"/>
        </w:rPr>
        <w:t>.</w:t>
      </w:r>
    </w:p>
    <w:p w:rsidR="00A970A8" w:rsidRPr="00EE547C" w:rsidRDefault="00A970A8" w:rsidP="00C75091">
      <w:pPr>
        <w:rPr>
          <w:rFonts w:ascii="Times New Roman" w:hAnsi="Times New Roman" w:cs="Times New Roman"/>
          <w:lang w:val="en-US"/>
        </w:rPr>
      </w:pPr>
    </w:p>
    <w:sectPr w:rsidR="00A970A8" w:rsidRPr="00EE547C" w:rsidSect="006B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C"/>
    <w:rsid w:val="0004014E"/>
    <w:rsid w:val="000517C8"/>
    <w:rsid w:val="0007538F"/>
    <w:rsid w:val="00084D00"/>
    <w:rsid w:val="00095330"/>
    <w:rsid w:val="000C79E6"/>
    <w:rsid w:val="000F535C"/>
    <w:rsid w:val="001B5B29"/>
    <w:rsid w:val="00232008"/>
    <w:rsid w:val="00300282"/>
    <w:rsid w:val="003741B8"/>
    <w:rsid w:val="00443531"/>
    <w:rsid w:val="00480270"/>
    <w:rsid w:val="004A37E5"/>
    <w:rsid w:val="005A026B"/>
    <w:rsid w:val="006472EC"/>
    <w:rsid w:val="0069131B"/>
    <w:rsid w:val="006B4224"/>
    <w:rsid w:val="006C0E4D"/>
    <w:rsid w:val="006E6337"/>
    <w:rsid w:val="00787B3D"/>
    <w:rsid w:val="00806DAB"/>
    <w:rsid w:val="008F464B"/>
    <w:rsid w:val="00900022"/>
    <w:rsid w:val="00975A58"/>
    <w:rsid w:val="009969BB"/>
    <w:rsid w:val="009D0704"/>
    <w:rsid w:val="009E59F6"/>
    <w:rsid w:val="00A970A8"/>
    <w:rsid w:val="00B35C81"/>
    <w:rsid w:val="00B506BD"/>
    <w:rsid w:val="00B52803"/>
    <w:rsid w:val="00B53599"/>
    <w:rsid w:val="00C32B8E"/>
    <w:rsid w:val="00C52B33"/>
    <w:rsid w:val="00C75091"/>
    <w:rsid w:val="00C9587E"/>
    <w:rsid w:val="00D126DA"/>
    <w:rsid w:val="00D240A5"/>
    <w:rsid w:val="00D45FAF"/>
    <w:rsid w:val="00D84F91"/>
    <w:rsid w:val="00DC71F9"/>
    <w:rsid w:val="00DC72BE"/>
    <w:rsid w:val="00DE70D7"/>
    <w:rsid w:val="00E163DC"/>
    <w:rsid w:val="00E62EDD"/>
    <w:rsid w:val="00EE547C"/>
    <w:rsid w:val="00F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818D"/>
  <w15:docId w15:val="{A5787226-B003-4715-9081-BB5AC2DD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80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37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6E6337"/>
  </w:style>
  <w:style w:type="character" w:customStyle="1" w:styleId="xapple-converted-space">
    <w:name w:val="x_apple-converted-space"/>
    <w:basedOn w:val="Domylnaczcionkaakapitu"/>
    <w:rsid w:val="006E6337"/>
  </w:style>
  <w:style w:type="character" w:styleId="Hipercze">
    <w:name w:val="Hyperlink"/>
    <w:basedOn w:val="Domylnaczcionkaakapitu"/>
    <w:uiPriority w:val="99"/>
    <w:unhideWhenUsed/>
    <w:rsid w:val="006E633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6DAB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konsta.com.pl/psychos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Stawiski</dc:creator>
  <cp:lastModifiedBy>jan antczak</cp:lastModifiedBy>
  <cp:revision>3</cp:revision>
  <dcterms:created xsi:type="dcterms:W3CDTF">2019-02-26T12:04:00Z</dcterms:created>
  <dcterms:modified xsi:type="dcterms:W3CDTF">2019-02-26T12:24:00Z</dcterms:modified>
</cp:coreProperties>
</file>