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47" w:rsidRPr="000D464A" w:rsidRDefault="00AE177E">
      <w:pPr>
        <w:spacing w:after="0" w:line="48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0D464A">
        <w:rPr>
          <w:rFonts w:ascii="Times New Roman" w:hAnsi="Times New Roman" w:cs="Times New Roman"/>
          <w:b/>
          <w:bCs/>
          <w:lang w:val="en-US"/>
        </w:rPr>
        <w:t>Supplement</w:t>
      </w:r>
      <w:r w:rsidR="00D91E1B">
        <w:rPr>
          <w:rFonts w:ascii="Times New Roman" w:hAnsi="Times New Roman" w:cs="Times New Roman"/>
          <w:b/>
          <w:bCs/>
          <w:lang w:val="en-US"/>
        </w:rPr>
        <w:t xml:space="preserve"> 3</w:t>
      </w:r>
      <w:r w:rsidRPr="000D464A">
        <w:rPr>
          <w:rFonts w:ascii="Times New Roman" w:hAnsi="Times New Roman" w:cs="Times New Roman"/>
          <w:b/>
          <w:bCs/>
          <w:lang w:val="en-US"/>
        </w:rPr>
        <w:t>: Comparison of agency inferences in three different studies</w:t>
      </w:r>
    </w:p>
    <w:p w:rsidR="00AF0D47" w:rsidRPr="000D464A" w:rsidRDefault="00AF0D47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/>
        </w:rPr>
      </w:pPr>
    </w:p>
    <w:p w:rsidR="00AF0D47" w:rsidRPr="000D464A" w:rsidRDefault="00AE177E">
      <w:pPr>
        <w:spacing w:after="0" w:line="48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0D464A">
        <w:rPr>
          <w:rFonts w:ascii="Times New Roman" w:hAnsi="Times New Roman" w:cs="Times New Roman"/>
          <w:b/>
          <w:bCs/>
          <w:lang w:val="en-US"/>
        </w:rPr>
        <w:t xml:space="preserve">Method </w:t>
      </w:r>
    </w:p>
    <w:p w:rsidR="00AF0D47" w:rsidRPr="000D464A" w:rsidRDefault="00AE177E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  <w:r w:rsidRPr="000D464A">
        <w:rPr>
          <w:rFonts w:ascii="Times New Roman" w:hAnsi="Times New Roman" w:cs="Times New Roman"/>
          <w:lang w:val="en-US"/>
        </w:rPr>
        <w:t>To gain statistical power, we combined data from the current study with data from previous studies performed in our group.</w:t>
      </w:r>
    </w:p>
    <w:p w:rsidR="00AF0D47" w:rsidRPr="000D464A" w:rsidRDefault="00AE177E">
      <w:pPr>
        <w:spacing w:after="0" w:line="480" w:lineRule="auto"/>
        <w:ind w:firstLine="708"/>
        <w:rPr>
          <w:rFonts w:ascii="Times New Roman" w:eastAsia="Times New Roman" w:hAnsi="Times New Roman" w:cs="Times New Roman"/>
          <w:lang w:val="en-US"/>
        </w:rPr>
      </w:pPr>
      <w:r w:rsidRPr="000D464A">
        <w:rPr>
          <w:rFonts w:ascii="Times New Roman" w:hAnsi="Times New Roman" w:cs="Times New Roman"/>
          <w:lang w:val="en-US"/>
        </w:rPr>
        <w:t xml:space="preserve">First, to assess group differences in prime-based agency inferences specifically, we could combine our sample </w:t>
      </w:r>
      <w:r w:rsidR="007C3738">
        <w:rPr>
          <w:rFonts w:ascii="Times New Roman" w:hAnsi="Times New Roman" w:cs="Times New Roman"/>
          <w:lang w:val="en-US"/>
        </w:rPr>
        <w:t>with that of [17] and [18]</w:t>
      </w:r>
      <w:r w:rsidRPr="000D464A">
        <w:rPr>
          <w:rFonts w:ascii="Times New Roman" w:hAnsi="Times New Roman" w:cs="Times New Roman"/>
          <w:lang w:val="en-US"/>
        </w:rPr>
        <w:t>, thereby increasing the sample size to 90 patients and 90 healthy controls. To examine prime-based agency inferences in these studies, a repeated measures ANOVA was performed with Matching (match and mismatch) as within-subjects variable and Group (HC and SZ) as between-subjects factor. Then, the variable Study (3 studies) was added as a between-subjects variable to specifically test its effect on Matching, Group, and the Matching x Group interaction.</w:t>
      </w:r>
    </w:p>
    <w:p w:rsidR="00AF0D47" w:rsidRPr="000D464A" w:rsidRDefault="00AE177E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  <w:r w:rsidRPr="000D464A">
        <w:rPr>
          <w:rFonts w:ascii="Times New Roman" w:eastAsia="Times New Roman" w:hAnsi="Times New Roman" w:cs="Times New Roman"/>
          <w:lang w:val="en-US"/>
        </w:rPr>
        <w:tab/>
        <w:t>Second,</w:t>
      </w:r>
      <w:r w:rsidRPr="000D464A">
        <w:rPr>
          <w:rFonts w:ascii="Times New Roman" w:hAnsi="Times New Roman" w:cs="Times New Roman"/>
          <w:lang w:val="en-US"/>
        </w:rPr>
        <w:t xml:space="preserve"> data from the current study and the study by </w:t>
      </w:r>
      <w:r w:rsidR="007C3738">
        <w:rPr>
          <w:rFonts w:ascii="Times New Roman" w:hAnsi="Times New Roman" w:cs="Times New Roman"/>
          <w:lang w:val="en-US"/>
        </w:rPr>
        <w:t xml:space="preserve">[17] </w:t>
      </w:r>
      <w:r w:rsidRPr="000D464A">
        <w:rPr>
          <w:rFonts w:ascii="Times New Roman" w:hAnsi="Times New Roman" w:cs="Times New Roman"/>
          <w:lang w:val="en-US"/>
        </w:rPr>
        <w:t>were combined (59 healthy controls and 58 patients) to assess (group)differences between goal-based and prime-based agency inferences. A repeated measures ANOVA with Matching (match and mismatch) and Condition (prime-based and goal-based) as a within subjects variables and Group (HC and SZ) as between-subjects factor was performed. Again, the variable Study (2 studies) was added as between-subjects factor to specifically test potential differences in the Matching x Condition x Group interaction between studies.</w:t>
      </w:r>
    </w:p>
    <w:p w:rsidR="00AF0D47" w:rsidRPr="000D464A" w:rsidRDefault="00AF0D47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AF0D47" w:rsidRPr="000D464A" w:rsidRDefault="00AE177E">
      <w:pPr>
        <w:spacing w:after="0" w:line="48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0D464A">
        <w:rPr>
          <w:rFonts w:ascii="Times New Roman" w:hAnsi="Times New Roman" w:cs="Times New Roman"/>
          <w:b/>
          <w:bCs/>
          <w:lang w:val="en-US"/>
        </w:rPr>
        <w:t xml:space="preserve">Results </w:t>
      </w:r>
    </w:p>
    <w:p w:rsidR="00AF0D47" w:rsidRPr="000D464A" w:rsidRDefault="00AE177E">
      <w:pPr>
        <w:spacing w:after="0" w:line="480" w:lineRule="auto"/>
        <w:rPr>
          <w:rFonts w:ascii="Times New Roman" w:hAnsi="Times New Roman" w:cs="Times New Roman"/>
          <w:i/>
          <w:iCs/>
          <w:lang w:val="en-US"/>
        </w:rPr>
      </w:pPr>
      <w:r w:rsidRPr="000D464A">
        <w:rPr>
          <w:rFonts w:ascii="Times New Roman" w:hAnsi="Times New Roman" w:cs="Times New Roman"/>
          <w:i/>
          <w:iCs/>
          <w:lang w:val="en-US"/>
        </w:rPr>
        <w:t xml:space="preserve">Group differences in prime-based agency inferences. </w:t>
      </w:r>
    </w:p>
    <w:p w:rsidR="007C3738" w:rsidRDefault="00AE177E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  <w:r w:rsidRPr="000D464A">
        <w:rPr>
          <w:rFonts w:ascii="Times New Roman" w:hAnsi="Times New Roman" w:cs="Times New Roman"/>
          <w:lang w:val="en-US"/>
        </w:rPr>
        <w:t>In the combined sample a significant effect of matching was found, which was different between healthy controls and patients (</w:t>
      </w:r>
      <w:proofErr w:type="spellStart"/>
      <w:r w:rsidR="00BA224C">
        <w:rPr>
          <w:rFonts w:ascii="Times New Roman" w:hAnsi="Times New Roman" w:cs="Times New Roman"/>
          <w:lang w:val="en-US"/>
        </w:rPr>
        <w:t>STable</w:t>
      </w:r>
      <w:proofErr w:type="spellEnd"/>
      <w:r w:rsidRPr="000D464A">
        <w:rPr>
          <w:rFonts w:ascii="Times New Roman" w:hAnsi="Times New Roman" w:cs="Times New Roman"/>
          <w:lang w:val="en-US"/>
        </w:rPr>
        <w:t xml:space="preserve"> 1). Additionally, although the matching effect did not differ between the studies, group differences in matching effect did (</w:t>
      </w:r>
      <w:proofErr w:type="spellStart"/>
      <w:r w:rsidR="00BA224C">
        <w:rPr>
          <w:rFonts w:ascii="Times New Roman" w:hAnsi="Times New Roman" w:cs="Times New Roman"/>
          <w:lang w:val="en-US"/>
        </w:rPr>
        <w:t>STable</w:t>
      </w:r>
      <w:proofErr w:type="spellEnd"/>
      <w:r w:rsidRPr="000D464A">
        <w:rPr>
          <w:rFonts w:ascii="Times New Roman" w:hAnsi="Times New Roman" w:cs="Times New Roman"/>
          <w:lang w:val="en-US"/>
        </w:rPr>
        <w:t xml:space="preserve"> 2). </w:t>
      </w:r>
    </w:p>
    <w:p w:rsidR="007C3738" w:rsidRDefault="007C3738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7C3738" w:rsidRDefault="007C3738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7C3738" w:rsidRDefault="007C3738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7C3738" w:rsidRPr="007C3738" w:rsidRDefault="007C3738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AF0D47" w:rsidRPr="000D464A" w:rsidRDefault="00BA224C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STable</w:t>
      </w:r>
      <w:proofErr w:type="spellEnd"/>
      <w:r w:rsidR="0016643A">
        <w:rPr>
          <w:rFonts w:ascii="Times New Roman" w:hAnsi="Times New Roman" w:cs="Times New Roman"/>
          <w:lang w:val="en-US"/>
        </w:rPr>
        <w:t xml:space="preserve"> 3</w:t>
      </w:r>
      <w:r w:rsidR="00AE177E" w:rsidRPr="000D464A">
        <w:rPr>
          <w:rFonts w:ascii="Times New Roman" w:hAnsi="Times New Roman" w:cs="Times New Roman"/>
          <w:lang w:val="en-US"/>
        </w:rPr>
        <w:t>: Group differences in prime-based agency inferences</w:t>
      </w:r>
    </w:p>
    <w:tbl>
      <w:tblPr>
        <w:tblStyle w:val="TableNormal"/>
        <w:tblW w:w="54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5"/>
        <w:gridCol w:w="2886"/>
      </w:tblGrid>
      <w:tr w:rsidR="00AF0D47" w:rsidRPr="000D464A" w:rsidTr="00AE177E">
        <w:trPr>
          <w:trHeight w:val="170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Effect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results</w:t>
            </w:r>
          </w:p>
        </w:tc>
      </w:tr>
      <w:tr w:rsidR="00AF0D47" w:rsidRPr="0016643A" w:rsidTr="00AE177E">
        <w:trPr>
          <w:trHeight w:val="607"/>
        </w:trPr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Group 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Group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(1,178)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0.04,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=0.84,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(1,178)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46.29,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&lt;0.001,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=0.21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(1,178)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11.64,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0.001,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=0.06</w:t>
            </w:r>
          </w:p>
        </w:tc>
      </w:tr>
    </w:tbl>
    <w:p w:rsidR="00AF0D47" w:rsidRPr="000D464A" w:rsidRDefault="00AF0D47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F0D47" w:rsidRPr="000D464A" w:rsidRDefault="00AF0D47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p w:rsidR="00AF0D47" w:rsidRPr="000D464A" w:rsidRDefault="00BA224C">
      <w:pPr>
        <w:spacing w:after="0" w:line="480" w:lineRule="auto"/>
        <w:rPr>
          <w:rFonts w:ascii="Times New Roman" w:eastAsia="Trebuchet MS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 w:rsidR="0016643A">
        <w:rPr>
          <w:rFonts w:ascii="Times New Roman" w:hAnsi="Times New Roman" w:cs="Times New Roman"/>
          <w:lang w:val="en-US"/>
        </w:rPr>
        <w:t xml:space="preserve"> 4</w:t>
      </w:r>
      <w:r w:rsidR="00AE177E" w:rsidRPr="000D464A">
        <w:rPr>
          <w:rFonts w:ascii="Times New Roman" w:hAnsi="Times New Roman" w:cs="Times New Roman"/>
          <w:lang w:val="en-US"/>
        </w:rPr>
        <w:t>: Study comparison of prime-based agency inferences</w:t>
      </w:r>
    </w:p>
    <w:tbl>
      <w:tblPr>
        <w:tblStyle w:val="TableNormal"/>
        <w:tblW w:w="5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5"/>
        <w:gridCol w:w="2900"/>
      </w:tblGrid>
      <w:tr w:rsidR="00AF0D47" w:rsidRPr="000D464A" w:rsidTr="00AE177E">
        <w:trPr>
          <w:trHeight w:val="250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results</w:t>
            </w:r>
            <w:proofErr w:type="spellEnd"/>
          </w:p>
        </w:tc>
      </w:tr>
      <w:tr w:rsidR="00AF0D47" w:rsidRPr="000D464A" w:rsidTr="00AE177E">
        <w:trPr>
          <w:trHeight w:val="807"/>
        </w:trPr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 x Study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Study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Group x Study</w:t>
            </w:r>
          </w:p>
        </w:tc>
        <w:tc>
          <w:tcPr>
            <w:tcW w:w="28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(2,174)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2.69,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=0.07,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=0.03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(3,174)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0.82,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=0.49,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=0.01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(2,174)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2.22,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=0.11,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=0.03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(3,174)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3.97,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=0.009,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=0.06</w:t>
            </w:r>
          </w:p>
        </w:tc>
      </w:tr>
    </w:tbl>
    <w:p w:rsidR="00AF0D47" w:rsidRPr="000D464A" w:rsidRDefault="00AF0D47">
      <w:pPr>
        <w:spacing w:line="48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AF0D47" w:rsidRPr="000D464A" w:rsidRDefault="00AE177E">
      <w:pPr>
        <w:spacing w:after="0" w:line="480" w:lineRule="auto"/>
        <w:rPr>
          <w:rFonts w:ascii="Times New Roman" w:hAnsi="Times New Roman" w:cs="Times New Roman"/>
          <w:i/>
          <w:iCs/>
          <w:lang w:val="en-US"/>
        </w:rPr>
      </w:pPr>
      <w:r w:rsidRPr="000D464A">
        <w:rPr>
          <w:rFonts w:ascii="Times New Roman" w:hAnsi="Times New Roman" w:cs="Times New Roman"/>
          <w:i/>
          <w:iCs/>
          <w:lang w:val="en-US"/>
        </w:rPr>
        <w:t>Differences between prime-based and goal-based agency inferences.</w:t>
      </w:r>
    </w:p>
    <w:p w:rsidR="00AF0D47" w:rsidRPr="000D464A" w:rsidRDefault="00BA224C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 w:rsidR="00AE177E" w:rsidRPr="000D464A">
        <w:rPr>
          <w:rFonts w:ascii="Times New Roman" w:hAnsi="Times New Roman" w:cs="Times New Roman"/>
          <w:lang w:val="en-US"/>
        </w:rPr>
        <w:t xml:space="preserve"> 3 shows that the matching effect was significantly different between the goal-based and prime-based condition. Also, group differences in matching effect differ marginally between goal-based and prime-ba</w:t>
      </w:r>
      <w:bookmarkStart w:id="0" w:name="_GoBack"/>
      <w:bookmarkEnd w:id="0"/>
      <w:r w:rsidR="00AE177E" w:rsidRPr="000D464A">
        <w:rPr>
          <w:rFonts w:ascii="Times New Roman" w:hAnsi="Times New Roman" w:cs="Times New Roman"/>
          <w:lang w:val="en-US"/>
        </w:rPr>
        <w:t xml:space="preserve">sed condition (3-way interaction), indicating larger group differences in prime-based compared with goal-based agency inferences. A marginal difference between studies was found regarding this 3-way interaction, </w:t>
      </w:r>
      <w:r w:rsidR="00AE177E" w:rsidRPr="000D464A">
        <w:rPr>
          <w:rFonts w:ascii="Times New Roman" w:hAnsi="Times New Roman" w:cs="Times New Roman"/>
          <w:i/>
          <w:iCs/>
          <w:lang w:val="en-US"/>
        </w:rPr>
        <w:t>F</w:t>
      </w:r>
      <w:r w:rsidR="00AE177E" w:rsidRPr="000D464A">
        <w:rPr>
          <w:rFonts w:ascii="Times New Roman" w:hAnsi="Times New Roman" w:cs="Times New Roman"/>
          <w:lang w:val="en-US"/>
        </w:rPr>
        <w:t xml:space="preserve">(2,113)=3.02, </w:t>
      </w:r>
      <w:r w:rsidR="00AE177E" w:rsidRPr="000D464A">
        <w:rPr>
          <w:rFonts w:ascii="Times New Roman" w:hAnsi="Times New Roman" w:cs="Times New Roman"/>
          <w:i/>
          <w:iCs/>
          <w:lang w:val="en-US"/>
        </w:rPr>
        <w:t>p=</w:t>
      </w:r>
      <w:r w:rsidR="00AE177E" w:rsidRPr="000D464A">
        <w:rPr>
          <w:rFonts w:ascii="Times New Roman" w:hAnsi="Times New Roman" w:cs="Times New Roman"/>
          <w:lang w:val="en-US"/>
        </w:rPr>
        <w:t xml:space="preserve">0.05, </w:t>
      </w:r>
      <w:r w:rsidR="00AE177E" w:rsidRPr="000D464A">
        <w:rPr>
          <w:rFonts w:ascii="Times New Roman" w:hAnsi="Times New Roman" w:cs="Times New Roman"/>
          <w:i/>
          <w:iCs/>
          <w:lang w:val="en-US"/>
        </w:rPr>
        <w:t>η</w:t>
      </w:r>
      <w:r w:rsidR="00AE177E" w:rsidRPr="000D464A">
        <w:rPr>
          <w:rFonts w:ascii="Times New Roman" w:hAnsi="Times New Roman" w:cs="Times New Roman"/>
          <w:i/>
          <w:iCs/>
          <w:vertAlign w:val="subscript"/>
          <w:lang w:val="en-US"/>
        </w:rPr>
        <w:t>p</w:t>
      </w:r>
      <w:r w:rsidR="00AE177E" w:rsidRPr="000D464A"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 w:rsidR="00AE177E" w:rsidRPr="000D464A">
        <w:rPr>
          <w:rFonts w:ascii="Times New Roman" w:hAnsi="Times New Roman" w:cs="Times New Roman"/>
          <w:lang w:val="en-US"/>
        </w:rPr>
        <w:t xml:space="preserve">=0.05. </w:t>
      </w:r>
    </w:p>
    <w:p w:rsidR="00AF0D47" w:rsidRPr="000D464A" w:rsidRDefault="00AF0D47">
      <w:pPr>
        <w:spacing w:after="0" w:line="480" w:lineRule="auto"/>
        <w:rPr>
          <w:rFonts w:ascii="Times New Roman" w:eastAsia="Trebuchet MS" w:hAnsi="Times New Roman" w:cs="Times New Roman"/>
          <w:i/>
          <w:iCs/>
          <w:lang w:val="en-US"/>
        </w:rPr>
      </w:pPr>
    </w:p>
    <w:p w:rsidR="00AF0D47" w:rsidRPr="000D464A" w:rsidRDefault="00BA224C">
      <w:pPr>
        <w:spacing w:after="0" w:line="480" w:lineRule="auto"/>
        <w:rPr>
          <w:rFonts w:ascii="Times New Roman" w:eastAsia="Trebuchet MS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 w:rsidR="0016643A">
        <w:rPr>
          <w:rFonts w:ascii="Times New Roman" w:hAnsi="Times New Roman" w:cs="Times New Roman"/>
          <w:lang w:val="en-US"/>
        </w:rPr>
        <w:t xml:space="preserve"> 5</w:t>
      </w:r>
      <w:r w:rsidR="00AE177E" w:rsidRPr="000D464A">
        <w:rPr>
          <w:rFonts w:ascii="Times New Roman" w:hAnsi="Times New Roman" w:cs="Times New Roman"/>
          <w:lang w:val="en-US"/>
        </w:rPr>
        <w:t>: Group and condition differences in agency inferences</w:t>
      </w:r>
    </w:p>
    <w:tbl>
      <w:tblPr>
        <w:tblStyle w:val="TableNormal"/>
        <w:tblW w:w="5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5"/>
        <w:gridCol w:w="2900"/>
      </w:tblGrid>
      <w:tr w:rsidR="00AF0D47" w:rsidRPr="000D464A" w:rsidTr="00AE177E">
        <w:trPr>
          <w:trHeight w:val="250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F0D47" w:rsidRPr="000D464A" w:rsidRDefault="00AE177E" w:rsidP="00AE177E">
            <w:pPr>
              <w:spacing w:after="0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results</w:t>
            </w:r>
            <w:proofErr w:type="spellEnd"/>
          </w:p>
        </w:tc>
      </w:tr>
      <w:tr w:rsidR="00AF0D47" w:rsidRPr="000D464A" w:rsidTr="00AE177E">
        <w:trPr>
          <w:trHeight w:val="1407"/>
        </w:trPr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Group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x Group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Condition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Matching x Group x Condition</w:t>
            </w:r>
          </w:p>
        </w:tc>
        <w:tc>
          <w:tcPr>
            <w:tcW w:w="28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2.44,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=0.12,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=0.02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14.34,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p&lt;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0.001,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=0.11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249.61,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&lt;0.001,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=0.69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0.008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=0.93,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7.55,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=0.007,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=0.06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97.59,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&lt;0.001,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=0.46</w:t>
            </w:r>
          </w:p>
          <w:p w:rsidR="00AF0D47" w:rsidRPr="000D464A" w:rsidRDefault="00AE1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(1,115)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=</w:t>
            </w:r>
            <w:r w:rsidRPr="000D46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3.51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 xml:space="preserve">=0.06, 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η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  <w:lang w:val="en-US"/>
              </w:rPr>
              <w:t>p</w:t>
            </w:r>
            <w:r w:rsidRPr="000D464A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Pr="000D464A">
              <w:rPr>
                <w:rFonts w:ascii="Times New Roman" w:hAnsi="Times New Roman" w:cs="Times New Roman"/>
                <w:sz w:val="18"/>
                <w:szCs w:val="18"/>
              </w:rPr>
              <w:t>=0.03</w:t>
            </w:r>
          </w:p>
        </w:tc>
      </w:tr>
    </w:tbl>
    <w:p w:rsidR="00AF0D47" w:rsidRPr="000D464A" w:rsidRDefault="00AF0D47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:rsid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:rsid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:rsid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:rsid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:rsid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</w:p>
    <w:p w:rsidR="00AF0D47" w:rsidRPr="007C3738" w:rsidRDefault="007C3738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References</w:t>
      </w:r>
    </w:p>
    <w:p w:rsidR="007C3738" w:rsidRPr="00B427B3" w:rsidRDefault="007C3738" w:rsidP="007C3738">
      <w:pPr>
        <w:widowControl w:val="0"/>
        <w:autoSpaceDE w:val="0"/>
        <w:autoSpaceDN w:val="0"/>
        <w:adjustRightInd w:val="0"/>
        <w:spacing w:before="100" w:after="100" w:line="240" w:lineRule="auto"/>
        <w:ind w:left="640" w:hanging="640"/>
        <w:rPr>
          <w:rFonts w:ascii="Times New Roman" w:hAnsi="Times New Roman" w:cs="Times New Roman"/>
          <w:noProof/>
          <w:szCs w:val="24"/>
        </w:rPr>
      </w:pPr>
      <w:r w:rsidRPr="00B427B3">
        <w:rPr>
          <w:rFonts w:ascii="Times New Roman" w:hAnsi="Times New Roman" w:cs="Times New Roman"/>
          <w:noProof/>
          <w:szCs w:val="24"/>
        </w:rPr>
        <w:t>[17]</w:t>
      </w:r>
      <w:r w:rsidRPr="00B427B3">
        <w:rPr>
          <w:rFonts w:ascii="Times New Roman" w:hAnsi="Times New Roman" w:cs="Times New Roman"/>
          <w:noProof/>
          <w:szCs w:val="24"/>
        </w:rPr>
        <w:tab/>
        <w:t xml:space="preserve">Renes RA, Vermeulen L, Kahn RS, Aarts H, van Haren NEM. </w:t>
      </w:r>
      <w:r w:rsidRPr="007C3738">
        <w:rPr>
          <w:rFonts w:ascii="Times New Roman" w:hAnsi="Times New Roman" w:cs="Times New Roman"/>
          <w:noProof/>
          <w:szCs w:val="24"/>
          <w:lang w:val="en-US"/>
        </w:rPr>
        <w:t xml:space="preserve">Abnormalities in the establishment of feeling of self-agency in schizophrenia. </w:t>
      </w:r>
      <w:r w:rsidRPr="00B427B3">
        <w:rPr>
          <w:rFonts w:ascii="Times New Roman" w:hAnsi="Times New Roman" w:cs="Times New Roman"/>
          <w:noProof/>
          <w:szCs w:val="24"/>
        </w:rPr>
        <w:t>Schizophr Res 2013;143:50–4. doi:10.1016/j.schres.2012.10.024.</w:t>
      </w:r>
    </w:p>
    <w:p w:rsidR="007C3738" w:rsidRPr="00B427B3" w:rsidRDefault="007C3738" w:rsidP="007C3738">
      <w:pPr>
        <w:widowControl w:val="0"/>
        <w:autoSpaceDE w:val="0"/>
        <w:autoSpaceDN w:val="0"/>
        <w:adjustRightInd w:val="0"/>
        <w:spacing w:before="100" w:after="100" w:line="240" w:lineRule="auto"/>
        <w:ind w:left="640" w:hanging="640"/>
        <w:rPr>
          <w:rFonts w:ascii="Times New Roman" w:hAnsi="Times New Roman" w:cs="Times New Roman"/>
          <w:noProof/>
          <w:szCs w:val="24"/>
        </w:rPr>
      </w:pPr>
      <w:r w:rsidRPr="00B427B3">
        <w:rPr>
          <w:rFonts w:ascii="Times New Roman" w:hAnsi="Times New Roman" w:cs="Times New Roman"/>
          <w:noProof/>
          <w:szCs w:val="24"/>
        </w:rPr>
        <w:t>[18]</w:t>
      </w:r>
      <w:r w:rsidRPr="00B427B3">
        <w:rPr>
          <w:rFonts w:ascii="Times New Roman" w:hAnsi="Times New Roman" w:cs="Times New Roman"/>
          <w:noProof/>
          <w:szCs w:val="24"/>
        </w:rPr>
        <w:tab/>
        <w:t xml:space="preserve">Renes RA, van der Weiden A, Prikken M, Kahn RS, Aarts H, van Haren NEM. </w:t>
      </w:r>
      <w:r w:rsidRPr="007C3738">
        <w:rPr>
          <w:rFonts w:ascii="Times New Roman" w:hAnsi="Times New Roman" w:cs="Times New Roman"/>
          <w:noProof/>
          <w:szCs w:val="24"/>
          <w:lang w:val="en-US"/>
        </w:rPr>
        <w:t xml:space="preserve">Abnormalities in the experience of self-agency in schizophrenia: A replication study. </w:t>
      </w:r>
      <w:r w:rsidRPr="00B427B3">
        <w:rPr>
          <w:rFonts w:ascii="Times New Roman" w:hAnsi="Times New Roman" w:cs="Times New Roman"/>
          <w:noProof/>
          <w:szCs w:val="24"/>
        </w:rPr>
        <w:t>Schizophr Res 2015;164:210–3. doi:10.1016/j.schres.2015.03.015.</w:t>
      </w:r>
    </w:p>
    <w:p w:rsidR="00AF0D47" w:rsidRPr="000D464A" w:rsidRDefault="00AF0D47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F0D47" w:rsidRPr="000D464A" w:rsidRDefault="00AF0D47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F0D47" w:rsidRPr="000D464A" w:rsidRDefault="00AF0D47">
      <w:pPr>
        <w:spacing w:after="0" w:line="480" w:lineRule="auto"/>
        <w:rPr>
          <w:rFonts w:ascii="Times New Roman" w:hAnsi="Times New Roman" w:cs="Times New Roman"/>
        </w:rPr>
      </w:pPr>
    </w:p>
    <w:sectPr w:rsidR="00AF0D47" w:rsidRPr="000D464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C7" w:rsidRDefault="00AE177E">
      <w:pPr>
        <w:spacing w:after="0" w:line="240" w:lineRule="auto"/>
      </w:pPr>
      <w:r>
        <w:separator/>
      </w:r>
    </w:p>
  </w:endnote>
  <w:endnote w:type="continuationSeparator" w:id="0">
    <w:p w:rsidR="006E0BC7" w:rsidRDefault="00AE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47" w:rsidRDefault="00AF0D47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C7" w:rsidRDefault="00AE177E">
      <w:pPr>
        <w:spacing w:after="0" w:line="240" w:lineRule="auto"/>
      </w:pPr>
      <w:r>
        <w:separator/>
      </w:r>
    </w:p>
  </w:footnote>
  <w:footnote w:type="continuationSeparator" w:id="0">
    <w:p w:rsidR="006E0BC7" w:rsidRDefault="00AE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47" w:rsidRDefault="00AF0D4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0D47"/>
    <w:rsid w:val="000D464A"/>
    <w:rsid w:val="0016643A"/>
    <w:rsid w:val="0051149E"/>
    <w:rsid w:val="006E0BC7"/>
    <w:rsid w:val="007C3738"/>
    <w:rsid w:val="00AE177E"/>
    <w:rsid w:val="00AF0D47"/>
    <w:rsid w:val="00BA224C"/>
    <w:rsid w:val="00D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28369C47</Template>
  <TotalTime>3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Prikken, M.</dc:creator>
  <cp:lastModifiedBy>Prikken, M.</cp:lastModifiedBy>
  <cp:revision>5</cp:revision>
  <dcterms:created xsi:type="dcterms:W3CDTF">2017-08-10T11:29:00Z</dcterms:created>
  <dcterms:modified xsi:type="dcterms:W3CDTF">2017-08-27T06:40:00Z</dcterms:modified>
</cp:coreProperties>
</file>