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94" w:rsidRPr="00276C94" w:rsidRDefault="00276C94" w:rsidP="00276C94">
      <w:pPr>
        <w:rPr>
          <w:sz w:val="28"/>
        </w:rPr>
      </w:pPr>
      <w:bookmarkStart w:id="0" w:name="_GoBack"/>
      <w:bookmarkEnd w:id="0"/>
      <w:r w:rsidRPr="00276C94">
        <w:rPr>
          <w:sz w:val="28"/>
        </w:rPr>
        <w:t>Detailed description of neuropsychological tasks</w:t>
      </w:r>
    </w:p>
    <w:p w:rsidR="00276C94" w:rsidRDefault="00276C94" w:rsidP="00276C94">
      <w:r>
        <w:t xml:space="preserve">The CPT is a computerized task that measures selective attention, sustained attention and impulsivity </w:t>
      </w:r>
      <w:r>
        <w:fldChar w:fldCharType="begin"/>
      </w:r>
      <w:r>
        <w:instrText xml:space="preserve"> ADDIN EN.CITE &lt;EndNote&gt;&lt;Cite&gt;&lt;Author&gt;Knye&lt;/Author&gt;&lt;Year&gt;2003&lt;/Year&gt;&lt;RecNum&gt;23&lt;/RecNum&gt;&lt;DisplayText&gt;[1]&lt;/DisplayText&gt;&lt;record&gt;&lt;rec-number&gt;23&lt;/rec-number&gt;&lt;foreign-keys&gt;&lt;key app="EN" db-id="tzpvxr2wmpzer9efax6x0x56vazvsvss0x2t" timestamp="1486306304"&gt;23&lt;/key&gt;&lt;/foreign-keys&gt;&lt;ref-type name="Journal Article"&gt;17&lt;/ref-type&gt;&lt;contributors&gt;&lt;authors&gt;&lt;author&gt;Knye, M&lt;/author&gt;&lt;author&gt;Roth, N&lt;/author&gt;&lt;author&gt;Westhus, W&lt;/author&gt;&lt;author&gt;Heine, A&lt;/author&gt;&lt;/authors&gt;&lt;/contributors&gt;&lt;titles&gt;&lt;title&gt;Continuous Performance Test (CPT)&lt;/title&gt;&lt;secondary-title&gt;Göttingen, Hogrefe&lt;/secondary-title&gt;&lt;/titles&gt;&lt;periodical&gt;&lt;full-title&gt;Göttingen, Hogrefe&lt;/full-title&gt;&lt;/periodical&gt;&lt;dates&gt;&lt;year&gt;2003&lt;/year&gt;&lt;/dates&gt;&lt;urls&gt;&lt;/urls&gt;&lt;/record&gt;&lt;/Cite&gt;&lt;/EndNote&gt;</w:instrText>
      </w:r>
      <w:r>
        <w:fldChar w:fldCharType="separate"/>
      </w:r>
      <w:r>
        <w:rPr>
          <w:noProof/>
        </w:rPr>
        <w:t>[1]</w:t>
      </w:r>
      <w:r>
        <w:fldChar w:fldCharType="end"/>
      </w:r>
      <w:r>
        <w:t xml:space="preserve">. Five letters </w:t>
      </w:r>
      <w:r w:rsidRPr="0058192A">
        <w:t xml:space="preserve">(i.e., H, O, T, X, and Z) </w:t>
      </w:r>
      <w:r>
        <w:t xml:space="preserve">are consecutively displayed on the screen </w:t>
      </w:r>
      <w:r w:rsidRPr="00221D2B">
        <w:t xml:space="preserve">for 200 </w:t>
      </w:r>
      <w:proofErr w:type="spellStart"/>
      <w:r w:rsidRPr="00221D2B">
        <w:t>ms</w:t>
      </w:r>
      <w:proofErr w:type="spellEnd"/>
      <w:r w:rsidRPr="00221D2B">
        <w:t xml:space="preserve"> with inter-stimulus intervals of 2000 </w:t>
      </w:r>
      <w:proofErr w:type="spellStart"/>
      <w:r w:rsidRPr="00221D2B">
        <w:t>ms</w:t>
      </w:r>
      <w:proofErr w:type="spellEnd"/>
      <w:r>
        <w:t xml:space="preserve"> and</w:t>
      </w:r>
      <w:r w:rsidRPr="00221D2B">
        <w:t xml:space="preserve"> in pseudorandomized </w:t>
      </w:r>
      <w:r>
        <w:t xml:space="preserve">order. Subjects are asked to press a button whenever the letter O is followed by the letter X. In total, </w:t>
      </w:r>
      <w:r w:rsidRPr="00221D2B">
        <w:t xml:space="preserve">400 stimulus sequences </w:t>
      </w:r>
      <w:r>
        <w:t>are presented over a period of 15 minutes. Of these,</w:t>
      </w:r>
      <w:r w:rsidRPr="00221D2B">
        <w:t xml:space="preserve"> 200</w:t>
      </w:r>
      <w:r>
        <w:t xml:space="preserve"> are</w:t>
      </w:r>
      <w:r w:rsidRPr="00221D2B">
        <w:t xml:space="preserve"> irrelevant sequences (i.e., neither O nor X), 100 </w:t>
      </w:r>
      <w:r>
        <w:t xml:space="preserve">are </w:t>
      </w:r>
      <w:r w:rsidRPr="00221D2B">
        <w:t xml:space="preserve">non-target sequences (i.e., O followed by another letter than X), and 100 </w:t>
      </w:r>
      <w:r>
        <w:t xml:space="preserve">are </w:t>
      </w:r>
      <w:r w:rsidRPr="00221D2B">
        <w:t>target sequences</w:t>
      </w:r>
      <w:r>
        <w:t xml:space="preserve">. </w:t>
      </w:r>
      <w:r w:rsidRPr="00BD5CAB">
        <w:t>The number of missing responses despite target-sequence presentation (</w:t>
      </w:r>
      <w:r>
        <w:t xml:space="preserve">i.e. </w:t>
      </w:r>
      <w:r w:rsidRPr="00BD5CAB">
        <w:t xml:space="preserve">omission errors) </w:t>
      </w:r>
      <w:r>
        <w:t>is an indicator</w:t>
      </w:r>
      <w:r w:rsidRPr="00065C82">
        <w:t xml:space="preserve"> </w:t>
      </w:r>
      <w:r w:rsidRPr="00BD5CAB">
        <w:t>of sustained and selective attention</w:t>
      </w:r>
      <w:r>
        <w:t xml:space="preserve">, whereas </w:t>
      </w:r>
      <w:r w:rsidRPr="00BD5CAB">
        <w:t>the number of erroneous responses to irrelevant and non-target sequences (</w:t>
      </w:r>
      <w:r>
        <w:t xml:space="preserve">i.e. </w:t>
      </w:r>
      <w:r w:rsidRPr="00BD5CAB">
        <w:t xml:space="preserve">commission errors) </w:t>
      </w:r>
      <w:r>
        <w:t>is an indicator</w:t>
      </w:r>
      <w:r w:rsidRPr="00BD5CAB">
        <w:t xml:space="preserve"> </w:t>
      </w:r>
      <w:r>
        <w:t>of</w:t>
      </w:r>
      <w:r w:rsidRPr="00BD5CAB">
        <w:t xml:space="preserve"> impulsivity</w:t>
      </w:r>
      <w:r>
        <w:t xml:space="preserve"> </w:t>
      </w:r>
      <w:r>
        <w:fldChar w:fldCharType="begin"/>
      </w:r>
      <w:r>
        <w:instrText xml:space="preserve"> ADDIN EN.CITE &lt;EndNote&gt;&lt;Cite&gt;&lt;Author&gt;Knye&lt;/Author&gt;&lt;Year&gt;2003&lt;/Year&gt;&lt;RecNum&gt;23&lt;/RecNum&gt;&lt;DisplayText&gt;[1]&lt;/DisplayText&gt;&lt;record&gt;&lt;rec-number&gt;23&lt;/rec-number&gt;&lt;foreign-keys&gt;&lt;key app="EN" db-id="tzpvxr2wmpzer9efax6x0x56vazvsvss0x2t" timestamp="1486306304"&gt;23&lt;/key&gt;&lt;/foreign-keys&gt;&lt;ref-type name="Journal Article"&gt;17&lt;/ref-type&gt;&lt;contributors&gt;&lt;authors&gt;&lt;author&gt;Knye, M&lt;/author&gt;&lt;author&gt;Roth, N&lt;/author&gt;&lt;author&gt;Westhus, W&lt;/author&gt;&lt;author&gt;Heine, A&lt;/author&gt;&lt;/authors&gt;&lt;/contributors&gt;&lt;titles&gt;&lt;title&gt;Continuous Performance Test (CPT)&lt;/title&gt;&lt;secondary-title&gt;Göttingen, Hogrefe&lt;/secondary-title&gt;&lt;/titles&gt;&lt;periodical&gt;&lt;full-title&gt;Göttingen, Hogrefe&lt;/full-title&gt;&lt;/periodical&gt;&lt;dates&gt;&lt;year&gt;2003&lt;/year&gt;&lt;/dates&gt;&lt;urls&gt;&lt;/urls&gt;&lt;/record&gt;&lt;/Cite&gt;&lt;/EndNote&gt;</w:instrText>
      </w:r>
      <w:r>
        <w:fldChar w:fldCharType="separate"/>
      </w:r>
      <w:r>
        <w:rPr>
          <w:noProof/>
        </w:rPr>
        <w:t>[1]</w:t>
      </w:r>
      <w:r>
        <w:fldChar w:fldCharType="end"/>
      </w:r>
      <w:r>
        <w:t xml:space="preserve">. </w:t>
      </w:r>
      <w:r w:rsidRPr="00065C82">
        <w:t xml:space="preserve">Furthermore, the </w:t>
      </w:r>
      <w:r>
        <w:t xml:space="preserve">mean </w:t>
      </w:r>
      <w:r w:rsidRPr="00065C82">
        <w:t xml:space="preserve">latency between target-sequence presentation and the according (correct) response (response time) </w:t>
      </w:r>
      <w:r>
        <w:t>is a</w:t>
      </w:r>
      <w:r w:rsidRPr="00065C82">
        <w:t xml:space="preserve"> measure of the time required to provide a correct response</w:t>
      </w:r>
      <w:r>
        <w:t>.</w:t>
      </w:r>
    </w:p>
    <w:p w:rsidR="00276C94" w:rsidRDefault="00276C94" w:rsidP="00276C94">
      <w:r>
        <w:t xml:space="preserve">The CVLT is one of the most widely used tests for assessing episodic verbal learning and memory. First, a shopping list of 16 items (list A, Monday list) is read aloud to the test subject over 5 learning trials. After each trial, subjects are asked to name as many items as possible. Then, another shopping list of 16 items (list B, Tuesday list) is presented and subjects are asked to name as many items as possible from the Tuesday list. After this interference, subjects are again asked to name as many items as possible from the Monday list, first freely (i.e. short delay free recall) and then category wise (i.e. short delay cued recall). After 20 minutes, subjects are again asked to name as many items from the Monday list, first freely (i.e. long delay free recall) and then category wise (i.e. long delay cued recall). Finally, a list of 44 </w:t>
      </w:r>
      <w:r>
        <w:lastRenderedPageBreak/>
        <w:t>shopping items is presented to the subjects. For each item, subjects have to say whether it belongs to the Monday list (i.e. recognition).</w:t>
      </w:r>
    </w:p>
    <w:p w:rsidR="00276C94" w:rsidRDefault="00276C94" w:rsidP="00276C94">
      <w:r w:rsidRPr="009E2284">
        <w:t xml:space="preserve">The ToH </w:t>
      </w:r>
      <w:r w:rsidRPr="00E14A64">
        <w:t>is a problem-solving task that requires working memory, planning, and inhibition</w:t>
      </w:r>
      <w:r>
        <w:t xml:space="preserve"> </w:t>
      </w:r>
      <w:r>
        <w:fldChar w:fldCharType="begin"/>
      </w:r>
      <w:r>
        <w:instrText xml:space="preserve"> ADDIN EN.CITE &lt;EndNote&gt;&lt;Cite&gt;&lt;Author&gt;Welsh&lt;/Author&gt;&lt;Year&gt;1999&lt;/Year&gt;&lt;RecNum&gt;63&lt;/RecNum&gt;&lt;DisplayText&gt;[2]&lt;/DisplayText&gt;&lt;record&gt;&lt;rec-number&gt;63&lt;/rec-number&gt;&lt;foreign-keys&gt;&lt;key app="EN" db-id="tzpvxr2wmpzer9efax6x0x56vazvsvss0x2t" timestamp="1490018921"&gt;63&lt;/key&gt;&lt;/foreign-keys&gt;&lt;ref-type name="Journal Article"&gt;17&lt;/ref-type&gt;&lt;contributors&gt;&lt;authors&gt;&lt;author&gt;Welsh, M. C.&lt;/author&gt;&lt;author&gt;Satterlee-Cartmell, T.&lt;/author&gt;&lt;author&gt;Stine, M.&lt;/author&gt;&lt;/authors&gt;&lt;/contributors&gt;&lt;auth-address&gt;Department of Psychology, University of Northern Colorado, Greeley 80639, USA.&lt;/auth-address&gt;&lt;titles&gt;&lt;title&gt;Towers of Hanoi and London: contribution of working memory and inhibition to performance&lt;/title&gt;&lt;secondary-title&gt;Brain Cogn&lt;/secondary-title&gt;&lt;alt-title&gt;Brain and cognition&lt;/alt-title&gt;&lt;/titles&gt;&lt;periodical&gt;&lt;full-title&gt;Brain Cogn&lt;/full-title&gt;&lt;abbr-1&gt;Brain and cognition&lt;/abbr-1&gt;&lt;/periodical&gt;&lt;alt-periodical&gt;&lt;full-title&gt;Brain Cogn&lt;/full-title&gt;&lt;abbr-1&gt;Brain and cognition&lt;/abbr-1&gt;&lt;/alt-periodical&gt;&lt;pages&gt;231-42&lt;/pages&gt;&lt;volume&gt;41&lt;/volume&gt;&lt;number&gt;2&lt;/number&gt;&lt;keywords&gt;&lt;keyword&gt;Adult&lt;/keyword&gt;&lt;keyword&gt;Female&lt;/keyword&gt;&lt;keyword&gt;Frontal Lobe/*physiology&lt;/keyword&gt;&lt;keyword&gt;Humans&lt;/keyword&gt;&lt;keyword&gt;*Inhibition (Psychology)&lt;/keyword&gt;&lt;keyword&gt;Male&lt;/keyword&gt;&lt;keyword&gt;Memory/*physiology&lt;/keyword&gt;&lt;keyword&gt;Psychomotor Performance/*physiology&lt;/keyword&gt;&lt;keyword&gt;Visual Perception/physiology&lt;/keyword&gt;&lt;/keywords&gt;&lt;dates&gt;&lt;year&gt;1999&lt;/year&gt;&lt;pub-dates&gt;&lt;date&gt;Nov&lt;/date&gt;&lt;/pub-dates&gt;&lt;/dates&gt;&lt;isbn&gt;0278-2626 (Print)&amp;#xD;0278-2626 (Linking)&lt;/isbn&gt;&lt;accession-num&gt;10590821&lt;/accession-num&gt;&lt;urls&gt;&lt;related-urls&gt;&lt;url&gt;http://www.ncbi.nlm.nih.gov/pubmed/10590821&lt;/url&gt;&lt;/related-urls&gt;&lt;/urls&gt;&lt;electronic-resource-num&gt;10.1006/brcg.1999.1123&lt;/electronic-resource-num&gt;&lt;/record&gt;&lt;/Cite&gt;&lt;/EndNote&gt;</w:instrText>
      </w:r>
      <w:r>
        <w:fldChar w:fldCharType="separate"/>
      </w:r>
      <w:r>
        <w:rPr>
          <w:noProof/>
        </w:rPr>
        <w:t>[2]</w:t>
      </w:r>
      <w:r>
        <w:fldChar w:fldCharType="end"/>
      </w:r>
      <w:r>
        <w:t xml:space="preserve">. Subjects are asked to move stacks of four and five discs of graduated size from the left side of a three-peg stand to the right side using the following rules: A larger disc cannot be placed on a smaller disc and only one disc can be moved at a time. The performance in this task is measured by 1) the number of moves and 2) the time in seconds needed for completion of the task. </w:t>
      </w:r>
    </w:p>
    <w:p w:rsidR="00276C94" w:rsidRDefault="00276C94"/>
    <w:p w:rsidR="00276C94" w:rsidRDefault="00276C94"/>
    <w:p w:rsidR="00276C94" w:rsidRPr="00276C94" w:rsidRDefault="00276C94" w:rsidP="00276C94">
      <w:pPr>
        <w:pStyle w:val="EndNoteBibliography"/>
        <w:spacing w:after="0"/>
      </w:pPr>
      <w:r>
        <w:fldChar w:fldCharType="begin"/>
      </w:r>
      <w:r>
        <w:instrText xml:space="preserve"> ADDIN EN.REFLIST </w:instrText>
      </w:r>
      <w:r>
        <w:fldChar w:fldCharType="separate"/>
      </w:r>
      <w:r w:rsidRPr="00276C94">
        <w:t>[1] Knye M, Roth N, Westhus W, Heine A. Continuous Performance Test (CPT). Göttingen, Hogrefe. 2003.</w:t>
      </w:r>
    </w:p>
    <w:p w:rsidR="00276C94" w:rsidRPr="00276C94" w:rsidRDefault="00276C94" w:rsidP="00276C94">
      <w:pPr>
        <w:pStyle w:val="EndNoteBibliography"/>
      </w:pPr>
      <w:r w:rsidRPr="00276C94">
        <w:t>[2] Welsh MC, Satterlee-Cartmell T, Stine M. Towers of Hanoi and London: contribution of working memory and inhibition to performance. Brain and cognition. 1999;41:231-42.</w:t>
      </w:r>
    </w:p>
    <w:p w:rsidR="0057022D" w:rsidRDefault="00276C94">
      <w:r>
        <w:fldChar w:fldCharType="end"/>
      </w:r>
    </w:p>
    <w:sectPr w:rsidR="00570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Euro Psychiat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76C94"/>
    <w:rsid w:val="00276C94"/>
    <w:rsid w:val="005702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6C94"/>
    <w:pPr>
      <w:spacing w:after="120" w:line="480" w:lineRule="auto"/>
      <w:jc w:val="both"/>
    </w:pPr>
    <w:rPr>
      <w:rFonts w:ascii="Arial" w:eastAsia="Calibri" w:hAnsi="Arial" w:cs="Arial"/>
      <w:sz w:val="24"/>
      <w:szCs w:val="20"/>
      <w:lang w:val="en-C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Zchn"/>
    <w:rsid w:val="00276C94"/>
    <w:pPr>
      <w:spacing w:after="0"/>
      <w:jc w:val="center"/>
    </w:pPr>
    <w:rPr>
      <w:noProof/>
      <w:lang w:val="en-US"/>
    </w:rPr>
  </w:style>
  <w:style w:type="character" w:customStyle="1" w:styleId="EndNoteBibliographyTitleZchn">
    <w:name w:val="EndNote Bibliography Title Zchn"/>
    <w:basedOn w:val="Absatz-Standardschriftart"/>
    <w:link w:val="EndNoteBibliographyTitle"/>
    <w:rsid w:val="00276C94"/>
    <w:rPr>
      <w:rFonts w:ascii="Arial" w:eastAsia="Calibri" w:hAnsi="Arial" w:cs="Arial"/>
      <w:noProof/>
      <w:sz w:val="24"/>
      <w:szCs w:val="20"/>
      <w:lang w:val="en-US"/>
    </w:rPr>
  </w:style>
  <w:style w:type="paragraph" w:customStyle="1" w:styleId="EndNoteBibliography">
    <w:name w:val="EndNote Bibliography"/>
    <w:basedOn w:val="Standard"/>
    <w:link w:val="EndNoteBibliographyZchn"/>
    <w:rsid w:val="00276C94"/>
    <w:pPr>
      <w:spacing w:line="240" w:lineRule="auto"/>
    </w:pPr>
    <w:rPr>
      <w:noProof/>
      <w:lang w:val="en-US"/>
    </w:rPr>
  </w:style>
  <w:style w:type="character" w:customStyle="1" w:styleId="EndNoteBibliographyZchn">
    <w:name w:val="EndNote Bibliography Zchn"/>
    <w:basedOn w:val="Absatz-Standardschriftart"/>
    <w:link w:val="EndNoteBibliography"/>
    <w:rsid w:val="00276C94"/>
    <w:rPr>
      <w:rFonts w:ascii="Arial" w:eastAsia="Calibri" w:hAnsi="Arial" w:cs="Arial"/>
      <w:noProof/>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6C94"/>
    <w:pPr>
      <w:spacing w:after="120" w:line="480" w:lineRule="auto"/>
      <w:jc w:val="both"/>
    </w:pPr>
    <w:rPr>
      <w:rFonts w:ascii="Arial" w:eastAsia="Calibri" w:hAnsi="Arial" w:cs="Arial"/>
      <w:sz w:val="24"/>
      <w:szCs w:val="20"/>
      <w:lang w:val="en-C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Zchn"/>
    <w:rsid w:val="00276C94"/>
    <w:pPr>
      <w:spacing w:after="0"/>
      <w:jc w:val="center"/>
    </w:pPr>
    <w:rPr>
      <w:noProof/>
      <w:lang w:val="en-US"/>
    </w:rPr>
  </w:style>
  <w:style w:type="character" w:customStyle="1" w:styleId="EndNoteBibliographyTitleZchn">
    <w:name w:val="EndNote Bibliography Title Zchn"/>
    <w:basedOn w:val="Absatz-Standardschriftart"/>
    <w:link w:val="EndNoteBibliographyTitle"/>
    <w:rsid w:val="00276C94"/>
    <w:rPr>
      <w:rFonts w:ascii="Arial" w:eastAsia="Calibri" w:hAnsi="Arial" w:cs="Arial"/>
      <w:noProof/>
      <w:sz w:val="24"/>
      <w:szCs w:val="20"/>
      <w:lang w:val="en-US"/>
    </w:rPr>
  </w:style>
  <w:style w:type="paragraph" w:customStyle="1" w:styleId="EndNoteBibliography">
    <w:name w:val="EndNote Bibliography"/>
    <w:basedOn w:val="Standard"/>
    <w:link w:val="EndNoteBibliographyZchn"/>
    <w:rsid w:val="00276C94"/>
    <w:pPr>
      <w:spacing w:line="240" w:lineRule="auto"/>
    </w:pPr>
    <w:rPr>
      <w:noProof/>
      <w:lang w:val="en-US"/>
    </w:rPr>
  </w:style>
  <w:style w:type="character" w:customStyle="1" w:styleId="EndNoteBibliographyZchn">
    <w:name w:val="EndNote Bibliography Zchn"/>
    <w:basedOn w:val="Absatz-Standardschriftart"/>
    <w:link w:val="EndNoteBibliography"/>
    <w:rsid w:val="00276C94"/>
    <w:rPr>
      <w:rFonts w:ascii="Arial" w:eastAsia="Calibri" w:hAnsi="Arial" w:cs="Arial"/>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UPK</dc:creator>
  <cp:lastModifiedBy>UPK</cp:lastModifiedBy>
  <cp:revision>1</cp:revision>
  <dcterms:created xsi:type="dcterms:W3CDTF">2018-01-17T09:59:00Z</dcterms:created>
  <dcterms:modified xsi:type="dcterms:W3CDTF">2018-01-17T10:04:00Z</dcterms:modified>
</cp:coreProperties>
</file>