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49" w:rsidRPr="004A7290" w:rsidRDefault="00EF2D49" w:rsidP="00EF2D49">
      <w:pPr>
        <w:rPr>
          <w:b/>
          <w:sz w:val="24"/>
          <w:szCs w:val="24"/>
        </w:rPr>
      </w:pPr>
      <w:bookmarkStart w:id="0" w:name="_GoBack"/>
      <w:bookmarkEnd w:id="0"/>
      <w:r w:rsidRPr="004A7290">
        <w:rPr>
          <w:b/>
          <w:sz w:val="24"/>
          <w:szCs w:val="24"/>
        </w:rPr>
        <w:t>Supplementary material</w:t>
      </w:r>
    </w:p>
    <w:p w:rsidR="00EF2D49" w:rsidRPr="00ED1B9B" w:rsidRDefault="00EF2D49" w:rsidP="00EF2D49">
      <w:pPr>
        <w:rPr>
          <w:b/>
          <w:sz w:val="24"/>
          <w:szCs w:val="24"/>
        </w:rPr>
      </w:pPr>
      <w:proofErr w:type="gramStart"/>
      <w:r w:rsidRPr="00ED1B9B">
        <w:rPr>
          <w:b/>
          <w:sz w:val="24"/>
          <w:szCs w:val="24"/>
        </w:rPr>
        <w:t>Supplementary Table 1.</w:t>
      </w:r>
      <w:proofErr w:type="gramEnd"/>
      <w:r w:rsidRPr="00ED1B9B">
        <w:rPr>
          <w:b/>
          <w:sz w:val="24"/>
          <w:szCs w:val="24"/>
        </w:rPr>
        <w:t xml:space="preserve"> Table of search terms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017"/>
      </w:tblGrid>
      <w:tr w:rsidR="00EF2D49" w:rsidRPr="00F37551" w:rsidTr="00E75CF7">
        <w:tc>
          <w:tcPr>
            <w:tcW w:w="2268" w:type="dxa"/>
          </w:tcPr>
          <w:p w:rsidR="00EF2D49" w:rsidRPr="009A41B0" w:rsidRDefault="00EF2D49" w:rsidP="00E75CF7">
            <w:pPr>
              <w:rPr>
                <w:b/>
              </w:rPr>
            </w:pPr>
            <w:r>
              <w:rPr>
                <w:b/>
              </w:rPr>
              <w:t>Areas</w:t>
            </w:r>
            <w:r w:rsidRPr="009A41B0">
              <w:rPr>
                <w:b/>
              </w:rPr>
              <w:t xml:space="preserve"> of Interest</w:t>
            </w:r>
          </w:p>
        </w:tc>
        <w:tc>
          <w:tcPr>
            <w:tcW w:w="7200" w:type="dxa"/>
          </w:tcPr>
          <w:p w:rsidR="00EF2D49" w:rsidRPr="009A41B0" w:rsidRDefault="00EF2D49" w:rsidP="00E75CF7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Pr="009A41B0">
              <w:rPr>
                <w:b/>
              </w:rPr>
              <w:t>Search Terms</w:t>
            </w:r>
            <w:r>
              <w:rPr>
                <w:b/>
              </w:rPr>
              <w:t xml:space="preserve"> (as title, abstract, or keyword terms)</w:t>
            </w:r>
          </w:p>
        </w:tc>
      </w:tr>
      <w:tr w:rsidR="00EF2D49" w:rsidRPr="00F37551" w:rsidTr="00E75CF7">
        <w:tc>
          <w:tcPr>
            <w:tcW w:w="2268" w:type="dxa"/>
          </w:tcPr>
          <w:p w:rsidR="00EF2D49" w:rsidRPr="009A41B0" w:rsidRDefault="00EF2D49" w:rsidP="00E75CF7">
            <w:r w:rsidRPr="009A41B0">
              <w:t>ADHD subjects in all countries</w:t>
            </w:r>
          </w:p>
        </w:tc>
        <w:tc>
          <w:tcPr>
            <w:tcW w:w="7200" w:type="dxa"/>
            <w:shd w:val="clear" w:color="auto" w:fill="auto"/>
          </w:tcPr>
          <w:p w:rsidR="00EF2D49" w:rsidRPr="009A41B0" w:rsidRDefault="00EF2D49" w:rsidP="00E75CF7">
            <w:r w:rsidRPr="009A41B0">
              <w:t xml:space="preserve">ADHD </w:t>
            </w:r>
            <w:r>
              <w:t>OR</w:t>
            </w:r>
            <w:r w:rsidRPr="009A41B0">
              <w:t xml:space="preserve"> ADD </w:t>
            </w:r>
            <w:r>
              <w:t>OR</w:t>
            </w:r>
            <w:r w:rsidRPr="009A41B0">
              <w:t xml:space="preserve"> attention deficit </w:t>
            </w:r>
            <w:r>
              <w:t>OR</w:t>
            </w:r>
            <w:r w:rsidRPr="009A41B0">
              <w:t xml:space="preserve"> hyperkine</w:t>
            </w:r>
            <w:r>
              <w:t xml:space="preserve">tic OR </w:t>
            </w:r>
            <w:proofErr w:type="spellStart"/>
            <w:r>
              <w:t>hyperkinesis</w:t>
            </w:r>
            <w:proofErr w:type="spellEnd"/>
            <w:r w:rsidRPr="009A41B0">
              <w:t xml:space="preserve"> </w:t>
            </w:r>
            <w:r>
              <w:t>OR</w:t>
            </w:r>
            <w:r w:rsidRPr="009A41B0">
              <w:t xml:space="preserve"> TDAH </w:t>
            </w:r>
            <w:r>
              <w:t>OR</w:t>
            </w:r>
            <w:r w:rsidRPr="009A41B0">
              <w:t xml:space="preserve"> DAH </w:t>
            </w:r>
            <w:r>
              <w:t>OR</w:t>
            </w:r>
            <w:r w:rsidRPr="009A41B0">
              <w:t xml:space="preserve"> DAA</w:t>
            </w:r>
            <w:r>
              <w:t xml:space="preserve"> OR ADHS</w:t>
            </w:r>
          </w:p>
        </w:tc>
      </w:tr>
      <w:tr w:rsidR="00EF2D49" w:rsidRPr="00F37551" w:rsidTr="00E75CF7">
        <w:tc>
          <w:tcPr>
            <w:tcW w:w="2268" w:type="dxa"/>
          </w:tcPr>
          <w:p w:rsidR="00EF2D49" w:rsidRPr="009A41B0" w:rsidRDefault="00EF2D49" w:rsidP="00E75CF7">
            <w:proofErr w:type="spellStart"/>
            <w:r w:rsidRPr="009A41B0">
              <w:t>Concerta</w:t>
            </w:r>
            <w:proofErr w:type="spellEnd"/>
          </w:p>
        </w:tc>
        <w:tc>
          <w:tcPr>
            <w:tcW w:w="7200" w:type="dxa"/>
          </w:tcPr>
          <w:p w:rsidR="00EF2D49" w:rsidRPr="00B55B82" w:rsidRDefault="00EF2D49" w:rsidP="00E75CF7">
            <w:proofErr w:type="spellStart"/>
            <w:r w:rsidRPr="00B55B82">
              <w:t>Concerta</w:t>
            </w:r>
            <w:proofErr w:type="spellEnd"/>
            <w:r w:rsidRPr="00B55B82">
              <w:t xml:space="preserve"> OR</w:t>
            </w:r>
            <w:r>
              <w:t xml:space="preserve"> </w:t>
            </w:r>
            <w:r w:rsidRPr="00396F5B">
              <w:t>extended release methylphenidate</w:t>
            </w:r>
            <w:r>
              <w:t xml:space="preserve"> OR</w:t>
            </w:r>
            <w:r w:rsidRPr="00B55B82">
              <w:t xml:space="preserve"> methylphenidate extended release OR methylphenidate ER</w:t>
            </w:r>
            <w:r>
              <w:t xml:space="preserve"> OR methylphenidate XR OR MPH ER OR MPH XR</w:t>
            </w:r>
            <w:r w:rsidRPr="00B55B82">
              <w:t xml:space="preserve"> OR</w:t>
            </w:r>
            <w:r>
              <w:t xml:space="preserve"> osmotic-release oral system methylphenidate OR</w:t>
            </w:r>
            <w:r w:rsidRPr="00B55B82">
              <w:t xml:space="preserve"> OROS</w:t>
            </w:r>
            <w:r>
              <w:t xml:space="preserve"> MPH OR OROS methylphenidate OR osmotic-release oral system MPH OR long acting methylphenidate OR methylphenidate LA OR MPH LA OR methylphenidate long acting</w:t>
            </w:r>
          </w:p>
        </w:tc>
      </w:tr>
      <w:tr w:rsidR="00EF2D49" w:rsidRPr="00F37551" w:rsidTr="00E75CF7">
        <w:tc>
          <w:tcPr>
            <w:tcW w:w="2268" w:type="dxa"/>
          </w:tcPr>
          <w:p w:rsidR="00EF2D49" w:rsidRPr="009A41B0" w:rsidRDefault="00EF2D49" w:rsidP="00E75CF7">
            <w:r w:rsidRPr="009A41B0">
              <w:t>Strattera</w:t>
            </w:r>
          </w:p>
        </w:tc>
        <w:tc>
          <w:tcPr>
            <w:tcW w:w="7200" w:type="dxa"/>
          </w:tcPr>
          <w:p w:rsidR="00EF2D49" w:rsidRPr="00F37551" w:rsidRDefault="00EF2D49" w:rsidP="00E75CF7">
            <w:pPr>
              <w:rPr>
                <w:highlight w:val="yellow"/>
              </w:rPr>
            </w:pPr>
            <w:r w:rsidRPr="00B55B82">
              <w:t>Strattera</w:t>
            </w:r>
            <w:r>
              <w:t xml:space="preserve"> OR</w:t>
            </w:r>
            <w:r w:rsidRPr="00B55B82">
              <w:t xml:space="preserve"> </w:t>
            </w:r>
            <w:proofErr w:type="spellStart"/>
            <w:r w:rsidRPr="00B55B82">
              <w:t>atomoxetine</w:t>
            </w:r>
            <w:proofErr w:type="spellEnd"/>
            <w:r>
              <w:t xml:space="preserve"> OR</w:t>
            </w:r>
            <w:r w:rsidRPr="00B55B82">
              <w:t xml:space="preserve"> </w:t>
            </w:r>
            <w:proofErr w:type="spellStart"/>
            <w:r w:rsidRPr="00B55B82">
              <w:t>tomoxetine</w:t>
            </w:r>
            <w:proofErr w:type="spellEnd"/>
          </w:p>
        </w:tc>
      </w:tr>
      <w:tr w:rsidR="00EF2D49" w:rsidRPr="009A41B0" w:rsidTr="00E75CF7">
        <w:tc>
          <w:tcPr>
            <w:tcW w:w="2268" w:type="dxa"/>
          </w:tcPr>
          <w:p w:rsidR="00EF2D49" w:rsidRPr="009A41B0" w:rsidRDefault="00EF2D49" w:rsidP="00E75CF7">
            <w:proofErr w:type="spellStart"/>
            <w:r w:rsidRPr="009A41B0">
              <w:t>Vyvanse</w:t>
            </w:r>
            <w:proofErr w:type="spellEnd"/>
          </w:p>
        </w:tc>
        <w:tc>
          <w:tcPr>
            <w:tcW w:w="7200" w:type="dxa"/>
          </w:tcPr>
          <w:p w:rsidR="00EF2D49" w:rsidRPr="009A41B0" w:rsidRDefault="00EF2D49" w:rsidP="00E75CF7">
            <w:proofErr w:type="spellStart"/>
            <w:r>
              <w:t>Vyvanse</w:t>
            </w:r>
            <w:proofErr w:type="spellEnd"/>
            <w:r>
              <w:t xml:space="preserve"> OR </w:t>
            </w:r>
            <w:proofErr w:type="spellStart"/>
            <w:r>
              <w:t>lisdexamphetamine</w:t>
            </w:r>
            <w:proofErr w:type="spellEnd"/>
            <w:r>
              <w:t xml:space="preserve"> OR </w:t>
            </w:r>
            <w:proofErr w:type="spellStart"/>
            <w:r>
              <w:t>lisdexamfetamine</w:t>
            </w:r>
            <w:proofErr w:type="spellEnd"/>
            <w:r>
              <w:t xml:space="preserve"> OR LDX OR </w:t>
            </w:r>
            <w:proofErr w:type="spellStart"/>
            <w:r>
              <w:t>Elvanse</w:t>
            </w:r>
            <w:proofErr w:type="spellEnd"/>
            <w:r>
              <w:t xml:space="preserve"> OR </w:t>
            </w:r>
            <w:proofErr w:type="spellStart"/>
            <w:r>
              <w:t>Venvanse</w:t>
            </w:r>
            <w:proofErr w:type="spellEnd"/>
          </w:p>
        </w:tc>
      </w:tr>
    </w:tbl>
    <w:p w:rsidR="00EF2D49" w:rsidRDefault="00EF2D49" w:rsidP="00EF2D49">
      <w:pPr>
        <w:rPr>
          <w:highlight w:val="yellow"/>
        </w:rPr>
      </w:pPr>
    </w:p>
    <w:p w:rsidR="00EF2D49" w:rsidRPr="00552972" w:rsidRDefault="00EF2D49" w:rsidP="00EF2D49">
      <w:pPr>
        <w:rPr>
          <w:u w:val="single"/>
        </w:rPr>
      </w:pPr>
      <w:r w:rsidRPr="00552972">
        <w:rPr>
          <w:u w:val="single"/>
        </w:rPr>
        <w:t>For PubMed:</w:t>
      </w:r>
    </w:p>
    <w:p w:rsidR="00EF2D49" w:rsidRDefault="00EF2D49" w:rsidP="00EF2D49">
      <w:r w:rsidRPr="00E27A2F">
        <w:t>((((((((</w:t>
      </w:r>
      <w:proofErr w:type="gramStart"/>
      <w:r w:rsidRPr="00E27A2F">
        <w:t>ADHD[</w:t>
      </w:r>
      <w:proofErr w:type="gramEnd"/>
      <w:r w:rsidRPr="00E27A2F">
        <w:t xml:space="preserve">Title/Abstract] OR ADD[Title/Abstract]) OR attention deficit[Title/Abstract]) OR hyperkinetic[Title/Abstract]) OR </w:t>
      </w:r>
      <w:proofErr w:type="spellStart"/>
      <w:r w:rsidRPr="00E27A2F">
        <w:t>hyperkinesis</w:t>
      </w:r>
      <w:proofErr w:type="spellEnd"/>
      <w:r w:rsidRPr="00E27A2F">
        <w:t>[Title/Abstract]) OR TDAH[Title/Abstract]) OR DAH[Title/Abstract]) OR DAA[Title/Abstract]) OR ADHS[Title/Abstract]) AND (((((((((((((((((</w:t>
      </w:r>
      <w:proofErr w:type="spellStart"/>
      <w:r w:rsidRPr="00E27A2F">
        <w:t>Concerta</w:t>
      </w:r>
      <w:proofErr w:type="spellEnd"/>
      <w:r w:rsidRPr="00E27A2F">
        <w:t xml:space="preserve">[Title/Abstract] OR extended release methylphenidate[Title/Abstract]) OR methylphenidate extended release[Title/Abstract]) OR MPH ER[Title/Abstract]) OR osmotic-release oral system methylphenidate[Title/Abstract]) OR OROS MPH[Title/Abstract]) OR OROS methylphenidate[Title/Abstract]) OR osmotic-release oral system MPH[Title/Abstract]) OR long acting methylphenidate[Title/Abstract]) OR MPH LA[Title/Abstract]) OR Strattera[Title/Abstract]) OR </w:t>
      </w:r>
      <w:proofErr w:type="spellStart"/>
      <w:r w:rsidRPr="00E27A2F">
        <w:t>atomoxetine</w:t>
      </w:r>
      <w:proofErr w:type="spellEnd"/>
      <w:r w:rsidRPr="00E27A2F">
        <w:t xml:space="preserve">[Title/Abstract]) OR </w:t>
      </w:r>
      <w:proofErr w:type="spellStart"/>
      <w:r w:rsidRPr="00E27A2F">
        <w:t>tomoxetine</w:t>
      </w:r>
      <w:proofErr w:type="spellEnd"/>
      <w:r w:rsidRPr="00E27A2F">
        <w:t xml:space="preserve">[Title/Abstract]) OR </w:t>
      </w:r>
      <w:proofErr w:type="spellStart"/>
      <w:r w:rsidRPr="00E27A2F">
        <w:t>Vyvanse</w:t>
      </w:r>
      <w:proofErr w:type="spellEnd"/>
      <w:r w:rsidRPr="00E27A2F">
        <w:t>[Title/Abstract])</w:t>
      </w:r>
      <w:r w:rsidRPr="00C94B11">
        <w:t xml:space="preserve"> </w:t>
      </w:r>
      <w:r w:rsidRPr="00E27A2F">
        <w:t xml:space="preserve">OR </w:t>
      </w:r>
      <w:proofErr w:type="spellStart"/>
      <w:r>
        <w:t>Venvanse</w:t>
      </w:r>
      <w:proofErr w:type="spellEnd"/>
      <w:r w:rsidRPr="00E27A2F">
        <w:t xml:space="preserve">[Title/Abstract]) OR </w:t>
      </w:r>
      <w:proofErr w:type="spellStart"/>
      <w:r w:rsidRPr="00E27A2F">
        <w:t>lisdexamphetamine</w:t>
      </w:r>
      <w:proofErr w:type="spellEnd"/>
      <w:r w:rsidRPr="00E27A2F">
        <w:t xml:space="preserve">[Title/Abstract]) OR </w:t>
      </w:r>
      <w:proofErr w:type="spellStart"/>
      <w:proofErr w:type="gramStart"/>
      <w:r w:rsidRPr="00E27A2F">
        <w:t>lisdexamfetamine</w:t>
      </w:r>
      <w:proofErr w:type="spellEnd"/>
      <w:r w:rsidRPr="00E27A2F">
        <w:t>[</w:t>
      </w:r>
      <w:proofErr w:type="gramEnd"/>
      <w:r w:rsidRPr="00E27A2F">
        <w:t>Title/Abstract]) OR LDX[Title/Abstract])</w:t>
      </w:r>
    </w:p>
    <w:p w:rsidR="00EF2D49" w:rsidRPr="00552972" w:rsidRDefault="00EF2D49" w:rsidP="00EF2D49">
      <w:pPr>
        <w:rPr>
          <w:u w:val="single"/>
        </w:rPr>
      </w:pPr>
      <w:r w:rsidRPr="00552972">
        <w:rPr>
          <w:u w:val="single"/>
        </w:rPr>
        <w:t>For CENTRAL (as title or abstract or keyword terms):</w:t>
      </w:r>
    </w:p>
    <w:p w:rsidR="00EF2D49" w:rsidRDefault="00EF2D49" w:rsidP="00EF2D49">
      <w:r w:rsidRPr="009A41B0">
        <w:t xml:space="preserve">ADHD </w:t>
      </w:r>
      <w:r>
        <w:t>OR</w:t>
      </w:r>
      <w:r w:rsidRPr="009A41B0">
        <w:t xml:space="preserve"> ADD </w:t>
      </w:r>
      <w:r>
        <w:t>OR</w:t>
      </w:r>
      <w:r w:rsidRPr="009A41B0">
        <w:t xml:space="preserve"> attention deficit </w:t>
      </w:r>
      <w:r>
        <w:t>OR</w:t>
      </w:r>
      <w:r w:rsidRPr="009A41B0">
        <w:t xml:space="preserve"> hyperkine</w:t>
      </w:r>
      <w:r>
        <w:t xml:space="preserve">tic OR </w:t>
      </w:r>
      <w:proofErr w:type="spellStart"/>
      <w:r>
        <w:t>hyperkinesis</w:t>
      </w:r>
      <w:proofErr w:type="spellEnd"/>
      <w:r w:rsidRPr="009A41B0">
        <w:t xml:space="preserve"> </w:t>
      </w:r>
      <w:r>
        <w:t>OR</w:t>
      </w:r>
      <w:r w:rsidRPr="009A41B0">
        <w:t xml:space="preserve"> TDAH </w:t>
      </w:r>
      <w:r>
        <w:t>OR</w:t>
      </w:r>
      <w:r w:rsidRPr="009A41B0">
        <w:t xml:space="preserve"> DAH </w:t>
      </w:r>
      <w:r>
        <w:t>OR</w:t>
      </w:r>
      <w:r w:rsidRPr="009A41B0">
        <w:t xml:space="preserve"> DAA</w:t>
      </w:r>
      <w:r>
        <w:t xml:space="preserve"> OR ADHS</w:t>
      </w:r>
    </w:p>
    <w:p w:rsidR="00EF2D49" w:rsidRDefault="00EF2D49" w:rsidP="00EF2D49">
      <w:proofErr w:type="spellStart"/>
      <w:r w:rsidRPr="00B55B82">
        <w:t>Concerta</w:t>
      </w:r>
      <w:proofErr w:type="spellEnd"/>
      <w:r w:rsidRPr="00B55B82">
        <w:t xml:space="preserve"> OR</w:t>
      </w:r>
      <w:r>
        <w:t xml:space="preserve"> </w:t>
      </w:r>
      <w:r w:rsidRPr="00396F5B">
        <w:t>extended release methylphenidate</w:t>
      </w:r>
      <w:r>
        <w:t xml:space="preserve"> OR</w:t>
      </w:r>
      <w:r w:rsidRPr="00B55B82">
        <w:t xml:space="preserve"> methylphenidate extended release OR methylphenidate ER</w:t>
      </w:r>
      <w:r>
        <w:t xml:space="preserve"> OR methylphenidate XR OR MPH ER OR MPH XR</w:t>
      </w:r>
      <w:r w:rsidRPr="00B55B82">
        <w:t xml:space="preserve"> OR</w:t>
      </w:r>
      <w:r>
        <w:t xml:space="preserve"> osmotic-release oral system methylphenidate OR</w:t>
      </w:r>
      <w:r w:rsidRPr="00B55B82">
        <w:t xml:space="preserve"> OROS</w:t>
      </w:r>
      <w:r>
        <w:t xml:space="preserve"> MPH OR OROS methylphenidate OR osmotic-release oral system MPH OR long acting methylphenidate OR methylphenidate LA OR MPH LA OR methylphenidate long acting OR </w:t>
      </w:r>
      <w:r w:rsidRPr="00B55B82">
        <w:t>Strattera</w:t>
      </w:r>
      <w:r>
        <w:t xml:space="preserve"> OR</w:t>
      </w:r>
      <w:r w:rsidRPr="00B55B82">
        <w:t xml:space="preserve"> </w:t>
      </w:r>
      <w:proofErr w:type="spellStart"/>
      <w:r w:rsidRPr="00B55B82">
        <w:t>atomoxetine</w:t>
      </w:r>
      <w:proofErr w:type="spellEnd"/>
      <w:r>
        <w:t xml:space="preserve"> OR</w:t>
      </w:r>
      <w:r w:rsidRPr="00B55B82">
        <w:t xml:space="preserve"> </w:t>
      </w:r>
      <w:proofErr w:type="spellStart"/>
      <w:r w:rsidRPr="00B55B82">
        <w:t>tomoxetine</w:t>
      </w:r>
      <w:proofErr w:type="spellEnd"/>
      <w:r>
        <w:t xml:space="preserve"> OR </w:t>
      </w:r>
      <w:proofErr w:type="spellStart"/>
      <w:r>
        <w:t>Vyvanse</w:t>
      </w:r>
      <w:proofErr w:type="spellEnd"/>
      <w:r>
        <w:t xml:space="preserve"> OR </w:t>
      </w:r>
      <w:proofErr w:type="spellStart"/>
      <w:r>
        <w:t>lisdexamphetamine</w:t>
      </w:r>
      <w:proofErr w:type="spellEnd"/>
      <w:r>
        <w:t xml:space="preserve"> OR </w:t>
      </w:r>
      <w:proofErr w:type="spellStart"/>
      <w:r>
        <w:t>lisdexamfetamine</w:t>
      </w:r>
      <w:proofErr w:type="spellEnd"/>
      <w:r>
        <w:t xml:space="preserve"> OR LDX OR </w:t>
      </w:r>
      <w:proofErr w:type="spellStart"/>
      <w:r>
        <w:t>Elvanse</w:t>
      </w:r>
      <w:proofErr w:type="spellEnd"/>
      <w:r>
        <w:t xml:space="preserve"> OR </w:t>
      </w:r>
      <w:proofErr w:type="spellStart"/>
      <w:r>
        <w:t>Venvanse</w:t>
      </w:r>
      <w:proofErr w:type="spellEnd"/>
    </w:p>
    <w:p w:rsidR="00EF2D49" w:rsidRPr="00552972" w:rsidRDefault="00EF2D49" w:rsidP="00EF2D49">
      <w:pPr>
        <w:rPr>
          <w:u w:val="single"/>
        </w:rPr>
      </w:pPr>
      <w:r w:rsidRPr="00552972">
        <w:rPr>
          <w:u w:val="single"/>
        </w:rPr>
        <w:lastRenderedPageBreak/>
        <w:t xml:space="preserve">For EMBASE (as title, original title, abstract, or keyword terms): </w:t>
      </w:r>
    </w:p>
    <w:p w:rsidR="00EF2D49" w:rsidRDefault="00EF2D49" w:rsidP="00EF2D49">
      <w:r w:rsidRPr="00552972">
        <w:t>(ADHD or "attention deficit hyperactivity disorder$" or "attention deficit" or "attention deficit disorder$")</w:t>
      </w:r>
      <w:r>
        <w:t xml:space="preserve"> or </w:t>
      </w:r>
      <w:r w:rsidRPr="00552972">
        <w:t xml:space="preserve">(hyperkinetic$ or </w:t>
      </w:r>
      <w:proofErr w:type="spellStart"/>
      <w:r w:rsidRPr="00552972">
        <w:t>hyperkinesis</w:t>
      </w:r>
      <w:proofErr w:type="spellEnd"/>
      <w:r w:rsidRPr="00552972">
        <w:t>)</w:t>
      </w:r>
      <w:r>
        <w:t xml:space="preserve"> or </w:t>
      </w:r>
      <w:r w:rsidRPr="00552972">
        <w:t>(TDAH or DAH or DAA or ADHS)</w:t>
      </w:r>
    </w:p>
    <w:p w:rsidR="00EF2D49" w:rsidRDefault="00EF2D49" w:rsidP="00EF2D49">
      <w:r w:rsidRPr="00552972">
        <w:t>(</w:t>
      </w:r>
      <w:proofErr w:type="spellStart"/>
      <w:proofErr w:type="gramStart"/>
      <w:r w:rsidRPr="00552972">
        <w:t>vyvanse</w:t>
      </w:r>
      <w:proofErr w:type="spellEnd"/>
      <w:proofErr w:type="gramEnd"/>
      <w:r w:rsidRPr="00552972">
        <w:t xml:space="preserve"> or </w:t>
      </w:r>
      <w:proofErr w:type="spellStart"/>
      <w:r w:rsidRPr="00552972">
        <w:t>lisdexamfetamine</w:t>
      </w:r>
      <w:proofErr w:type="spellEnd"/>
      <w:r w:rsidRPr="00552972">
        <w:t xml:space="preserve"> or </w:t>
      </w:r>
      <w:proofErr w:type="spellStart"/>
      <w:r w:rsidRPr="00552972">
        <w:t>lisdexamphetamine</w:t>
      </w:r>
      <w:proofErr w:type="spellEnd"/>
      <w:r w:rsidRPr="00552972">
        <w:t xml:space="preserve"> or LDX or </w:t>
      </w:r>
      <w:proofErr w:type="spellStart"/>
      <w:r w:rsidRPr="00552972">
        <w:t>elvanse</w:t>
      </w:r>
      <w:proofErr w:type="spellEnd"/>
      <w:r w:rsidRPr="00552972">
        <w:t xml:space="preserve"> or </w:t>
      </w:r>
      <w:proofErr w:type="spellStart"/>
      <w:r w:rsidRPr="00552972">
        <w:t>venvanse</w:t>
      </w:r>
      <w:proofErr w:type="spellEnd"/>
      <w:r w:rsidRPr="00552972">
        <w:t>)</w:t>
      </w:r>
      <w:r>
        <w:t xml:space="preserve"> or </w:t>
      </w:r>
      <w:r w:rsidRPr="00552972">
        <w:t>(</w:t>
      </w:r>
      <w:proofErr w:type="spellStart"/>
      <w:r w:rsidRPr="00552972">
        <w:t>concerta</w:t>
      </w:r>
      <w:proofErr w:type="spellEnd"/>
      <w:r w:rsidRPr="00552972">
        <w:t xml:space="preserve"> or </w:t>
      </w:r>
      <w:proofErr w:type="spellStart"/>
      <w:r w:rsidRPr="00552972">
        <w:t>strattera</w:t>
      </w:r>
      <w:proofErr w:type="spellEnd"/>
      <w:r w:rsidRPr="00552972">
        <w:t xml:space="preserve"> or </w:t>
      </w:r>
      <w:proofErr w:type="spellStart"/>
      <w:r w:rsidRPr="00552972">
        <w:t>atomoxetine</w:t>
      </w:r>
      <w:proofErr w:type="spellEnd"/>
      <w:r w:rsidRPr="00552972">
        <w:t xml:space="preserve"> or </w:t>
      </w:r>
      <w:proofErr w:type="spellStart"/>
      <w:r w:rsidRPr="00552972">
        <w:t>tomoxetine</w:t>
      </w:r>
      <w:proofErr w:type="spellEnd"/>
      <w:r w:rsidRPr="00552972">
        <w:t>)</w:t>
      </w:r>
      <w:r>
        <w:t xml:space="preserve"> or </w:t>
      </w:r>
      <w:r w:rsidRPr="00552972">
        <w:t xml:space="preserve">((methylphenidate or MPH) </w:t>
      </w:r>
      <w:proofErr w:type="spellStart"/>
      <w:r w:rsidRPr="00552972">
        <w:t>adj</w:t>
      </w:r>
      <w:proofErr w:type="spellEnd"/>
      <w:r w:rsidRPr="00552972">
        <w:t xml:space="preserve"> ("extended release" or ER or XR or "long acting" or LA or OROS or "osmotic release"))</w:t>
      </w:r>
    </w:p>
    <w:p w:rsidR="00EF2D49" w:rsidRDefault="00EF2D49" w:rsidP="00EF2D49">
      <w:r>
        <w:t>NOT (</w:t>
      </w:r>
      <w:r w:rsidRPr="0056159B">
        <w:rPr>
          <w:rFonts w:eastAsia="Times New Roman"/>
          <w:color w:val="0A0905"/>
          <w:lang w:eastAsia="en-GB"/>
        </w:rPr>
        <w:t>editorial or erratum or letter or note or "review")</w:t>
      </w:r>
    </w:p>
    <w:p w:rsidR="00EF2D49" w:rsidRDefault="00EF2D49" w:rsidP="00EF2D49"/>
    <w:p w:rsidR="00EF2D49" w:rsidRDefault="00EF2D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2D49" w:rsidRPr="00ED1B9B" w:rsidRDefault="00EF2D49" w:rsidP="00A776C9">
      <w:pPr>
        <w:spacing w:line="480" w:lineRule="auto"/>
        <w:rPr>
          <w:b/>
          <w:color w:val="000000"/>
          <w:sz w:val="24"/>
          <w:szCs w:val="24"/>
        </w:rPr>
      </w:pPr>
      <w:proofErr w:type="gramStart"/>
      <w:r w:rsidRPr="00ED1B9B">
        <w:rPr>
          <w:b/>
          <w:color w:val="000000"/>
          <w:sz w:val="24"/>
          <w:szCs w:val="24"/>
        </w:rPr>
        <w:lastRenderedPageBreak/>
        <w:t>Supplementary Figure 1.</w:t>
      </w:r>
      <w:proofErr w:type="gramEnd"/>
      <w:r w:rsidRPr="00ED1B9B">
        <w:rPr>
          <w:b/>
          <w:color w:val="000000"/>
          <w:sz w:val="24"/>
          <w:szCs w:val="24"/>
        </w:rPr>
        <w:t xml:space="preserve"> </w:t>
      </w:r>
      <w:proofErr w:type="gramStart"/>
      <w:r w:rsidR="009356CC" w:rsidRPr="00ED1B9B">
        <w:rPr>
          <w:b/>
          <w:color w:val="000000"/>
          <w:sz w:val="24"/>
          <w:szCs w:val="24"/>
        </w:rPr>
        <w:t>Screening flow chart.</w:t>
      </w:r>
      <w:proofErr w:type="gramEnd"/>
    </w:p>
    <w:p w:rsidR="00EF2D49" w:rsidRDefault="00A776C9" w:rsidP="00A776C9">
      <w:pPr>
        <w:spacing w:line="480" w:lineRule="auto"/>
        <w:rPr>
          <w:rFonts w:cs="Courier New"/>
        </w:rPr>
      </w:pPr>
      <w:r>
        <w:rPr>
          <w:rFonts w:cs="Courier New"/>
          <w:noProof/>
        </w:rPr>
        <w:drawing>
          <wp:inline distT="0" distB="0" distL="0" distR="0">
            <wp:extent cx="4889380" cy="6300879"/>
            <wp:effectExtent l="19050" t="0" r="647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731" cy="631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D49" w:rsidRPr="00BF6CF4" w:rsidRDefault="00EF2D49" w:rsidP="00A776C9">
      <w:pPr>
        <w:spacing w:line="480" w:lineRule="auto"/>
        <w:rPr>
          <w:b/>
          <w:color w:val="000000"/>
          <w:sz w:val="20"/>
          <w:szCs w:val="20"/>
        </w:rPr>
      </w:pPr>
      <w:r w:rsidRPr="00507BAB">
        <w:rPr>
          <w:rFonts w:cs="Courier New"/>
          <w:sz w:val="20"/>
          <w:szCs w:val="20"/>
        </w:rPr>
        <w:t xml:space="preserve">ADHD, attention-deficit hyperactivity disorder; ADHD-RS, </w:t>
      </w:r>
      <w:r w:rsidRPr="00507BAB">
        <w:rPr>
          <w:sz w:val="20"/>
          <w:szCs w:val="20"/>
        </w:rPr>
        <w:t xml:space="preserve">ADHD Rating Scale-IV; AISRS, Adult ADHD Investigator Symptom Report Scale; CAARS, </w:t>
      </w:r>
      <w:proofErr w:type="spellStart"/>
      <w:r w:rsidRPr="00507BAB">
        <w:rPr>
          <w:sz w:val="20"/>
          <w:szCs w:val="20"/>
        </w:rPr>
        <w:t>Conners</w:t>
      </w:r>
      <w:proofErr w:type="spellEnd"/>
      <w:r w:rsidRPr="00507BAB">
        <w:rPr>
          <w:sz w:val="20"/>
          <w:szCs w:val="20"/>
        </w:rPr>
        <w:t>’ Adult ADHD Rating Scale</w:t>
      </w:r>
      <w:r>
        <w:rPr>
          <w:sz w:val="20"/>
          <w:szCs w:val="20"/>
        </w:rPr>
        <w:t>; RCT, randomized controlled trial</w:t>
      </w:r>
      <w:r w:rsidRPr="00507BAB">
        <w:rPr>
          <w:sz w:val="20"/>
          <w:szCs w:val="20"/>
        </w:rPr>
        <w:t>.</w:t>
      </w:r>
    </w:p>
    <w:p w:rsidR="00A776C9" w:rsidRDefault="00A776C9">
      <w:pPr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br w:type="page"/>
      </w:r>
    </w:p>
    <w:p w:rsidR="00A776C9" w:rsidRDefault="00A877C0">
      <w:pPr>
        <w:rPr>
          <w:sz w:val="24"/>
          <w:szCs w:val="24"/>
        </w:rPr>
      </w:pPr>
      <w:proofErr w:type="gramStart"/>
      <w:r>
        <w:rPr>
          <w:rFonts w:cs="Courier New"/>
          <w:b/>
          <w:sz w:val="24"/>
          <w:szCs w:val="24"/>
        </w:rPr>
        <w:lastRenderedPageBreak/>
        <w:t>Supplementary Figure 2</w:t>
      </w:r>
      <w:r w:rsidRPr="002E53DC">
        <w:rPr>
          <w:rFonts w:cs="Courier New"/>
          <w:b/>
          <w:sz w:val="24"/>
          <w:szCs w:val="24"/>
        </w:rPr>
        <w:t>.</w:t>
      </w:r>
      <w:proofErr w:type="gramEnd"/>
      <w:r w:rsidRPr="002E53DC">
        <w:rPr>
          <w:rFonts w:cs="Courier New"/>
          <w:b/>
          <w:sz w:val="24"/>
          <w:szCs w:val="24"/>
        </w:rPr>
        <w:t xml:space="preserve"> </w:t>
      </w:r>
      <w:r w:rsidRPr="00802FA2">
        <w:rPr>
          <w:rFonts w:cs="Courier New"/>
          <w:sz w:val="24"/>
          <w:szCs w:val="24"/>
        </w:rPr>
        <w:t xml:space="preserve">Observed effect sizes </w:t>
      </w:r>
      <w:r>
        <w:rPr>
          <w:rFonts w:cs="Courier New"/>
          <w:sz w:val="24"/>
          <w:szCs w:val="24"/>
        </w:rPr>
        <w:t xml:space="preserve">(dots) </w:t>
      </w:r>
      <w:r w:rsidRPr="00802FA2">
        <w:rPr>
          <w:rFonts w:cs="Courier New"/>
          <w:sz w:val="24"/>
          <w:szCs w:val="24"/>
        </w:rPr>
        <w:t>and 95% confidence intervals</w:t>
      </w:r>
      <w:r>
        <w:rPr>
          <w:rFonts w:cs="Courier New"/>
          <w:sz w:val="24"/>
          <w:szCs w:val="24"/>
        </w:rPr>
        <w:t xml:space="preserve"> (CIs)</w:t>
      </w:r>
      <w:r w:rsidRPr="00802FA2">
        <w:rPr>
          <w:rFonts w:cs="Courier New"/>
          <w:sz w:val="24"/>
          <w:szCs w:val="24"/>
        </w:rPr>
        <w:t xml:space="preserve"> for</w:t>
      </w:r>
      <w:r>
        <w:rPr>
          <w:rFonts w:cs="Courier New"/>
          <w:sz w:val="24"/>
          <w:szCs w:val="24"/>
        </w:rPr>
        <w:t xml:space="preserve"> each</w:t>
      </w:r>
      <w:r w:rsidRPr="00802FA2">
        <w:rPr>
          <w:rFonts w:cs="Courier New"/>
          <w:sz w:val="24"/>
          <w:szCs w:val="24"/>
        </w:rPr>
        <w:t xml:space="preserve"> study strat</w:t>
      </w:r>
      <w:r>
        <w:rPr>
          <w:rFonts w:cs="Courier New"/>
          <w:sz w:val="24"/>
          <w:szCs w:val="24"/>
        </w:rPr>
        <w:t>um</w:t>
      </w:r>
      <w:r w:rsidRPr="00802FA2">
        <w:rPr>
          <w:rFonts w:cs="Courier New"/>
          <w:sz w:val="24"/>
          <w:szCs w:val="24"/>
        </w:rPr>
        <w:t>.</w:t>
      </w:r>
      <w:r w:rsidR="00365778">
        <w:rPr>
          <w:rFonts w:cs="Courier New"/>
          <w:sz w:val="24"/>
          <w:szCs w:val="24"/>
        </w:rPr>
        <w:t xml:space="preserve"> Data included in the base-case analysis are in green and blue.</w:t>
      </w:r>
      <w:r w:rsidR="003E3A5B">
        <w:rPr>
          <w:rFonts w:cs="Courier New"/>
          <w:sz w:val="24"/>
          <w:szCs w:val="24"/>
        </w:rPr>
        <w:t xml:space="preserve"> </w:t>
      </w:r>
      <w:r w:rsidR="00365778">
        <w:rPr>
          <w:rFonts w:cs="Courier New"/>
          <w:sz w:val="24"/>
          <w:szCs w:val="24"/>
        </w:rPr>
        <w:t>Data included in the adult</w:t>
      </w:r>
      <w:r w:rsidR="00616229">
        <w:rPr>
          <w:rFonts w:cs="Courier New"/>
          <w:sz w:val="24"/>
          <w:szCs w:val="24"/>
        </w:rPr>
        <w:t>s</w:t>
      </w:r>
      <w:r w:rsidR="00365778">
        <w:rPr>
          <w:rFonts w:cs="Courier New"/>
          <w:sz w:val="24"/>
          <w:szCs w:val="24"/>
        </w:rPr>
        <w:t>-only sensitivity analysis are in green.</w:t>
      </w:r>
      <w:r w:rsidRPr="00802FA2">
        <w:rPr>
          <w:rFonts w:cs="Courier New"/>
          <w:sz w:val="24"/>
          <w:szCs w:val="24"/>
        </w:rPr>
        <w:t xml:space="preserve"> Data included in the</w:t>
      </w:r>
      <w:r w:rsidR="00AF61A1">
        <w:rPr>
          <w:rFonts w:cs="Courier New"/>
          <w:sz w:val="24"/>
          <w:szCs w:val="24"/>
        </w:rPr>
        <w:t xml:space="preserve"> non-standard</w:t>
      </w:r>
      <w:r w:rsidR="00245297">
        <w:rPr>
          <w:rFonts w:cs="Courier New"/>
          <w:sz w:val="24"/>
          <w:szCs w:val="24"/>
        </w:rPr>
        <w:t xml:space="preserve"> pill-placebo</w:t>
      </w:r>
      <w:r w:rsidRPr="00802FA2">
        <w:rPr>
          <w:rFonts w:cs="Courier New"/>
          <w:sz w:val="24"/>
          <w:szCs w:val="24"/>
        </w:rPr>
        <w:t xml:space="preserve"> sensitivity analysis </w:t>
      </w:r>
      <w:r>
        <w:rPr>
          <w:rFonts w:cs="Courier New"/>
          <w:sz w:val="24"/>
          <w:szCs w:val="24"/>
        </w:rPr>
        <w:t>are</w:t>
      </w:r>
      <w:r w:rsidRPr="00802FA2">
        <w:rPr>
          <w:rFonts w:cs="Courier New"/>
          <w:sz w:val="24"/>
          <w:szCs w:val="24"/>
        </w:rPr>
        <w:t xml:space="preserve"> in red. The size of the d</w:t>
      </w:r>
      <w:r>
        <w:rPr>
          <w:rFonts w:cs="Courier New"/>
          <w:sz w:val="24"/>
          <w:szCs w:val="24"/>
        </w:rPr>
        <w:t>ot</w:t>
      </w:r>
      <w:r w:rsidRPr="00802FA2">
        <w:rPr>
          <w:rFonts w:cs="Courier New"/>
          <w:sz w:val="24"/>
          <w:szCs w:val="24"/>
        </w:rPr>
        <w:t xml:space="preserve"> indicates</w:t>
      </w:r>
      <w:r>
        <w:rPr>
          <w:rFonts w:cs="Courier New"/>
          <w:sz w:val="24"/>
          <w:szCs w:val="24"/>
        </w:rPr>
        <w:t xml:space="preserve"> the statistical</w:t>
      </w:r>
      <w:r w:rsidRPr="00802FA2">
        <w:rPr>
          <w:rFonts w:cs="Courier New"/>
          <w:sz w:val="24"/>
          <w:szCs w:val="24"/>
        </w:rPr>
        <w:t xml:space="preserve"> weight based on </w:t>
      </w:r>
      <w:r>
        <w:rPr>
          <w:rFonts w:cs="Courier New"/>
          <w:sz w:val="24"/>
          <w:szCs w:val="24"/>
        </w:rPr>
        <w:t xml:space="preserve">the </w:t>
      </w:r>
      <w:r w:rsidRPr="00802FA2">
        <w:rPr>
          <w:rFonts w:cs="Courier New"/>
          <w:sz w:val="24"/>
          <w:szCs w:val="24"/>
        </w:rPr>
        <w:t>study</w:t>
      </w:r>
      <w:r>
        <w:rPr>
          <w:rFonts w:cs="Courier New"/>
          <w:sz w:val="24"/>
          <w:szCs w:val="24"/>
        </w:rPr>
        <w:t xml:space="preserve"> population</w:t>
      </w:r>
      <w:r w:rsidRPr="00802FA2">
        <w:rPr>
          <w:rFonts w:cs="Courier New"/>
          <w:sz w:val="24"/>
          <w:szCs w:val="24"/>
        </w:rPr>
        <w:t xml:space="preserve"> size.</w:t>
      </w:r>
      <w:r>
        <w:rPr>
          <w:rFonts w:cs="Courier New"/>
          <w:sz w:val="24"/>
          <w:szCs w:val="24"/>
        </w:rPr>
        <w:t xml:space="preserve"> Effect sizes are Cohen’s </w:t>
      </w:r>
      <w:r w:rsidRPr="00377218">
        <w:rPr>
          <w:rFonts w:cs="Courier New"/>
          <w:i/>
          <w:sz w:val="24"/>
          <w:szCs w:val="24"/>
        </w:rPr>
        <w:t>d</w:t>
      </w:r>
      <w:r>
        <w:rPr>
          <w:rFonts w:cs="Courier New"/>
          <w:sz w:val="24"/>
          <w:szCs w:val="24"/>
        </w:rPr>
        <w:t xml:space="preserve">. </w:t>
      </w:r>
      <w:r w:rsidR="006F40B7">
        <w:rPr>
          <w:sz w:val="24"/>
          <w:szCs w:val="24"/>
        </w:rPr>
        <w:t>ATX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atomoxetine</w:t>
      </w:r>
      <w:proofErr w:type="spellEnd"/>
      <w:r>
        <w:rPr>
          <w:sz w:val="24"/>
          <w:szCs w:val="24"/>
        </w:rPr>
        <w:t xml:space="preserve">; LDX, </w:t>
      </w:r>
      <w:proofErr w:type="spellStart"/>
      <w:r>
        <w:rPr>
          <w:sz w:val="24"/>
          <w:szCs w:val="24"/>
        </w:rPr>
        <w:t>lisdexamfetamine</w:t>
      </w:r>
      <w:proofErr w:type="spellEnd"/>
      <w:r>
        <w:rPr>
          <w:sz w:val="24"/>
          <w:szCs w:val="24"/>
        </w:rPr>
        <w:t xml:space="preserve">; OROS-MPH, </w:t>
      </w:r>
      <w:r w:rsidRPr="008A7368">
        <w:rPr>
          <w:sz w:val="24"/>
          <w:szCs w:val="24"/>
        </w:rPr>
        <w:t>osmotic-release oral system methylphenidate</w:t>
      </w:r>
      <w:r>
        <w:rPr>
          <w:sz w:val="24"/>
          <w:szCs w:val="24"/>
        </w:rPr>
        <w:t>.</w:t>
      </w:r>
    </w:p>
    <w:p w:rsidR="00884848" w:rsidRDefault="00436B3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32145" cy="703905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03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6C9" w:rsidRDefault="00A776C9">
      <w:pPr>
        <w:rPr>
          <w:noProof/>
          <w:lang w:val="en-GB" w:eastAsia="en-GB"/>
        </w:rPr>
      </w:pPr>
    </w:p>
    <w:p w:rsidR="00F811E3" w:rsidRPr="00195358" w:rsidRDefault="00F811E3" w:rsidP="00F811E3">
      <w:pPr>
        <w:rPr>
          <w:rFonts w:cs="Courier New"/>
          <w:sz w:val="24"/>
          <w:szCs w:val="24"/>
        </w:rPr>
      </w:pPr>
      <w:proofErr w:type="gramStart"/>
      <w:r w:rsidRPr="00B33F0A">
        <w:rPr>
          <w:b/>
          <w:sz w:val="24"/>
          <w:szCs w:val="24"/>
        </w:rPr>
        <w:t>Supplementary Table 2.</w:t>
      </w:r>
      <w:proofErr w:type="gramEnd"/>
      <w:r>
        <w:rPr>
          <w:sz w:val="24"/>
          <w:szCs w:val="24"/>
        </w:rPr>
        <w:t xml:space="preserve"> </w:t>
      </w:r>
      <w:r w:rsidRPr="00242A1F">
        <w:rPr>
          <w:sz w:val="24"/>
          <w:szCs w:val="24"/>
        </w:rPr>
        <w:t>Comparison of placebo designs in European studies of adults reporting CAARS.</w:t>
      </w:r>
    </w:p>
    <w:tbl>
      <w:tblPr>
        <w:tblStyle w:val="LightShading-Accent12"/>
        <w:tblW w:w="0" w:type="auto"/>
        <w:tblLook w:val="04A0" w:firstRow="1" w:lastRow="0" w:firstColumn="1" w:lastColumn="0" w:noHBand="0" w:noVBand="1"/>
      </w:tblPr>
      <w:tblGrid>
        <w:gridCol w:w="2087"/>
        <w:gridCol w:w="1127"/>
        <w:gridCol w:w="2307"/>
        <w:gridCol w:w="1007"/>
        <w:gridCol w:w="1344"/>
        <w:gridCol w:w="1371"/>
      </w:tblGrid>
      <w:tr w:rsidR="00AD0E8B" w:rsidRPr="00FE3500" w:rsidTr="00DC6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</w:tcPr>
          <w:p w:rsidR="00AD0E8B" w:rsidRPr="00FE3500" w:rsidRDefault="00AD0E8B" w:rsidP="00DC6351">
            <w:pPr>
              <w:rPr>
                <w:rFonts w:ascii="Calibri" w:hAnsi="Calibri" w:cs="Courier New"/>
                <w:b w:val="0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First author, date</w:t>
            </w:r>
          </w:p>
        </w:tc>
        <w:tc>
          <w:tcPr>
            <w:tcW w:w="1185" w:type="dxa"/>
          </w:tcPr>
          <w:p w:rsidR="00AD0E8B" w:rsidRPr="00FE3500" w:rsidRDefault="00AD0E8B" w:rsidP="00DC63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ourier New"/>
                <w:b w:val="0"/>
                <w:i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i/>
                <w:color w:val="auto"/>
                <w:sz w:val="24"/>
                <w:szCs w:val="24"/>
              </w:rPr>
              <w:t>n</w:t>
            </w:r>
          </w:p>
        </w:tc>
        <w:tc>
          <w:tcPr>
            <w:tcW w:w="2400" w:type="dxa"/>
          </w:tcPr>
          <w:p w:rsidR="00AD0E8B" w:rsidRPr="00FE3500" w:rsidRDefault="00AD0E8B" w:rsidP="00DC63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ourier New"/>
                <w:b w:val="0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Mean pre–post difference</w:t>
            </w:r>
          </w:p>
        </w:tc>
        <w:tc>
          <w:tcPr>
            <w:tcW w:w="1039" w:type="dxa"/>
          </w:tcPr>
          <w:p w:rsidR="00AD0E8B" w:rsidRPr="00FE3500" w:rsidRDefault="00AD0E8B" w:rsidP="00DC63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ourier New"/>
                <w:b w:val="0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SD</w:t>
            </w:r>
          </w:p>
        </w:tc>
        <w:tc>
          <w:tcPr>
            <w:tcW w:w="1386" w:type="dxa"/>
          </w:tcPr>
          <w:p w:rsidR="00AD0E8B" w:rsidRPr="00FE3500" w:rsidRDefault="00AD0E8B" w:rsidP="00DC63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ourier New"/>
                <w:b w:val="0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Study design</w:t>
            </w:r>
          </w:p>
        </w:tc>
        <w:tc>
          <w:tcPr>
            <w:tcW w:w="1401" w:type="dxa"/>
          </w:tcPr>
          <w:p w:rsidR="00AD0E8B" w:rsidRPr="00FE3500" w:rsidRDefault="00AD0E8B" w:rsidP="00DC63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ourier New"/>
                <w:b w:val="0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Study location</w:t>
            </w:r>
          </w:p>
        </w:tc>
      </w:tr>
      <w:tr w:rsidR="00AD0E8B" w:rsidRPr="00FE3500" w:rsidTr="00DC6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shd w:val="clear" w:color="auto" w:fill="auto"/>
          </w:tcPr>
          <w:p w:rsidR="00AD0E8B" w:rsidRPr="00FE3500" w:rsidRDefault="00AD0E8B" w:rsidP="00026CB3">
            <w:pPr>
              <w:rPr>
                <w:rFonts w:ascii="Calibri" w:hAnsi="Calibri" w:cs="Courier New"/>
                <w:color w:val="auto"/>
                <w:sz w:val="24"/>
                <w:szCs w:val="24"/>
              </w:rPr>
            </w:pPr>
            <w:proofErr w:type="spellStart"/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Sobanski</w:t>
            </w:r>
            <w:proofErr w:type="spellEnd"/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, 2012 [</w:t>
            </w:r>
            <w:r w:rsidR="00026CB3">
              <w:rPr>
                <w:rFonts w:ascii="Calibri" w:hAnsi="Calibri" w:cs="Courier New"/>
                <w:color w:val="auto"/>
                <w:sz w:val="24"/>
                <w:szCs w:val="24"/>
              </w:rPr>
              <w:t>31</w:t>
            </w: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]</w:t>
            </w:r>
          </w:p>
        </w:tc>
        <w:tc>
          <w:tcPr>
            <w:tcW w:w="1185" w:type="dxa"/>
            <w:shd w:val="clear" w:color="auto" w:fill="auto"/>
          </w:tcPr>
          <w:p w:rsidR="00AD0E8B" w:rsidRPr="00FE3500" w:rsidRDefault="00AD0E8B" w:rsidP="00DC6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21</w:t>
            </w:r>
          </w:p>
        </w:tc>
        <w:tc>
          <w:tcPr>
            <w:tcW w:w="2400" w:type="dxa"/>
            <w:shd w:val="clear" w:color="auto" w:fill="auto"/>
          </w:tcPr>
          <w:p w:rsidR="00AD0E8B" w:rsidRPr="00FE3500" w:rsidRDefault="00AD0E8B" w:rsidP="00DC6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−0.4</w:t>
            </w:r>
          </w:p>
        </w:tc>
        <w:tc>
          <w:tcPr>
            <w:tcW w:w="1039" w:type="dxa"/>
            <w:shd w:val="clear" w:color="auto" w:fill="auto"/>
          </w:tcPr>
          <w:p w:rsidR="00AD0E8B" w:rsidRPr="00FE3500" w:rsidRDefault="00AD0E8B" w:rsidP="00DC6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4.8</w:t>
            </w:r>
          </w:p>
        </w:tc>
        <w:tc>
          <w:tcPr>
            <w:tcW w:w="1386" w:type="dxa"/>
            <w:shd w:val="clear" w:color="auto" w:fill="auto"/>
          </w:tcPr>
          <w:p w:rsidR="00AD0E8B" w:rsidRPr="00FE3500" w:rsidRDefault="00AD0E8B" w:rsidP="00DC6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Wait-list</w:t>
            </w:r>
          </w:p>
        </w:tc>
        <w:tc>
          <w:tcPr>
            <w:tcW w:w="1401" w:type="dxa"/>
            <w:shd w:val="clear" w:color="auto" w:fill="auto"/>
          </w:tcPr>
          <w:p w:rsidR="00AD0E8B" w:rsidRPr="00FE3500" w:rsidRDefault="00AD0E8B" w:rsidP="00DC6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EU</w:t>
            </w:r>
          </w:p>
        </w:tc>
      </w:tr>
      <w:tr w:rsidR="00AD0E8B" w:rsidRPr="00FE3500" w:rsidTr="00DC6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</w:tcPr>
          <w:p w:rsidR="00AD0E8B" w:rsidRPr="00FE3500" w:rsidRDefault="00026CB3" w:rsidP="00DC6351">
            <w:pPr>
              <w:rPr>
                <w:rFonts w:ascii="Calibri" w:hAnsi="Calibri" w:cs="Courier New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Calibri" w:hAnsi="Calibri" w:cs="Courier New"/>
                <w:color w:val="auto"/>
                <w:sz w:val="24"/>
                <w:szCs w:val="24"/>
              </w:rPr>
              <w:t>Medori</w:t>
            </w:r>
            <w:proofErr w:type="spellEnd"/>
            <w:r>
              <w:rPr>
                <w:rFonts w:ascii="Calibri" w:hAnsi="Calibri" w:cs="Courier New"/>
                <w:color w:val="auto"/>
                <w:sz w:val="24"/>
                <w:szCs w:val="24"/>
              </w:rPr>
              <w:t>, 2008 [23</w:t>
            </w:r>
            <w:r w:rsidR="00AD0E8B"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]</w:t>
            </w:r>
          </w:p>
        </w:tc>
        <w:tc>
          <w:tcPr>
            <w:tcW w:w="1185" w:type="dxa"/>
          </w:tcPr>
          <w:p w:rsidR="00AD0E8B" w:rsidRPr="00FE3500" w:rsidRDefault="00AD0E8B" w:rsidP="00DC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95</w:t>
            </w:r>
          </w:p>
        </w:tc>
        <w:tc>
          <w:tcPr>
            <w:tcW w:w="2400" w:type="dxa"/>
          </w:tcPr>
          <w:p w:rsidR="00AD0E8B" w:rsidRPr="00FE3500" w:rsidRDefault="00AD0E8B" w:rsidP="00DC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−7.6</w:t>
            </w:r>
          </w:p>
        </w:tc>
        <w:tc>
          <w:tcPr>
            <w:tcW w:w="1039" w:type="dxa"/>
          </w:tcPr>
          <w:p w:rsidR="00AD0E8B" w:rsidRPr="00FE3500" w:rsidRDefault="00AD0E8B" w:rsidP="00DC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9.93</w:t>
            </w:r>
          </w:p>
        </w:tc>
        <w:tc>
          <w:tcPr>
            <w:tcW w:w="1386" w:type="dxa"/>
          </w:tcPr>
          <w:p w:rsidR="00AD0E8B" w:rsidRPr="00FE3500" w:rsidRDefault="00AD0E8B" w:rsidP="00DC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Pill</w:t>
            </w:r>
          </w:p>
        </w:tc>
        <w:tc>
          <w:tcPr>
            <w:tcW w:w="1401" w:type="dxa"/>
          </w:tcPr>
          <w:p w:rsidR="00AD0E8B" w:rsidRPr="00FE3500" w:rsidRDefault="00AD0E8B" w:rsidP="00DC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EU</w:t>
            </w:r>
          </w:p>
        </w:tc>
      </w:tr>
      <w:tr w:rsidR="00AD0E8B" w:rsidRPr="00FE3500" w:rsidTr="00DC6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shd w:val="clear" w:color="auto" w:fill="auto"/>
          </w:tcPr>
          <w:p w:rsidR="00AD0E8B" w:rsidRPr="00FE3500" w:rsidRDefault="00026CB3" w:rsidP="00DC6351">
            <w:pPr>
              <w:rPr>
                <w:rFonts w:ascii="Calibri" w:hAnsi="Calibri" w:cs="Courier New"/>
                <w:color w:val="auto"/>
                <w:sz w:val="24"/>
                <w:szCs w:val="24"/>
              </w:rPr>
            </w:pPr>
            <w:r>
              <w:rPr>
                <w:rFonts w:ascii="Calibri" w:hAnsi="Calibri" w:cs="Courier New"/>
                <w:color w:val="auto"/>
                <w:sz w:val="24"/>
                <w:szCs w:val="24"/>
              </w:rPr>
              <w:t>Casas, 2013 [9</w:t>
            </w:r>
            <w:r w:rsidR="00AD0E8B"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]</w:t>
            </w:r>
          </w:p>
        </w:tc>
        <w:tc>
          <w:tcPr>
            <w:tcW w:w="1185" w:type="dxa"/>
            <w:shd w:val="clear" w:color="auto" w:fill="auto"/>
          </w:tcPr>
          <w:p w:rsidR="00AD0E8B" w:rsidRPr="00FE3500" w:rsidRDefault="00AD0E8B" w:rsidP="00DC6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97</w:t>
            </w:r>
          </w:p>
        </w:tc>
        <w:tc>
          <w:tcPr>
            <w:tcW w:w="2400" w:type="dxa"/>
            <w:shd w:val="clear" w:color="auto" w:fill="auto"/>
          </w:tcPr>
          <w:p w:rsidR="00AD0E8B" w:rsidRPr="00FE3500" w:rsidRDefault="00AD0E8B" w:rsidP="00DC6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−10.4</w:t>
            </w:r>
          </w:p>
        </w:tc>
        <w:tc>
          <w:tcPr>
            <w:tcW w:w="1039" w:type="dxa"/>
            <w:shd w:val="clear" w:color="auto" w:fill="auto"/>
          </w:tcPr>
          <w:p w:rsidR="00AD0E8B" w:rsidRPr="00FE3500" w:rsidRDefault="00AD0E8B" w:rsidP="00DC6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11.0</w:t>
            </w:r>
          </w:p>
        </w:tc>
        <w:tc>
          <w:tcPr>
            <w:tcW w:w="1386" w:type="dxa"/>
            <w:shd w:val="clear" w:color="auto" w:fill="auto"/>
          </w:tcPr>
          <w:p w:rsidR="00AD0E8B" w:rsidRPr="00FE3500" w:rsidRDefault="00AD0E8B" w:rsidP="00DC6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Pill</w:t>
            </w:r>
          </w:p>
        </w:tc>
        <w:tc>
          <w:tcPr>
            <w:tcW w:w="1401" w:type="dxa"/>
            <w:shd w:val="clear" w:color="auto" w:fill="auto"/>
          </w:tcPr>
          <w:p w:rsidR="00AD0E8B" w:rsidRPr="00FE3500" w:rsidRDefault="00AD0E8B" w:rsidP="00DC6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ourier New"/>
                <w:color w:val="auto"/>
                <w:sz w:val="24"/>
                <w:szCs w:val="24"/>
              </w:rPr>
            </w:pPr>
            <w:r w:rsidRPr="00FE3500">
              <w:rPr>
                <w:rFonts w:ascii="Calibri" w:hAnsi="Calibri" w:cs="Courier New"/>
                <w:color w:val="auto"/>
                <w:sz w:val="24"/>
                <w:szCs w:val="24"/>
              </w:rPr>
              <w:t>EU</w:t>
            </w:r>
          </w:p>
        </w:tc>
      </w:tr>
    </w:tbl>
    <w:p w:rsidR="00F811E3" w:rsidRDefault="00F811E3" w:rsidP="00F811E3">
      <w:proofErr w:type="gramStart"/>
      <w:r w:rsidRPr="00E62A2C">
        <w:t xml:space="preserve">CAARS, </w:t>
      </w:r>
      <w:proofErr w:type="spellStart"/>
      <w:r w:rsidRPr="00E62A2C">
        <w:t>Conners</w:t>
      </w:r>
      <w:proofErr w:type="spellEnd"/>
      <w:r w:rsidRPr="00E62A2C">
        <w:t>’ Adult ADHD Rating Scale;</w:t>
      </w:r>
      <w:r>
        <w:t xml:space="preserve"> EU, Europe; SD, standard deviation.</w:t>
      </w:r>
      <w:proofErr w:type="gramEnd"/>
    </w:p>
    <w:p w:rsidR="00F77C34" w:rsidRDefault="00F77C34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br w:type="page"/>
      </w:r>
    </w:p>
    <w:p w:rsidR="00955C12" w:rsidRDefault="00F77C34" w:rsidP="008279EB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Supplementary Information 1</w:t>
      </w:r>
      <w:r w:rsidRPr="008477D0">
        <w:rPr>
          <w:b/>
          <w:sz w:val="24"/>
          <w:szCs w:val="24"/>
        </w:rPr>
        <w:t>:</w:t>
      </w:r>
      <w:r w:rsidR="00A776C9">
        <w:rPr>
          <w:b/>
          <w:sz w:val="24"/>
          <w:szCs w:val="24"/>
        </w:rPr>
        <w:t xml:space="preserve"> </w:t>
      </w:r>
      <w:r w:rsidRPr="008477D0">
        <w:rPr>
          <w:b/>
          <w:sz w:val="24"/>
          <w:szCs w:val="24"/>
        </w:rPr>
        <w:t>Model Specifications</w:t>
      </w:r>
    </w:p>
    <w:p w:rsidR="00B408C3" w:rsidRPr="008A7368" w:rsidRDefault="00B408C3" w:rsidP="00B33F0A">
      <w:p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8A7368">
        <w:rPr>
          <w:bCs/>
          <w:sz w:val="24"/>
          <w:szCs w:val="24"/>
        </w:rPr>
        <w:t xml:space="preserve">tudy </w:t>
      </w:r>
      <w:r>
        <w:rPr>
          <w:bCs/>
          <w:sz w:val="24"/>
          <w:szCs w:val="24"/>
        </w:rPr>
        <w:t>stratum effect sizes were modeled</w:t>
      </w:r>
      <w:r w:rsidRPr="008A7368">
        <w:rPr>
          <w:bCs/>
          <w:sz w:val="24"/>
          <w:szCs w:val="24"/>
        </w:rPr>
        <w:t xml:space="preserve"> by fitting a mixed-effects linear model with the following specification:</w:t>
      </w:r>
    </w:p>
    <w:p w:rsidR="00B408C3" w:rsidRPr="008A7368" w:rsidRDefault="00B408C3" w:rsidP="00B33F0A">
      <w:pPr>
        <w:spacing w:line="480" w:lineRule="auto"/>
        <w:rPr>
          <w:bCs/>
          <w:sz w:val="24"/>
          <w:szCs w:val="24"/>
        </w:rPr>
      </w:pPr>
      <w:r w:rsidRPr="008A7368">
        <w:rPr>
          <w:bCs/>
          <w:i/>
          <w:sz w:val="24"/>
          <w:szCs w:val="24"/>
        </w:rPr>
        <w:t>Y</w:t>
      </w:r>
      <w:r w:rsidRPr="008A7368">
        <w:rPr>
          <w:bCs/>
          <w:sz w:val="24"/>
          <w:szCs w:val="24"/>
        </w:rPr>
        <w:t xml:space="preserve"> = </w:t>
      </w:r>
      <w:r w:rsidRPr="008A7368">
        <w:rPr>
          <w:bCs/>
          <w:i/>
          <w:sz w:val="24"/>
          <w:szCs w:val="24"/>
        </w:rPr>
        <w:t>a</w:t>
      </w:r>
      <w:r w:rsidRPr="008A7368">
        <w:rPr>
          <w:bCs/>
          <w:sz w:val="24"/>
          <w:szCs w:val="24"/>
        </w:rPr>
        <w:t xml:space="preserve"> + </w:t>
      </w:r>
      <w:r w:rsidRPr="008A7368">
        <w:rPr>
          <w:bCs/>
          <w:i/>
          <w:sz w:val="24"/>
          <w:szCs w:val="24"/>
        </w:rPr>
        <w:t xml:space="preserve">X </w:t>
      </w:r>
      <w:r w:rsidRPr="008A7368">
        <w:rPr>
          <w:bCs/>
          <w:sz w:val="24"/>
          <w:szCs w:val="24"/>
        </w:rPr>
        <w:t xml:space="preserve">β + </w:t>
      </w:r>
      <w:r w:rsidRPr="008A7368">
        <w:rPr>
          <w:bCs/>
          <w:i/>
          <w:sz w:val="24"/>
          <w:szCs w:val="24"/>
        </w:rPr>
        <w:t>e</w:t>
      </w:r>
      <w:r w:rsidRPr="008A7368">
        <w:rPr>
          <w:bCs/>
          <w:sz w:val="24"/>
          <w:szCs w:val="24"/>
        </w:rPr>
        <w:t xml:space="preserve">; </w:t>
      </w:r>
    </w:p>
    <w:p w:rsidR="00B408C3" w:rsidRPr="008A7368" w:rsidRDefault="00B408C3" w:rsidP="00B33F0A">
      <w:pPr>
        <w:spacing w:line="480" w:lineRule="auto"/>
        <w:rPr>
          <w:bCs/>
          <w:sz w:val="24"/>
          <w:szCs w:val="24"/>
        </w:rPr>
      </w:pPr>
      <w:proofErr w:type="gramStart"/>
      <w:r w:rsidRPr="008A7368">
        <w:rPr>
          <w:bCs/>
          <w:sz w:val="24"/>
          <w:szCs w:val="24"/>
        </w:rPr>
        <w:t>where</w:t>
      </w:r>
      <w:proofErr w:type="gramEnd"/>
      <w:r w:rsidRPr="008A7368">
        <w:rPr>
          <w:bCs/>
          <w:sz w:val="24"/>
          <w:szCs w:val="24"/>
        </w:rPr>
        <w:t xml:space="preserve"> </w:t>
      </w:r>
      <w:r w:rsidRPr="008A7368">
        <w:rPr>
          <w:bCs/>
          <w:i/>
          <w:sz w:val="24"/>
          <w:szCs w:val="24"/>
        </w:rPr>
        <w:t>Y</w:t>
      </w:r>
      <w:r w:rsidRPr="008A7368">
        <w:rPr>
          <w:bCs/>
          <w:sz w:val="24"/>
          <w:szCs w:val="24"/>
        </w:rPr>
        <w:t xml:space="preserve"> is the (k x 1) vector of effect sizes,</w:t>
      </w:r>
    </w:p>
    <w:p w:rsidR="00B408C3" w:rsidRPr="008A7368" w:rsidRDefault="00B408C3" w:rsidP="00B33F0A">
      <w:pPr>
        <w:spacing w:line="480" w:lineRule="auto"/>
        <w:rPr>
          <w:bCs/>
          <w:sz w:val="24"/>
          <w:szCs w:val="24"/>
        </w:rPr>
      </w:pPr>
      <w:r w:rsidRPr="008A7368">
        <w:rPr>
          <w:bCs/>
          <w:i/>
          <w:sz w:val="24"/>
          <w:szCs w:val="24"/>
        </w:rPr>
        <w:t xml:space="preserve">X </w:t>
      </w:r>
      <w:r w:rsidRPr="008A7368">
        <w:rPr>
          <w:bCs/>
          <w:sz w:val="24"/>
          <w:szCs w:val="24"/>
        </w:rPr>
        <w:t>(k x p) is the design matrix describing study arm characteristics (covariates) that influence the effect sizes,</w:t>
      </w:r>
    </w:p>
    <w:p w:rsidR="00B408C3" w:rsidRPr="008A7368" w:rsidRDefault="00B408C3" w:rsidP="00B33F0A">
      <w:pPr>
        <w:spacing w:line="480" w:lineRule="auto"/>
        <w:rPr>
          <w:bCs/>
          <w:sz w:val="24"/>
          <w:szCs w:val="24"/>
        </w:rPr>
      </w:pPr>
      <w:proofErr w:type="gramStart"/>
      <w:r w:rsidRPr="008A7368">
        <w:rPr>
          <w:bCs/>
          <w:sz w:val="24"/>
          <w:szCs w:val="24"/>
        </w:rPr>
        <w:t>β</w:t>
      </w:r>
      <w:proofErr w:type="gramEnd"/>
      <w:r w:rsidRPr="008A7368">
        <w:rPr>
          <w:bCs/>
          <w:i/>
          <w:sz w:val="24"/>
          <w:szCs w:val="24"/>
        </w:rPr>
        <w:t xml:space="preserve"> </w:t>
      </w:r>
      <w:r w:rsidRPr="008A7368">
        <w:rPr>
          <w:bCs/>
          <w:sz w:val="24"/>
          <w:szCs w:val="24"/>
        </w:rPr>
        <w:t>(p x 1) is the vector of fixed-effect parameters,</w:t>
      </w:r>
    </w:p>
    <w:p w:rsidR="00B408C3" w:rsidRPr="008A7368" w:rsidRDefault="00B408C3" w:rsidP="00B33F0A">
      <w:pPr>
        <w:spacing w:line="480" w:lineRule="auto"/>
        <w:rPr>
          <w:bCs/>
          <w:sz w:val="24"/>
          <w:szCs w:val="24"/>
        </w:rPr>
      </w:pPr>
      <w:proofErr w:type="gramStart"/>
      <w:r w:rsidRPr="008A7368">
        <w:rPr>
          <w:bCs/>
          <w:i/>
          <w:sz w:val="24"/>
          <w:szCs w:val="24"/>
        </w:rPr>
        <w:t>a</w:t>
      </w:r>
      <w:proofErr w:type="gramEnd"/>
      <w:r w:rsidRPr="008A7368">
        <w:rPr>
          <w:bCs/>
          <w:i/>
          <w:sz w:val="24"/>
          <w:szCs w:val="24"/>
        </w:rPr>
        <w:t xml:space="preserve"> </w:t>
      </w:r>
      <w:r w:rsidRPr="008A7368">
        <w:rPr>
          <w:bCs/>
          <w:sz w:val="24"/>
          <w:szCs w:val="24"/>
        </w:rPr>
        <w:t>(k x 1) is the vector of random intercepts or the residuals on the between-study level, and</w:t>
      </w:r>
    </w:p>
    <w:p w:rsidR="00B408C3" w:rsidRPr="008A7368" w:rsidRDefault="00B408C3" w:rsidP="00B33F0A">
      <w:pPr>
        <w:spacing w:line="480" w:lineRule="auto"/>
        <w:rPr>
          <w:bCs/>
          <w:sz w:val="24"/>
          <w:szCs w:val="24"/>
        </w:rPr>
      </w:pPr>
      <w:proofErr w:type="gramStart"/>
      <w:r w:rsidRPr="008A7368">
        <w:rPr>
          <w:bCs/>
          <w:i/>
          <w:sz w:val="24"/>
          <w:szCs w:val="24"/>
        </w:rPr>
        <w:t>e</w:t>
      </w:r>
      <w:proofErr w:type="gramEnd"/>
      <w:r w:rsidRPr="008A7368">
        <w:rPr>
          <w:bCs/>
          <w:i/>
          <w:sz w:val="24"/>
          <w:szCs w:val="24"/>
        </w:rPr>
        <w:t xml:space="preserve"> </w:t>
      </w:r>
      <w:r w:rsidRPr="008A7368">
        <w:rPr>
          <w:bCs/>
          <w:sz w:val="24"/>
          <w:szCs w:val="24"/>
        </w:rPr>
        <w:t>(k x k) is the matrix of residuals on the within-study level.</w:t>
      </w:r>
    </w:p>
    <w:p w:rsidR="00B408C3" w:rsidRPr="008A7368" w:rsidRDefault="00B408C3" w:rsidP="00B33F0A">
      <w:pPr>
        <w:spacing w:line="480" w:lineRule="auto"/>
        <w:rPr>
          <w:bCs/>
          <w:sz w:val="24"/>
          <w:szCs w:val="24"/>
        </w:rPr>
      </w:pPr>
    </w:p>
    <w:p w:rsidR="00B408C3" w:rsidRPr="008A7368" w:rsidRDefault="00B408C3" w:rsidP="00B33F0A">
      <w:pPr>
        <w:spacing w:line="480" w:lineRule="auto"/>
        <w:rPr>
          <w:bCs/>
          <w:sz w:val="24"/>
          <w:szCs w:val="24"/>
        </w:rPr>
      </w:pPr>
      <w:r w:rsidRPr="008A7368">
        <w:rPr>
          <w:bCs/>
          <w:sz w:val="24"/>
          <w:szCs w:val="24"/>
        </w:rPr>
        <w:t xml:space="preserve">The effect sizes </w:t>
      </w:r>
      <w:r>
        <w:rPr>
          <w:bCs/>
          <w:sz w:val="24"/>
          <w:szCs w:val="24"/>
        </w:rPr>
        <w:t>we</w:t>
      </w:r>
      <w:r w:rsidRPr="008A7368">
        <w:rPr>
          <w:bCs/>
          <w:sz w:val="24"/>
          <w:szCs w:val="24"/>
        </w:rPr>
        <w:t xml:space="preserve">re assumed to be normally distributed. The random intercept vector </w:t>
      </w:r>
      <w:proofErr w:type="gramStart"/>
      <w:r w:rsidRPr="008A7368">
        <w:rPr>
          <w:bCs/>
          <w:i/>
          <w:sz w:val="24"/>
          <w:szCs w:val="24"/>
        </w:rPr>
        <w:t>a</w:t>
      </w:r>
      <w:r w:rsidRPr="008A7368">
        <w:rPr>
          <w:bCs/>
          <w:sz w:val="24"/>
          <w:szCs w:val="24"/>
        </w:rPr>
        <w:t xml:space="preserve"> ha</w:t>
      </w:r>
      <w:r>
        <w:rPr>
          <w:bCs/>
          <w:sz w:val="24"/>
          <w:szCs w:val="24"/>
        </w:rPr>
        <w:t>d</w:t>
      </w:r>
      <w:proofErr w:type="gramEnd"/>
      <w:r w:rsidRPr="008A7368">
        <w:rPr>
          <w:bCs/>
          <w:sz w:val="24"/>
          <w:szCs w:val="24"/>
        </w:rPr>
        <w:t xml:space="preserve"> a multivariate normal distribution with a zero mean vector and a covariance matrix </w:t>
      </w:r>
      <w:proofErr w:type="spellStart"/>
      <w:r w:rsidRPr="008A7368">
        <w:rPr>
          <w:bCs/>
          <w:sz w:val="24"/>
          <w:szCs w:val="24"/>
        </w:rPr>
        <w:t>τI</w:t>
      </w:r>
      <w:proofErr w:type="spellEnd"/>
      <w:r w:rsidRPr="008A7368">
        <w:rPr>
          <w:bCs/>
          <w:sz w:val="24"/>
          <w:szCs w:val="24"/>
        </w:rPr>
        <w:t xml:space="preserve"> (k x k) where I is the identity matrix.</w:t>
      </w:r>
      <w:r w:rsidR="00A776C9">
        <w:rPr>
          <w:bCs/>
          <w:sz w:val="24"/>
          <w:szCs w:val="24"/>
        </w:rPr>
        <w:t xml:space="preserve"> </w:t>
      </w:r>
      <w:r w:rsidRPr="008A7368">
        <w:rPr>
          <w:bCs/>
          <w:sz w:val="24"/>
          <w:szCs w:val="24"/>
        </w:rPr>
        <w:t xml:space="preserve">The chance error </w:t>
      </w:r>
      <w:r w:rsidRPr="008A7368">
        <w:rPr>
          <w:bCs/>
          <w:i/>
          <w:sz w:val="24"/>
          <w:szCs w:val="24"/>
        </w:rPr>
        <w:t>e</w:t>
      </w:r>
      <w:r w:rsidRPr="008A736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wa</w:t>
      </w:r>
      <w:r w:rsidRPr="008A7368">
        <w:rPr>
          <w:bCs/>
          <w:sz w:val="24"/>
          <w:szCs w:val="24"/>
        </w:rPr>
        <w:t>s a multivariate normal with zero means and a diagonal covariance matrix R (k x k).</w:t>
      </w:r>
      <w:r w:rsidR="00A776C9">
        <w:rPr>
          <w:bCs/>
          <w:sz w:val="24"/>
          <w:szCs w:val="24"/>
        </w:rPr>
        <w:t xml:space="preserve"> </w:t>
      </w:r>
      <w:r w:rsidRPr="008A7368">
        <w:rPr>
          <w:bCs/>
          <w:sz w:val="24"/>
          <w:szCs w:val="24"/>
        </w:rPr>
        <w:t xml:space="preserve">The random intercept </w:t>
      </w:r>
      <w:r w:rsidRPr="008A7368">
        <w:rPr>
          <w:bCs/>
          <w:i/>
          <w:sz w:val="24"/>
          <w:szCs w:val="24"/>
        </w:rPr>
        <w:t>a</w:t>
      </w:r>
      <w:r w:rsidRPr="008A7368">
        <w:rPr>
          <w:bCs/>
          <w:sz w:val="24"/>
          <w:szCs w:val="24"/>
        </w:rPr>
        <w:t xml:space="preserve"> and the random error </w:t>
      </w:r>
      <w:r w:rsidRPr="008A7368">
        <w:rPr>
          <w:bCs/>
          <w:i/>
          <w:sz w:val="24"/>
          <w:szCs w:val="24"/>
        </w:rPr>
        <w:t>e</w:t>
      </w:r>
      <w:r w:rsidRPr="008A7368"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we</w:t>
      </w:r>
      <w:r w:rsidRPr="008A7368">
        <w:rPr>
          <w:bCs/>
          <w:sz w:val="24"/>
          <w:szCs w:val="24"/>
        </w:rPr>
        <w:t>re</w:t>
      </w:r>
      <w:proofErr w:type="gramEnd"/>
      <w:r w:rsidRPr="008A7368">
        <w:rPr>
          <w:bCs/>
          <w:sz w:val="24"/>
          <w:szCs w:val="24"/>
        </w:rPr>
        <w:t xml:space="preserve"> assumed to be independent of each other.</w:t>
      </w:r>
      <w:r w:rsidR="00A776C9">
        <w:rPr>
          <w:bCs/>
          <w:sz w:val="24"/>
          <w:szCs w:val="24"/>
        </w:rPr>
        <w:t xml:space="preserve"> </w:t>
      </w:r>
      <w:r w:rsidRPr="008A7368">
        <w:rPr>
          <w:bCs/>
          <w:sz w:val="24"/>
          <w:szCs w:val="24"/>
        </w:rPr>
        <w:t xml:space="preserve">The within-study variances were considered known as the study </w:t>
      </w:r>
      <w:r>
        <w:rPr>
          <w:bCs/>
          <w:sz w:val="24"/>
          <w:szCs w:val="24"/>
        </w:rPr>
        <w:t>strata</w:t>
      </w:r>
      <w:r w:rsidRPr="008A7368">
        <w:rPr>
          <w:bCs/>
          <w:sz w:val="24"/>
          <w:szCs w:val="24"/>
        </w:rPr>
        <w:t xml:space="preserve"> sample sizes were large. </w:t>
      </w:r>
    </w:p>
    <w:p w:rsidR="00B408C3" w:rsidRPr="008A7368" w:rsidRDefault="00B408C3" w:rsidP="00B33F0A">
      <w:pPr>
        <w:spacing w:line="480" w:lineRule="auto"/>
        <w:rPr>
          <w:sz w:val="24"/>
          <w:szCs w:val="24"/>
        </w:rPr>
      </w:pPr>
      <w:r w:rsidRPr="008A7368">
        <w:rPr>
          <w:sz w:val="24"/>
          <w:szCs w:val="24"/>
        </w:rPr>
        <w:t>Using this model</w:t>
      </w:r>
      <w:r>
        <w:rPr>
          <w:sz w:val="24"/>
          <w:szCs w:val="24"/>
        </w:rPr>
        <w:t>,</w:t>
      </w:r>
      <w:r w:rsidRPr="008A7368">
        <w:rPr>
          <w:sz w:val="24"/>
          <w:szCs w:val="24"/>
        </w:rPr>
        <w:t xml:space="preserve"> the estimated overall average treatment effect (μ), and</w:t>
      </w:r>
      <w:r>
        <w:rPr>
          <w:sz w:val="24"/>
          <w:szCs w:val="24"/>
        </w:rPr>
        <w:t xml:space="preserve"> the</w:t>
      </w:r>
      <w:r w:rsidRPr="008A7368">
        <w:rPr>
          <w:sz w:val="24"/>
          <w:szCs w:val="24"/>
        </w:rPr>
        <w:t xml:space="preserve"> between-study variance (τ), an estimate of the study-specific effect size for study </w:t>
      </w:r>
      <w:proofErr w:type="spellStart"/>
      <w:r w:rsidR="00DB3E7B">
        <w:rPr>
          <w:sz w:val="24"/>
          <w:szCs w:val="24"/>
        </w:rPr>
        <w:t>i</w:t>
      </w:r>
      <w:proofErr w:type="spellEnd"/>
      <w:r w:rsidR="00DB3E7B">
        <w:rPr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 w:rsidRPr="008A7368">
        <w:rPr>
          <w:sz w:val="24"/>
          <w:szCs w:val="24"/>
        </w:rPr>
        <w:t>s normally distributed with mean</w:t>
      </w:r>
      <w:r>
        <w:rPr>
          <w:sz w:val="24"/>
          <w:szCs w:val="24"/>
        </w:rPr>
        <w:t>:</w:t>
      </w:r>
    </w:p>
    <w:p w:rsidR="00B408C3" w:rsidRPr="008A7368" w:rsidRDefault="00B408C3" w:rsidP="00B33F0A">
      <w:pPr>
        <w:spacing w:line="480" w:lineRule="auto"/>
        <w:rPr>
          <w:sz w:val="24"/>
          <w:szCs w:val="24"/>
          <w:lang w:val="fr-FR"/>
        </w:rPr>
      </w:pPr>
      <w:r w:rsidRPr="008A7368">
        <w:rPr>
          <w:sz w:val="24"/>
          <w:szCs w:val="24"/>
          <w:lang w:val="fr-FR"/>
        </w:rPr>
        <w:lastRenderedPageBreak/>
        <w:t xml:space="preserve">Ci </w:t>
      </w:r>
      <w:r w:rsidRPr="008A7368">
        <w:rPr>
          <w:sz w:val="24"/>
          <w:szCs w:val="24"/>
        </w:rPr>
        <w:t>μ</w:t>
      </w:r>
      <w:r w:rsidRPr="008A7368">
        <w:rPr>
          <w:sz w:val="24"/>
          <w:szCs w:val="24"/>
          <w:lang w:val="fr-FR"/>
        </w:rPr>
        <w:t xml:space="preserve"> + </w:t>
      </w:r>
      <w:proofErr w:type="gramStart"/>
      <w:r w:rsidRPr="008A7368">
        <w:rPr>
          <w:sz w:val="24"/>
          <w:szCs w:val="24"/>
          <w:lang w:val="fr-FR"/>
        </w:rPr>
        <w:t>( 1</w:t>
      </w:r>
      <w:proofErr w:type="gramEnd"/>
      <w:r w:rsidRPr="008A7368">
        <w:rPr>
          <w:sz w:val="24"/>
          <w:szCs w:val="24"/>
          <w:lang w:val="fr-FR"/>
        </w:rPr>
        <w:t xml:space="preserve"> – Ci ) Yi; </w:t>
      </w:r>
    </w:p>
    <w:p w:rsidR="00B408C3" w:rsidRPr="008A7368" w:rsidRDefault="00B408C3" w:rsidP="00B33F0A">
      <w:pPr>
        <w:spacing w:line="480" w:lineRule="auto"/>
        <w:rPr>
          <w:sz w:val="24"/>
          <w:szCs w:val="24"/>
          <w:lang w:val="fr-FR"/>
        </w:rPr>
      </w:pPr>
      <w:proofErr w:type="spellStart"/>
      <w:proofErr w:type="gramStart"/>
      <w:r w:rsidRPr="008A7368">
        <w:rPr>
          <w:sz w:val="24"/>
          <w:szCs w:val="24"/>
          <w:lang w:val="fr-FR"/>
        </w:rPr>
        <w:t>where</w:t>
      </w:r>
      <w:proofErr w:type="spellEnd"/>
      <w:proofErr w:type="gramEnd"/>
      <w:r w:rsidRPr="008A7368">
        <w:rPr>
          <w:sz w:val="24"/>
          <w:szCs w:val="24"/>
          <w:lang w:val="fr-FR"/>
        </w:rPr>
        <w:t xml:space="preserve"> Ci = Si / (Si + </w:t>
      </w:r>
      <w:r w:rsidRPr="008A7368">
        <w:rPr>
          <w:sz w:val="24"/>
          <w:szCs w:val="24"/>
        </w:rPr>
        <w:t>τ</w:t>
      </w:r>
      <w:r w:rsidRPr="008A7368">
        <w:rPr>
          <w:sz w:val="24"/>
          <w:szCs w:val="24"/>
          <w:lang w:val="fr-FR"/>
        </w:rPr>
        <w:t>),</w:t>
      </w:r>
    </w:p>
    <w:p w:rsidR="00B408C3" w:rsidRDefault="00B408C3" w:rsidP="00B33F0A">
      <w:pPr>
        <w:spacing w:line="480" w:lineRule="auto"/>
      </w:pPr>
      <w:r w:rsidRPr="008A7368">
        <w:rPr>
          <w:sz w:val="24"/>
          <w:szCs w:val="24"/>
        </w:rPr>
        <w:t xml:space="preserve">Si </w:t>
      </w:r>
      <w:proofErr w:type="gramStart"/>
      <w:r>
        <w:rPr>
          <w:sz w:val="24"/>
          <w:szCs w:val="24"/>
        </w:rPr>
        <w:t>were</w:t>
      </w:r>
      <w:proofErr w:type="gramEnd"/>
      <w:r w:rsidRPr="008A7368">
        <w:rPr>
          <w:sz w:val="24"/>
          <w:szCs w:val="24"/>
        </w:rPr>
        <w:t xml:space="preserve"> the known within-study variance</w:t>
      </w:r>
      <w:r>
        <w:rPr>
          <w:sz w:val="24"/>
          <w:szCs w:val="24"/>
        </w:rPr>
        <w:t>s</w:t>
      </w:r>
      <w:r w:rsidRPr="008A7368">
        <w:rPr>
          <w:sz w:val="24"/>
          <w:szCs w:val="24"/>
        </w:rPr>
        <w:t xml:space="preserve"> for study</w:t>
      </w:r>
      <w:r w:rsidR="00DB3E7B">
        <w:rPr>
          <w:sz w:val="24"/>
          <w:szCs w:val="24"/>
        </w:rPr>
        <w:t xml:space="preserve"> </w:t>
      </w:r>
      <w:proofErr w:type="spellStart"/>
      <w:r w:rsidR="00DB3E7B">
        <w:rPr>
          <w:sz w:val="24"/>
          <w:szCs w:val="24"/>
        </w:rPr>
        <w:t>i</w:t>
      </w:r>
      <w:proofErr w:type="spellEnd"/>
      <w:r w:rsidRPr="008A7368">
        <w:rPr>
          <w:sz w:val="24"/>
          <w:szCs w:val="24"/>
        </w:rPr>
        <w:t xml:space="preserve">, and Yi </w:t>
      </w:r>
      <w:r>
        <w:rPr>
          <w:sz w:val="24"/>
          <w:szCs w:val="24"/>
        </w:rPr>
        <w:t>we</w:t>
      </w:r>
      <w:r w:rsidRPr="008A7368">
        <w:rPr>
          <w:sz w:val="24"/>
          <w:szCs w:val="24"/>
        </w:rPr>
        <w:t>re the observed effect sizes for study</w:t>
      </w:r>
      <w:r w:rsidR="00DB3E7B">
        <w:rPr>
          <w:sz w:val="24"/>
          <w:szCs w:val="24"/>
        </w:rPr>
        <w:t xml:space="preserve"> </w:t>
      </w:r>
      <w:proofErr w:type="spellStart"/>
      <w:r w:rsidR="00DB3E7B">
        <w:rPr>
          <w:sz w:val="24"/>
          <w:szCs w:val="24"/>
        </w:rPr>
        <w:t>i</w:t>
      </w:r>
      <w:proofErr w:type="spellEnd"/>
      <w:r w:rsidRPr="008A7368">
        <w:rPr>
          <w:sz w:val="24"/>
          <w:szCs w:val="24"/>
        </w:rPr>
        <w:t>.</w:t>
      </w:r>
      <w:r w:rsidR="00A776C9">
        <w:rPr>
          <w:sz w:val="24"/>
          <w:szCs w:val="24"/>
        </w:rPr>
        <w:t xml:space="preserve"> </w:t>
      </w:r>
      <w:r w:rsidRPr="008A7368">
        <w:rPr>
          <w:sz w:val="24"/>
          <w:szCs w:val="24"/>
        </w:rPr>
        <w:t xml:space="preserve">Thus, an estimate of the true study-specific effect size </w:t>
      </w:r>
      <w:r>
        <w:rPr>
          <w:sz w:val="24"/>
          <w:szCs w:val="24"/>
        </w:rPr>
        <w:t>wa</w:t>
      </w:r>
      <w:r w:rsidRPr="008A7368">
        <w:rPr>
          <w:sz w:val="24"/>
          <w:szCs w:val="24"/>
        </w:rPr>
        <w:t>s a weighted average of the estimated overall effect size μ (averaged over all studies combined) and the observed effect size of a particular study.</w:t>
      </w:r>
      <w:r w:rsidR="00A776C9">
        <w:rPr>
          <w:sz w:val="24"/>
          <w:szCs w:val="24"/>
        </w:rPr>
        <w:t xml:space="preserve"> </w:t>
      </w:r>
      <w:r w:rsidRPr="008A7368">
        <w:rPr>
          <w:sz w:val="24"/>
          <w:szCs w:val="24"/>
        </w:rPr>
        <w:t xml:space="preserve">The weight </w:t>
      </w:r>
      <w:r>
        <w:rPr>
          <w:sz w:val="24"/>
          <w:szCs w:val="24"/>
        </w:rPr>
        <w:t>wa</w:t>
      </w:r>
      <w:r w:rsidRPr="008A7368">
        <w:rPr>
          <w:sz w:val="24"/>
          <w:szCs w:val="24"/>
        </w:rPr>
        <w:t>s determined by the relative sizes of the between-study and within-study variances.</w:t>
      </w:r>
      <w:r w:rsidR="00A776C9">
        <w:rPr>
          <w:sz w:val="24"/>
          <w:szCs w:val="24"/>
        </w:rPr>
        <w:t xml:space="preserve"> </w:t>
      </w:r>
      <w:r w:rsidRPr="008A7368">
        <w:rPr>
          <w:sz w:val="24"/>
          <w:szCs w:val="24"/>
        </w:rPr>
        <w:t>Within</w:t>
      </w:r>
      <w:r>
        <w:rPr>
          <w:sz w:val="24"/>
          <w:szCs w:val="24"/>
        </w:rPr>
        <w:t>-</w:t>
      </w:r>
      <w:r w:rsidRPr="008A7368">
        <w:rPr>
          <w:sz w:val="24"/>
          <w:szCs w:val="24"/>
        </w:rPr>
        <w:t xml:space="preserve">study variance estimates for studies contributing multiple </w:t>
      </w:r>
      <w:r>
        <w:rPr>
          <w:sz w:val="24"/>
          <w:szCs w:val="24"/>
        </w:rPr>
        <w:t>strata</w:t>
      </w:r>
      <w:r w:rsidRPr="008A7368">
        <w:rPr>
          <w:sz w:val="24"/>
          <w:szCs w:val="24"/>
        </w:rPr>
        <w:t xml:space="preserve"> to the analysis were pooled.</w:t>
      </w:r>
    </w:p>
    <w:p w:rsidR="00B408C3" w:rsidRDefault="00B408C3" w:rsidP="008279EB">
      <w:pPr>
        <w:spacing w:line="480" w:lineRule="auto"/>
        <w:rPr>
          <w:rFonts w:cs="Courier New"/>
          <w:sz w:val="24"/>
          <w:szCs w:val="24"/>
        </w:rPr>
      </w:pPr>
    </w:p>
    <w:sectPr w:rsidR="00B408C3" w:rsidSect="008D0F52">
      <w:footerReference w:type="defaul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13" w:rsidRDefault="00125713" w:rsidP="005571F9">
      <w:pPr>
        <w:spacing w:after="0" w:line="240" w:lineRule="auto"/>
      </w:pPr>
      <w:r>
        <w:separator/>
      </w:r>
    </w:p>
  </w:endnote>
  <w:endnote w:type="continuationSeparator" w:id="0">
    <w:p w:rsidR="00125713" w:rsidRDefault="00125713" w:rsidP="0055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653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AFE" w:rsidRDefault="00C35B4A">
        <w:pPr>
          <w:pStyle w:val="Footer"/>
          <w:jc w:val="right"/>
        </w:pPr>
        <w:r>
          <w:fldChar w:fldCharType="begin"/>
        </w:r>
        <w:r w:rsidR="00FE6AFE">
          <w:instrText xml:space="preserve"> PAGE   \* MERGEFORMAT </w:instrText>
        </w:r>
        <w:r>
          <w:fldChar w:fldCharType="separate"/>
        </w:r>
        <w:r w:rsidR="00C501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6AFE" w:rsidRDefault="00FE6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13" w:rsidRDefault="00125713" w:rsidP="005571F9">
      <w:pPr>
        <w:spacing w:after="0" w:line="240" w:lineRule="auto"/>
      </w:pPr>
      <w:r>
        <w:separator/>
      </w:r>
    </w:p>
  </w:footnote>
  <w:footnote w:type="continuationSeparator" w:id="0">
    <w:p w:rsidR="00125713" w:rsidRDefault="00125713" w:rsidP="0055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B0A"/>
    <w:multiLevelType w:val="hybridMultilevel"/>
    <w:tmpl w:val="059691E4"/>
    <w:lvl w:ilvl="0" w:tplc="1326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4A10F7"/>
    <w:multiLevelType w:val="hybridMultilevel"/>
    <w:tmpl w:val="10D2BC48"/>
    <w:lvl w:ilvl="0" w:tplc="1326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B5C1A"/>
    <w:multiLevelType w:val="hybridMultilevel"/>
    <w:tmpl w:val="D83020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B70851"/>
    <w:multiLevelType w:val="hybridMultilevel"/>
    <w:tmpl w:val="699AB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A791F"/>
    <w:multiLevelType w:val="hybridMultilevel"/>
    <w:tmpl w:val="E04C3C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820F86"/>
    <w:multiLevelType w:val="hybridMultilevel"/>
    <w:tmpl w:val="C696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67075"/>
    <w:multiLevelType w:val="hybridMultilevel"/>
    <w:tmpl w:val="0ABE8FFA"/>
    <w:lvl w:ilvl="0" w:tplc="1326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56556E"/>
    <w:multiLevelType w:val="hybridMultilevel"/>
    <w:tmpl w:val="FB0A5E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447E8B"/>
    <w:multiLevelType w:val="hybridMultilevel"/>
    <w:tmpl w:val="6052C62E"/>
    <w:lvl w:ilvl="0" w:tplc="443401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A01D0E"/>
    <w:multiLevelType w:val="hybridMultilevel"/>
    <w:tmpl w:val="C10435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F61B04"/>
    <w:multiLevelType w:val="hybridMultilevel"/>
    <w:tmpl w:val="3E769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528D4"/>
    <w:multiLevelType w:val="hybridMultilevel"/>
    <w:tmpl w:val="06C2A1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BD481B"/>
    <w:multiLevelType w:val="hybridMultilevel"/>
    <w:tmpl w:val="1006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 Psych 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zx00prscat92per9vlp25zwvvxzd9wdfes5&quot;&gt;ADHD Bridging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/record-ids&gt;&lt;/item&gt;&lt;/Libraries&gt;"/>
  </w:docVars>
  <w:rsids>
    <w:rsidRoot w:val="00CD7E64"/>
    <w:rsid w:val="00000930"/>
    <w:rsid w:val="000121EA"/>
    <w:rsid w:val="0001330E"/>
    <w:rsid w:val="00013560"/>
    <w:rsid w:val="00014EFB"/>
    <w:rsid w:val="0001546E"/>
    <w:rsid w:val="00016D83"/>
    <w:rsid w:val="0001799E"/>
    <w:rsid w:val="00026CB3"/>
    <w:rsid w:val="0003334F"/>
    <w:rsid w:val="00034F7D"/>
    <w:rsid w:val="00037264"/>
    <w:rsid w:val="0004460F"/>
    <w:rsid w:val="000460DD"/>
    <w:rsid w:val="00060E74"/>
    <w:rsid w:val="00063683"/>
    <w:rsid w:val="000642EC"/>
    <w:rsid w:val="00065DF8"/>
    <w:rsid w:val="00075DC7"/>
    <w:rsid w:val="00081749"/>
    <w:rsid w:val="00082324"/>
    <w:rsid w:val="0008259A"/>
    <w:rsid w:val="0008313D"/>
    <w:rsid w:val="000836D0"/>
    <w:rsid w:val="00084439"/>
    <w:rsid w:val="00085256"/>
    <w:rsid w:val="000857D6"/>
    <w:rsid w:val="00085B50"/>
    <w:rsid w:val="00086F89"/>
    <w:rsid w:val="00097FF6"/>
    <w:rsid w:val="000A2A02"/>
    <w:rsid w:val="000A2E42"/>
    <w:rsid w:val="000B0AF3"/>
    <w:rsid w:val="000B3536"/>
    <w:rsid w:val="000B3B03"/>
    <w:rsid w:val="000B4235"/>
    <w:rsid w:val="000B49AF"/>
    <w:rsid w:val="000B6E40"/>
    <w:rsid w:val="000C1C8D"/>
    <w:rsid w:val="000C73BB"/>
    <w:rsid w:val="000D071F"/>
    <w:rsid w:val="000D22BE"/>
    <w:rsid w:val="000D4E08"/>
    <w:rsid w:val="000D6F9A"/>
    <w:rsid w:val="000E2046"/>
    <w:rsid w:val="000E41B4"/>
    <w:rsid w:val="000E635C"/>
    <w:rsid w:val="000F12CC"/>
    <w:rsid w:val="000F15CF"/>
    <w:rsid w:val="000F16E3"/>
    <w:rsid w:val="000F178D"/>
    <w:rsid w:val="000F6238"/>
    <w:rsid w:val="001017C2"/>
    <w:rsid w:val="0010596B"/>
    <w:rsid w:val="001066E3"/>
    <w:rsid w:val="001076EB"/>
    <w:rsid w:val="00107D9C"/>
    <w:rsid w:val="00110366"/>
    <w:rsid w:val="00110396"/>
    <w:rsid w:val="00110399"/>
    <w:rsid w:val="00113D05"/>
    <w:rsid w:val="00114846"/>
    <w:rsid w:val="001200E8"/>
    <w:rsid w:val="00120532"/>
    <w:rsid w:val="0012214E"/>
    <w:rsid w:val="00125713"/>
    <w:rsid w:val="00131FEB"/>
    <w:rsid w:val="00140C7B"/>
    <w:rsid w:val="0014115B"/>
    <w:rsid w:val="00141A28"/>
    <w:rsid w:val="001471CA"/>
    <w:rsid w:val="001512B9"/>
    <w:rsid w:val="00152609"/>
    <w:rsid w:val="00152711"/>
    <w:rsid w:val="00156451"/>
    <w:rsid w:val="0015779D"/>
    <w:rsid w:val="00161690"/>
    <w:rsid w:val="00163584"/>
    <w:rsid w:val="001752A1"/>
    <w:rsid w:val="00181D34"/>
    <w:rsid w:val="001831E8"/>
    <w:rsid w:val="00183E2B"/>
    <w:rsid w:val="00185371"/>
    <w:rsid w:val="00187576"/>
    <w:rsid w:val="00187819"/>
    <w:rsid w:val="001904D8"/>
    <w:rsid w:val="001918F3"/>
    <w:rsid w:val="00192B76"/>
    <w:rsid w:val="001946EE"/>
    <w:rsid w:val="00195358"/>
    <w:rsid w:val="00196F8E"/>
    <w:rsid w:val="001A7C49"/>
    <w:rsid w:val="001B359B"/>
    <w:rsid w:val="001B3983"/>
    <w:rsid w:val="001B3FE4"/>
    <w:rsid w:val="001B41D8"/>
    <w:rsid w:val="001C7090"/>
    <w:rsid w:val="001C7295"/>
    <w:rsid w:val="001D15C7"/>
    <w:rsid w:val="001D3D4C"/>
    <w:rsid w:val="001D6C74"/>
    <w:rsid w:val="001E72AE"/>
    <w:rsid w:val="001F4A54"/>
    <w:rsid w:val="001F7B3B"/>
    <w:rsid w:val="0020429F"/>
    <w:rsid w:val="00206C5A"/>
    <w:rsid w:val="00210E95"/>
    <w:rsid w:val="00220017"/>
    <w:rsid w:val="00221D01"/>
    <w:rsid w:val="0022435D"/>
    <w:rsid w:val="00224DC4"/>
    <w:rsid w:val="002327DE"/>
    <w:rsid w:val="00232E7F"/>
    <w:rsid w:val="00241B5E"/>
    <w:rsid w:val="00242EFF"/>
    <w:rsid w:val="00245297"/>
    <w:rsid w:val="0025021D"/>
    <w:rsid w:val="00253F24"/>
    <w:rsid w:val="00255880"/>
    <w:rsid w:val="00256799"/>
    <w:rsid w:val="00256CEF"/>
    <w:rsid w:val="00257E5C"/>
    <w:rsid w:val="00261680"/>
    <w:rsid w:val="00262652"/>
    <w:rsid w:val="002636A5"/>
    <w:rsid w:val="00263D9C"/>
    <w:rsid w:val="00264E5E"/>
    <w:rsid w:val="00265860"/>
    <w:rsid w:val="00267026"/>
    <w:rsid w:val="002709D7"/>
    <w:rsid w:val="00270C94"/>
    <w:rsid w:val="00273864"/>
    <w:rsid w:val="00274852"/>
    <w:rsid w:val="002757D4"/>
    <w:rsid w:val="00276164"/>
    <w:rsid w:val="00277A7C"/>
    <w:rsid w:val="002804BF"/>
    <w:rsid w:val="002806ED"/>
    <w:rsid w:val="00282C39"/>
    <w:rsid w:val="00282DC8"/>
    <w:rsid w:val="00286D65"/>
    <w:rsid w:val="002A01B7"/>
    <w:rsid w:val="002A07BF"/>
    <w:rsid w:val="002A5637"/>
    <w:rsid w:val="002B3DA6"/>
    <w:rsid w:val="002B53E5"/>
    <w:rsid w:val="002B552E"/>
    <w:rsid w:val="002C2846"/>
    <w:rsid w:val="002C2DF7"/>
    <w:rsid w:val="002C4D66"/>
    <w:rsid w:val="002C4F9B"/>
    <w:rsid w:val="002D0BBB"/>
    <w:rsid w:val="002D2EFB"/>
    <w:rsid w:val="002D3447"/>
    <w:rsid w:val="002D6BDC"/>
    <w:rsid w:val="002E0CA6"/>
    <w:rsid w:val="002E2657"/>
    <w:rsid w:val="002E2E3D"/>
    <w:rsid w:val="002E5116"/>
    <w:rsid w:val="002F37DE"/>
    <w:rsid w:val="002F65D3"/>
    <w:rsid w:val="002F66BD"/>
    <w:rsid w:val="002F7FCF"/>
    <w:rsid w:val="00300E5B"/>
    <w:rsid w:val="0030270B"/>
    <w:rsid w:val="0031243E"/>
    <w:rsid w:val="00312B7B"/>
    <w:rsid w:val="003154CF"/>
    <w:rsid w:val="00316510"/>
    <w:rsid w:val="00317067"/>
    <w:rsid w:val="003214DC"/>
    <w:rsid w:val="003227E3"/>
    <w:rsid w:val="00323240"/>
    <w:rsid w:val="00330C79"/>
    <w:rsid w:val="00332288"/>
    <w:rsid w:val="00333908"/>
    <w:rsid w:val="00334C3F"/>
    <w:rsid w:val="003411D2"/>
    <w:rsid w:val="00341BBA"/>
    <w:rsid w:val="00343C5B"/>
    <w:rsid w:val="00344CAD"/>
    <w:rsid w:val="003451F9"/>
    <w:rsid w:val="003502DD"/>
    <w:rsid w:val="0035076E"/>
    <w:rsid w:val="003517DB"/>
    <w:rsid w:val="00351FD6"/>
    <w:rsid w:val="00355F8B"/>
    <w:rsid w:val="003600D7"/>
    <w:rsid w:val="00365778"/>
    <w:rsid w:val="003709A9"/>
    <w:rsid w:val="00370AF5"/>
    <w:rsid w:val="00370B5F"/>
    <w:rsid w:val="00370D29"/>
    <w:rsid w:val="0037190D"/>
    <w:rsid w:val="0037659A"/>
    <w:rsid w:val="003802F0"/>
    <w:rsid w:val="0038124A"/>
    <w:rsid w:val="00381785"/>
    <w:rsid w:val="00382959"/>
    <w:rsid w:val="00384745"/>
    <w:rsid w:val="003848E8"/>
    <w:rsid w:val="00386419"/>
    <w:rsid w:val="0039482E"/>
    <w:rsid w:val="003A08D1"/>
    <w:rsid w:val="003A1391"/>
    <w:rsid w:val="003A1527"/>
    <w:rsid w:val="003A15C7"/>
    <w:rsid w:val="003A2120"/>
    <w:rsid w:val="003A2576"/>
    <w:rsid w:val="003A2D6A"/>
    <w:rsid w:val="003A4ACB"/>
    <w:rsid w:val="003A5CD1"/>
    <w:rsid w:val="003A6259"/>
    <w:rsid w:val="003A6FA3"/>
    <w:rsid w:val="003B3EE7"/>
    <w:rsid w:val="003B5F92"/>
    <w:rsid w:val="003B78BF"/>
    <w:rsid w:val="003C2E29"/>
    <w:rsid w:val="003C33B7"/>
    <w:rsid w:val="003C3894"/>
    <w:rsid w:val="003C4260"/>
    <w:rsid w:val="003D0D9A"/>
    <w:rsid w:val="003D47B3"/>
    <w:rsid w:val="003E2B24"/>
    <w:rsid w:val="003E3A5B"/>
    <w:rsid w:val="003E48C1"/>
    <w:rsid w:val="003E50C1"/>
    <w:rsid w:val="003E6B0E"/>
    <w:rsid w:val="003F041E"/>
    <w:rsid w:val="003F357A"/>
    <w:rsid w:val="003F7CD4"/>
    <w:rsid w:val="00400793"/>
    <w:rsid w:val="00401478"/>
    <w:rsid w:val="004032B2"/>
    <w:rsid w:val="0041197F"/>
    <w:rsid w:val="00414192"/>
    <w:rsid w:val="004227FA"/>
    <w:rsid w:val="00431C32"/>
    <w:rsid w:val="00436B3F"/>
    <w:rsid w:val="00441337"/>
    <w:rsid w:val="004416BB"/>
    <w:rsid w:val="00444DF3"/>
    <w:rsid w:val="004534D8"/>
    <w:rsid w:val="0045464A"/>
    <w:rsid w:val="00455946"/>
    <w:rsid w:val="00461740"/>
    <w:rsid w:val="0046406C"/>
    <w:rsid w:val="00465DC1"/>
    <w:rsid w:val="0047175F"/>
    <w:rsid w:val="00472BA9"/>
    <w:rsid w:val="00472D14"/>
    <w:rsid w:val="00474E14"/>
    <w:rsid w:val="00475A95"/>
    <w:rsid w:val="00476776"/>
    <w:rsid w:val="00480839"/>
    <w:rsid w:val="004846D6"/>
    <w:rsid w:val="00493765"/>
    <w:rsid w:val="00496415"/>
    <w:rsid w:val="004A1BDE"/>
    <w:rsid w:val="004A26CB"/>
    <w:rsid w:val="004A3687"/>
    <w:rsid w:val="004A7290"/>
    <w:rsid w:val="004B25D9"/>
    <w:rsid w:val="004B3EB7"/>
    <w:rsid w:val="004B420C"/>
    <w:rsid w:val="004B7B2C"/>
    <w:rsid w:val="004C0EE9"/>
    <w:rsid w:val="004C1817"/>
    <w:rsid w:val="004C198C"/>
    <w:rsid w:val="004C585A"/>
    <w:rsid w:val="004C7A18"/>
    <w:rsid w:val="004C7FBE"/>
    <w:rsid w:val="004D3CB5"/>
    <w:rsid w:val="004D575C"/>
    <w:rsid w:val="004D77C9"/>
    <w:rsid w:val="004E06E1"/>
    <w:rsid w:val="004E1C84"/>
    <w:rsid w:val="004E1D6E"/>
    <w:rsid w:val="004E7C45"/>
    <w:rsid w:val="004F02ED"/>
    <w:rsid w:val="004F5692"/>
    <w:rsid w:val="004F60BF"/>
    <w:rsid w:val="00503DCF"/>
    <w:rsid w:val="0050410B"/>
    <w:rsid w:val="00504AE2"/>
    <w:rsid w:val="00505536"/>
    <w:rsid w:val="00506FEF"/>
    <w:rsid w:val="00507C76"/>
    <w:rsid w:val="00512F95"/>
    <w:rsid w:val="00514C4F"/>
    <w:rsid w:val="00517FC9"/>
    <w:rsid w:val="005265EE"/>
    <w:rsid w:val="00526AC7"/>
    <w:rsid w:val="00531E40"/>
    <w:rsid w:val="00532708"/>
    <w:rsid w:val="0053313C"/>
    <w:rsid w:val="00533D15"/>
    <w:rsid w:val="00542A3B"/>
    <w:rsid w:val="0054697B"/>
    <w:rsid w:val="00551CC3"/>
    <w:rsid w:val="00554CCD"/>
    <w:rsid w:val="00556AA0"/>
    <w:rsid w:val="005571F9"/>
    <w:rsid w:val="00560038"/>
    <w:rsid w:val="00565CEF"/>
    <w:rsid w:val="00566C29"/>
    <w:rsid w:val="00566F11"/>
    <w:rsid w:val="0057065C"/>
    <w:rsid w:val="00571707"/>
    <w:rsid w:val="00571936"/>
    <w:rsid w:val="00571D46"/>
    <w:rsid w:val="0057447F"/>
    <w:rsid w:val="00574BA3"/>
    <w:rsid w:val="0058221A"/>
    <w:rsid w:val="00585A31"/>
    <w:rsid w:val="00590ADE"/>
    <w:rsid w:val="00592E15"/>
    <w:rsid w:val="00593821"/>
    <w:rsid w:val="00594F1D"/>
    <w:rsid w:val="00595612"/>
    <w:rsid w:val="005A2C1B"/>
    <w:rsid w:val="005A31D3"/>
    <w:rsid w:val="005A4FB9"/>
    <w:rsid w:val="005A7AD7"/>
    <w:rsid w:val="005B074A"/>
    <w:rsid w:val="005B57B5"/>
    <w:rsid w:val="005B67B5"/>
    <w:rsid w:val="005C5C34"/>
    <w:rsid w:val="005D0C36"/>
    <w:rsid w:val="005D194B"/>
    <w:rsid w:val="005D3918"/>
    <w:rsid w:val="005D3E73"/>
    <w:rsid w:val="005D52B7"/>
    <w:rsid w:val="005D7102"/>
    <w:rsid w:val="005D79E5"/>
    <w:rsid w:val="005E172F"/>
    <w:rsid w:val="005E454A"/>
    <w:rsid w:val="005E786E"/>
    <w:rsid w:val="005F382D"/>
    <w:rsid w:val="005F3E6A"/>
    <w:rsid w:val="005F57E0"/>
    <w:rsid w:val="00604C08"/>
    <w:rsid w:val="00605FB9"/>
    <w:rsid w:val="00607569"/>
    <w:rsid w:val="00610C48"/>
    <w:rsid w:val="00611083"/>
    <w:rsid w:val="0061108C"/>
    <w:rsid w:val="00612136"/>
    <w:rsid w:val="00616229"/>
    <w:rsid w:val="00616329"/>
    <w:rsid w:val="00616D0D"/>
    <w:rsid w:val="006214B4"/>
    <w:rsid w:val="006234A2"/>
    <w:rsid w:val="00627D39"/>
    <w:rsid w:val="00632931"/>
    <w:rsid w:val="0063404C"/>
    <w:rsid w:val="00635885"/>
    <w:rsid w:val="00637238"/>
    <w:rsid w:val="00641DC9"/>
    <w:rsid w:val="00643231"/>
    <w:rsid w:val="006432C3"/>
    <w:rsid w:val="00643C55"/>
    <w:rsid w:val="00647F90"/>
    <w:rsid w:val="00654C38"/>
    <w:rsid w:val="00670F50"/>
    <w:rsid w:val="00671AEB"/>
    <w:rsid w:val="00676CD2"/>
    <w:rsid w:val="00684C23"/>
    <w:rsid w:val="006856EC"/>
    <w:rsid w:val="00686054"/>
    <w:rsid w:val="006922E5"/>
    <w:rsid w:val="006945F5"/>
    <w:rsid w:val="00694C4E"/>
    <w:rsid w:val="00696C3D"/>
    <w:rsid w:val="006A2917"/>
    <w:rsid w:val="006A3A6C"/>
    <w:rsid w:val="006A441B"/>
    <w:rsid w:val="006A7152"/>
    <w:rsid w:val="006A7328"/>
    <w:rsid w:val="006B0ABF"/>
    <w:rsid w:val="006B1BCE"/>
    <w:rsid w:val="006B2751"/>
    <w:rsid w:val="006B5900"/>
    <w:rsid w:val="006B7B30"/>
    <w:rsid w:val="006C30F1"/>
    <w:rsid w:val="006C79D0"/>
    <w:rsid w:val="006D1F6F"/>
    <w:rsid w:val="006D2962"/>
    <w:rsid w:val="006D5813"/>
    <w:rsid w:val="006D6999"/>
    <w:rsid w:val="006E199A"/>
    <w:rsid w:val="006F0429"/>
    <w:rsid w:val="006F15C0"/>
    <w:rsid w:val="006F40B7"/>
    <w:rsid w:val="00702C13"/>
    <w:rsid w:val="00706F64"/>
    <w:rsid w:val="00712521"/>
    <w:rsid w:val="007226AA"/>
    <w:rsid w:val="007269C2"/>
    <w:rsid w:val="00730C89"/>
    <w:rsid w:val="0073290B"/>
    <w:rsid w:val="00733191"/>
    <w:rsid w:val="0073324E"/>
    <w:rsid w:val="007343D9"/>
    <w:rsid w:val="0073530B"/>
    <w:rsid w:val="00743A51"/>
    <w:rsid w:val="007451DE"/>
    <w:rsid w:val="007467C8"/>
    <w:rsid w:val="00746FA9"/>
    <w:rsid w:val="007474FA"/>
    <w:rsid w:val="00751D77"/>
    <w:rsid w:val="00755055"/>
    <w:rsid w:val="00756606"/>
    <w:rsid w:val="007572A4"/>
    <w:rsid w:val="00761BA5"/>
    <w:rsid w:val="00762448"/>
    <w:rsid w:val="00765643"/>
    <w:rsid w:val="00770A16"/>
    <w:rsid w:val="00773A2C"/>
    <w:rsid w:val="00775908"/>
    <w:rsid w:val="00776A16"/>
    <w:rsid w:val="00782762"/>
    <w:rsid w:val="0078305E"/>
    <w:rsid w:val="00783860"/>
    <w:rsid w:val="007929EB"/>
    <w:rsid w:val="0079312E"/>
    <w:rsid w:val="007A07DE"/>
    <w:rsid w:val="007A0BB0"/>
    <w:rsid w:val="007A47B3"/>
    <w:rsid w:val="007A7501"/>
    <w:rsid w:val="007A7621"/>
    <w:rsid w:val="007A7DCB"/>
    <w:rsid w:val="007A7E2F"/>
    <w:rsid w:val="007B0F06"/>
    <w:rsid w:val="007B72F4"/>
    <w:rsid w:val="007C0514"/>
    <w:rsid w:val="007C2A5A"/>
    <w:rsid w:val="007C444B"/>
    <w:rsid w:val="007C565B"/>
    <w:rsid w:val="007C7531"/>
    <w:rsid w:val="007D06F2"/>
    <w:rsid w:val="007D1B35"/>
    <w:rsid w:val="007D402A"/>
    <w:rsid w:val="007E0726"/>
    <w:rsid w:val="007E1467"/>
    <w:rsid w:val="007E2A76"/>
    <w:rsid w:val="007E359B"/>
    <w:rsid w:val="007E5034"/>
    <w:rsid w:val="007E574B"/>
    <w:rsid w:val="007E72D3"/>
    <w:rsid w:val="007E776C"/>
    <w:rsid w:val="007E7960"/>
    <w:rsid w:val="007F12CA"/>
    <w:rsid w:val="007F23DB"/>
    <w:rsid w:val="007F3C14"/>
    <w:rsid w:val="007F495E"/>
    <w:rsid w:val="007F4EAE"/>
    <w:rsid w:val="007F76B4"/>
    <w:rsid w:val="007F7EC2"/>
    <w:rsid w:val="00800255"/>
    <w:rsid w:val="00806BFF"/>
    <w:rsid w:val="00810981"/>
    <w:rsid w:val="00813309"/>
    <w:rsid w:val="00821138"/>
    <w:rsid w:val="008231C4"/>
    <w:rsid w:val="00825CBE"/>
    <w:rsid w:val="008279EB"/>
    <w:rsid w:val="00835CF1"/>
    <w:rsid w:val="0084597D"/>
    <w:rsid w:val="00853F7E"/>
    <w:rsid w:val="00854DCF"/>
    <w:rsid w:val="00856654"/>
    <w:rsid w:val="008611EE"/>
    <w:rsid w:val="00861723"/>
    <w:rsid w:val="00861AE2"/>
    <w:rsid w:val="00866C32"/>
    <w:rsid w:val="00866F22"/>
    <w:rsid w:val="00867CB5"/>
    <w:rsid w:val="00870C01"/>
    <w:rsid w:val="00877F90"/>
    <w:rsid w:val="008816CC"/>
    <w:rsid w:val="00884848"/>
    <w:rsid w:val="00886CA9"/>
    <w:rsid w:val="00887F8C"/>
    <w:rsid w:val="008A44D7"/>
    <w:rsid w:val="008A5644"/>
    <w:rsid w:val="008A5910"/>
    <w:rsid w:val="008A5BD4"/>
    <w:rsid w:val="008A7368"/>
    <w:rsid w:val="008B3884"/>
    <w:rsid w:val="008B5687"/>
    <w:rsid w:val="008B6662"/>
    <w:rsid w:val="008C3085"/>
    <w:rsid w:val="008C380A"/>
    <w:rsid w:val="008C5DA0"/>
    <w:rsid w:val="008D0F52"/>
    <w:rsid w:val="008D283A"/>
    <w:rsid w:val="008D2BEB"/>
    <w:rsid w:val="008D2D5C"/>
    <w:rsid w:val="008D3E9C"/>
    <w:rsid w:val="009002FD"/>
    <w:rsid w:val="00904FA8"/>
    <w:rsid w:val="009055CC"/>
    <w:rsid w:val="00906D1A"/>
    <w:rsid w:val="009104A9"/>
    <w:rsid w:val="009113DE"/>
    <w:rsid w:val="009140B2"/>
    <w:rsid w:val="009178BF"/>
    <w:rsid w:val="0092085A"/>
    <w:rsid w:val="00926416"/>
    <w:rsid w:val="00930DA0"/>
    <w:rsid w:val="00932522"/>
    <w:rsid w:val="009356CC"/>
    <w:rsid w:val="00943655"/>
    <w:rsid w:val="009450F4"/>
    <w:rsid w:val="00953719"/>
    <w:rsid w:val="00955C12"/>
    <w:rsid w:val="00955FFD"/>
    <w:rsid w:val="00960606"/>
    <w:rsid w:val="009620E8"/>
    <w:rsid w:val="0097036D"/>
    <w:rsid w:val="009828D9"/>
    <w:rsid w:val="009935BA"/>
    <w:rsid w:val="0099493D"/>
    <w:rsid w:val="0099541D"/>
    <w:rsid w:val="009A64A6"/>
    <w:rsid w:val="009A71F3"/>
    <w:rsid w:val="009B31CC"/>
    <w:rsid w:val="009B45AA"/>
    <w:rsid w:val="009C5229"/>
    <w:rsid w:val="009C7B4D"/>
    <w:rsid w:val="009D0396"/>
    <w:rsid w:val="009D1F42"/>
    <w:rsid w:val="009D5E0D"/>
    <w:rsid w:val="009E1C04"/>
    <w:rsid w:val="009E4995"/>
    <w:rsid w:val="009E5A28"/>
    <w:rsid w:val="009F2311"/>
    <w:rsid w:val="009F294D"/>
    <w:rsid w:val="009F5375"/>
    <w:rsid w:val="00A100F1"/>
    <w:rsid w:val="00A14F5E"/>
    <w:rsid w:val="00A22FBC"/>
    <w:rsid w:val="00A23603"/>
    <w:rsid w:val="00A26357"/>
    <w:rsid w:val="00A362F7"/>
    <w:rsid w:val="00A407E5"/>
    <w:rsid w:val="00A50934"/>
    <w:rsid w:val="00A52486"/>
    <w:rsid w:val="00A57BEF"/>
    <w:rsid w:val="00A62FBB"/>
    <w:rsid w:val="00A65EFB"/>
    <w:rsid w:val="00A70BB6"/>
    <w:rsid w:val="00A72F1C"/>
    <w:rsid w:val="00A734EF"/>
    <w:rsid w:val="00A75D43"/>
    <w:rsid w:val="00A7632E"/>
    <w:rsid w:val="00A776C9"/>
    <w:rsid w:val="00A82E62"/>
    <w:rsid w:val="00A83B72"/>
    <w:rsid w:val="00A8624E"/>
    <w:rsid w:val="00A867AB"/>
    <w:rsid w:val="00A877C0"/>
    <w:rsid w:val="00A93FD6"/>
    <w:rsid w:val="00AA06DC"/>
    <w:rsid w:val="00AA169A"/>
    <w:rsid w:val="00AA43BC"/>
    <w:rsid w:val="00AB15FA"/>
    <w:rsid w:val="00AB2932"/>
    <w:rsid w:val="00AB76D0"/>
    <w:rsid w:val="00AC1FE0"/>
    <w:rsid w:val="00AC21AB"/>
    <w:rsid w:val="00AC2769"/>
    <w:rsid w:val="00AD07FE"/>
    <w:rsid w:val="00AD0E8B"/>
    <w:rsid w:val="00AD1035"/>
    <w:rsid w:val="00AD1D28"/>
    <w:rsid w:val="00AD39A8"/>
    <w:rsid w:val="00AD6903"/>
    <w:rsid w:val="00AE23C7"/>
    <w:rsid w:val="00AE45EC"/>
    <w:rsid w:val="00AE4AED"/>
    <w:rsid w:val="00AE728E"/>
    <w:rsid w:val="00AF5A78"/>
    <w:rsid w:val="00AF61A1"/>
    <w:rsid w:val="00AF627C"/>
    <w:rsid w:val="00AF6BEE"/>
    <w:rsid w:val="00AF6C2B"/>
    <w:rsid w:val="00AF721F"/>
    <w:rsid w:val="00B00A78"/>
    <w:rsid w:val="00B02CC5"/>
    <w:rsid w:val="00B041D1"/>
    <w:rsid w:val="00B113AB"/>
    <w:rsid w:val="00B1469C"/>
    <w:rsid w:val="00B20519"/>
    <w:rsid w:val="00B26574"/>
    <w:rsid w:val="00B33F0A"/>
    <w:rsid w:val="00B36D50"/>
    <w:rsid w:val="00B408C3"/>
    <w:rsid w:val="00B41145"/>
    <w:rsid w:val="00B41158"/>
    <w:rsid w:val="00B42233"/>
    <w:rsid w:val="00B454F3"/>
    <w:rsid w:val="00B46091"/>
    <w:rsid w:val="00B474CD"/>
    <w:rsid w:val="00B476CC"/>
    <w:rsid w:val="00B50616"/>
    <w:rsid w:val="00B528DB"/>
    <w:rsid w:val="00B54954"/>
    <w:rsid w:val="00B5498E"/>
    <w:rsid w:val="00B54EC9"/>
    <w:rsid w:val="00B61912"/>
    <w:rsid w:val="00B63592"/>
    <w:rsid w:val="00B66CE3"/>
    <w:rsid w:val="00B7341F"/>
    <w:rsid w:val="00B74278"/>
    <w:rsid w:val="00B768B5"/>
    <w:rsid w:val="00B8598D"/>
    <w:rsid w:val="00B87A64"/>
    <w:rsid w:val="00B90A14"/>
    <w:rsid w:val="00BA1451"/>
    <w:rsid w:val="00BA16F6"/>
    <w:rsid w:val="00BA25B0"/>
    <w:rsid w:val="00BA37FB"/>
    <w:rsid w:val="00BA3D90"/>
    <w:rsid w:val="00BA6E1A"/>
    <w:rsid w:val="00BB3C65"/>
    <w:rsid w:val="00BB5526"/>
    <w:rsid w:val="00BB5985"/>
    <w:rsid w:val="00BB7583"/>
    <w:rsid w:val="00BC04D1"/>
    <w:rsid w:val="00BC0BAC"/>
    <w:rsid w:val="00BD7A36"/>
    <w:rsid w:val="00BE0DC5"/>
    <w:rsid w:val="00BE4F4F"/>
    <w:rsid w:val="00BE5370"/>
    <w:rsid w:val="00BE5CC3"/>
    <w:rsid w:val="00BF303E"/>
    <w:rsid w:val="00BF3EE6"/>
    <w:rsid w:val="00BF3F49"/>
    <w:rsid w:val="00BF48C0"/>
    <w:rsid w:val="00BF5D23"/>
    <w:rsid w:val="00BF7598"/>
    <w:rsid w:val="00C02A70"/>
    <w:rsid w:val="00C11249"/>
    <w:rsid w:val="00C146A7"/>
    <w:rsid w:val="00C162FE"/>
    <w:rsid w:val="00C22574"/>
    <w:rsid w:val="00C2319E"/>
    <w:rsid w:val="00C339DA"/>
    <w:rsid w:val="00C35B4A"/>
    <w:rsid w:val="00C42681"/>
    <w:rsid w:val="00C43B89"/>
    <w:rsid w:val="00C448C8"/>
    <w:rsid w:val="00C44E65"/>
    <w:rsid w:val="00C501DF"/>
    <w:rsid w:val="00C54242"/>
    <w:rsid w:val="00C54CEA"/>
    <w:rsid w:val="00C55C06"/>
    <w:rsid w:val="00C57F65"/>
    <w:rsid w:val="00C63E8E"/>
    <w:rsid w:val="00C64EE3"/>
    <w:rsid w:val="00C662BB"/>
    <w:rsid w:val="00C679D6"/>
    <w:rsid w:val="00C73E7F"/>
    <w:rsid w:val="00C763FF"/>
    <w:rsid w:val="00C7697C"/>
    <w:rsid w:val="00C76B71"/>
    <w:rsid w:val="00C851B0"/>
    <w:rsid w:val="00C865B8"/>
    <w:rsid w:val="00C86C5B"/>
    <w:rsid w:val="00C871B7"/>
    <w:rsid w:val="00C91B2F"/>
    <w:rsid w:val="00C93E33"/>
    <w:rsid w:val="00C96708"/>
    <w:rsid w:val="00CA6207"/>
    <w:rsid w:val="00CB1E86"/>
    <w:rsid w:val="00CB3660"/>
    <w:rsid w:val="00CB652C"/>
    <w:rsid w:val="00CC0A57"/>
    <w:rsid w:val="00CC1595"/>
    <w:rsid w:val="00CC25E2"/>
    <w:rsid w:val="00CC50DA"/>
    <w:rsid w:val="00CC5617"/>
    <w:rsid w:val="00CC66F6"/>
    <w:rsid w:val="00CD0D7A"/>
    <w:rsid w:val="00CD1E43"/>
    <w:rsid w:val="00CD35F2"/>
    <w:rsid w:val="00CD7C56"/>
    <w:rsid w:val="00CD7E64"/>
    <w:rsid w:val="00CE4D94"/>
    <w:rsid w:val="00CE52CF"/>
    <w:rsid w:val="00CE757E"/>
    <w:rsid w:val="00CF0A79"/>
    <w:rsid w:val="00CF607E"/>
    <w:rsid w:val="00CF6190"/>
    <w:rsid w:val="00D025ED"/>
    <w:rsid w:val="00D05888"/>
    <w:rsid w:val="00D1097A"/>
    <w:rsid w:val="00D109EB"/>
    <w:rsid w:val="00D2073C"/>
    <w:rsid w:val="00D20BFE"/>
    <w:rsid w:val="00D260A9"/>
    <w:rsid w:val="00D316BF"/>
    <w:rsid w:val="00D414C8"/>
    <w:rsid w:val="00D422AE"/>
    <w:rsid w:val="00D42677"/>
    <w:rsid w:val="00D445E0"/>
    <w:rsid w:val="00D44DDC"/>
    <w:rsid w:val="00D465F3"/>
    <w:rsid w:val="00D518A5"/>
    <w:rsid w:val="00D52902"/>
    <w:rsid w:val="00D53593"/>
    <w:rsid w:val="00D57085"/>
    <w:rsid w:val="00D579A8"/>
    <w:rsid w:val="00D607EE"/>
    <w:rsid w:val="00D60B9A"/>
    <w:rsid w:val="00D60DF1"/>
    <w:rsid w:val="00D61716"/>
    <w:rsid w:val="00D61A82"/>
    <w:rsid w:val="00D61E0D"/>
    <w:rsid w:val="00D66193"/>
    <w:rsid w:val="00D73AD5"/>
    <w:rsid w:val="00D759ED"/>
    <w:rsid w:val="00D76625"/>
    <w:rsid w:val="00D82D20"/>
    <w:rsid w:val="00D87952"/>
    <w:rsid w:val="00D87B6B"/>
    <w:rsid w:val="00DA466C"/>
    <w:rsid w:val="00DB1248"/>
    <w:rsid w:val="00DB3A24"/>
    <w:rsid w:val="00DB3E7B"/>
    <w:rsid w:val="00DB4441"/>
    <w:rsid w:val="00DC0D0C"/>
    <w:rsid w:val="00DC3FE1"/>
    <w:rsid w:val="00DC5CE9"/>
    <w:rsid w:val="00DD665A"/>
    <w:rsid w:val="00DF5C84"/>
    <w:rsid w:val="00DF7D7A"/>
    <w:rsid w:val="00E03A82"/>
    <w:rsid w:val="00E053B3"/>
    <w:rsid w:val="00E05678"/>
    <w:rsid w:val="00E126E0"/>
    <w:rsid w:val="00E14243"/>
    <w:rsid w:val="00E21E63"/>
    <w:rsid w:val="00E246DC"/>
    <w:rsid w:val="00E25D77"/>
    <w:rsid w:val="00E34097"/>
    <w:rsid w:val="00E34207"/>
    <w:rsid w:val="00E356CE"/>
    <w:rsid w:val="00E35D61"/>
    <w:rsid w:val="00E43733"/>
    <w:rsid w:val="00E45229"/>
    <w:rsid w:val="00E46BA7"/>
    <w:rsid w:val="00E47782"/>
    <w:rsid w:val="00E50CF8"/>
    <w:rsid w:val="00E54805"/>
    <w:rsid w:val="00E54FD8"/>
    <w:rsid w:val="00E62A2C"/>
    <w:rsid w:val="00E66B22"/>
    <w:rsid w:val="00E71050"/>
    <w:rsid w:val="00E7252C"/>
    <w:rsid w:val="00E75CF7"/>
    <w:rsid w:val="00E81BCE"/>
    <w:rsid w:val="00E82BF2"/>
    <w:rsid w:val="00E84359"/>
    <w:rsid w:val="00E85594"/>
    <w:rsid w:val="00E9198B"/>
    <w:rsid w:val="00E96E81"/>
    <w:rsid w:val="00EA0271"/>
    <w:rsid w:val="00EC40F7"/>
    <w:rsid w:val="00EC5880"/>
    <w:rsid w:val="00ED0A73"/>
    <w:rsid w:val="00ED1B9B"/>
    <w:rsid w:val="00ED2AD4"/>
    <w:rsid w:val="00ED66D4"/>
    <w:rsid w:val="00ED76FE"/>
    <w:rsid w:val="00EE50D4"/>
    <w:rsid w:val="00EF2D49"/>
    <w:rsid w:val="00EF3EF3"/>
    <w:rsid w:val="00EF7529"/>
    <w:rsid w:val="00F00F33"/>
    <w:rsid w:val="00F06667"/>
    <w:rsid w:val="00F069D4"/>
    <w:rsid w:val="00F10250"/>
    <w:rsid w:val="00F11C0B"/>
    <w:rsid w:val="00F12397"/>
    <w:rsid w:val="00F17979"/>
    <w:rsid w:val="00F249AB"/>
    <w:rsid w:val="00F30F8B"/>
    <w:rsid w:val="00F32613"/>
    <w:rsid w:val="00F3683E"/>
    <w:rsid w:val="00F44756"/>
    <w:rsid w:val="00F52676"/>
    <w:rsid w:val="00F531E0"/>
    <w:rsid w:val="00F53568"/>
    <w:rsid w:val="00F556E6"/>
    <w:rsid w:val="00F560A7"/>
    <w:rsid w:val="00F57044"/>
    <w:rsid w:val="00F640E9"/>
    <w:rsid w:val="00F66E0A"/>
    <w:rsid w:val="00F6716B"/>
    <w:rsid w:val="00F70DF9"/>
    <w:rsid w:val="00F77B1A"/>
    <w:rsid w:val="00F77C34"/>
    <w:rsid w:val="00F811E3"/>
    <w:rsid w:val="00F8173C"/>
    <w:rsid w:val="00F81EDA"/>
    <w:rsid w:val="00F8205E"/>
    <w:rsid w:val="00F828CC"/>
    <w:rsid w:val="00F8378F"/>
    <w:rsid w:val="00F841CB"/>
    <w:rsid w:val="00F858D9"/>
    <w:rsid w:val="00F93186"/>
    <w:rsid w:val="00FA04E3"/>
    <w:rsid w:val="00FA5773"/>
    <w:rsid w:val="00FA5D30"/>
    <w:rsid w:val="00FA6B7A"/>
    <w:rsid w:val="00FB1808"/>
    <w:rsid w:val="00FB19E3"/>
    <w:rsid w:val="00FB54A5"/>
    <w:rsid w:val="00FB69A3"/>
    <w:rsid w:val="00FB6E14"/>
    <w:rsid w:val="00FC059B"/>
    <w:rsid w:val="00FC21EE"/>
    <w:rsid w:val="00FC25AB"/>
    <w:rsid w:val="00FC2F58"/>
    <w:rsid w:val="00FD0571"/>
    <w:rsid w:val="00FD2871"/>
    <w:rsid w:val="00FD4C37"/>
    <w:rsid w:val="00FD7770"/>
    <w:rsid w:val="00FE2636"/>
    <w:rsid w:val="00FE2A1C"/>
    <w:rsid w:val="00FE509F"/>
    <w:rsid w:val="00FE6829"/>
    <w:rsid w:val="00FE6AFE"/>
    <w:rsid w:val="00FE7DF8"/>
    <w:rsid w:val="00FF3E7A"/>
    <w:rsid w:val="00FF463C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59ED"/>
    <w:pPr>
      <w:ind w:left="720"/>
      <w:contextualSpacing/>
    </w:pPr>
  </w:style>
  <w:style w:type="character" w:styleId="Hyperlink">
    <w:name w:val="Hyperlink"/>
    <w:uiPriority w:val="99"/>
    <w:unhideWhenUsed/>
    <w:rsid w:val="0063588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06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667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4D77C9"/>
  </w:style>
  <w:style w:type="character" w:customStyle="1" w:styleId="Heading1Char">
    <w:name w:val="Heading 1 Char"/>
    <w:basedOn w:val="DefaultParagraphFont"/>
    <w:link w:val="Heading1"/>
    <w:uiPriority w:val="9"/>
    <w:rsid w:val="00065D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3802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02F0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640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08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431C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le1">
    <w:name w:val="title1"/>
    <w:basedOn w:val="Normal"/>
    <w:rsid w:val="007269C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GB" w:eastAsia="en-GB"/>
    </w:rPr>
  </w:style>
  <w:style w:type="paragraph" w:customStyle="1" w:styleId="desc2">
    <w:name w:val="desc2"/>
    <w:basedOn w:val="Normal"/>
    <w:rsid w:val="007269C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customStyle="1" w:styleId="details1">
    <w:name w:val="details1"/>
    <w:basedOn w:val="Normal"/>
    <w:rsid w:val="007269C2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jrnl">
    <w:name w:val="jrnl"/>
    <w:basedOn w:val="DefaultParagraphFont"/>
    <w:rsid w:val="007269C2"/>
  </w:style>
  <w:style w:type="paragraph" w:styleId="Revision">
    <w:name w:val="Revision"/>
    <w:hidden/>
    <w:uiPriority w:val="99"/>
    <w:semiHidden/>
    <w:rsid w:val="00D414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F9"/>
  </w:style>
  <w:style w:type="paragraph" w:styleId="Footer">
    <w:name w:val="footer"/>
    <w:basedOn w:val="Normal"/>
    <w:link w:val="FooterChar"/>
    <w:uiPriority w:val="99"/>
    <w:unhideWhenUsed/>
    <w:rsid w:val="0055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1F9"/>
  </w:style>
  <w:style w:type="character" w:customStyle="1" w:styleId="st">
    <w:name w:val="st"/>
    <w:basedOn w:val="DefaultParagraphFont"/>
    <w:rsid w:val="0001546E"/>
  </w:style>
  <w:style w:type="table" w:customStyle="1" w:styleId="LightShading-Accent12">
    <w:name w:val="Light Shading - Accent 12"/>
    <w:basedOn w:val="TableNormal"/>
    <w:uiPriority w:val="60"/>
    <w:rsid w:val="00F811E3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ms-sitemapdirectional">
    <w:name w:val="ms-sitemapdirectional"/>
    <w:basedOn w:val="DefaultParagraphFont"/>
    <w:rsid w:val="007E7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59ED"/>
    <w:pPr>
      <w:ind w:left="720"/>
      <w:contextualSpacing/>
    </w:pPr>
  </w:style>
  <w:style w:type="character" w:styleId="Hyperlink">
    <w:name w:val="Hyperlink"/>
    <w:uiPriority w:val="99"/>
    <w:unhideWhenUsed/>
    <w:rsid w:val="0063588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06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667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4D77C9"/>
  </w:style>
  <w:style w:type="character" w:customStyle="1" w:styleId="Heading1Char">
    <w:name w:val="Heading 1 Char"/>
    <w:basedOn w:val="DefaultParagraphFont"/>
    <w:link w:val="Heading1"/>
    <w:uiPriority w:val="9"/>
    <w:rsid w:val="00065D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3802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02F0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640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08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431C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le1">
    <w:name w:val="title1"/>
    <w:basedOn w:val="Normal"/>
    <w:rsid w:val="007269C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GB" w:eastAsia="en-GB"/>
    </w:rPr>
  </w:style>
  <w:style w:type="paragraph" w:customStyle="1" w:styleId="desc2">
    <w:name w:val="desc2"/>
    <w:basedOn w:val="Normal"/>
    <w:rsid w:val="007269C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customStyle="1" w:styleId="details1">
    <w:name w:val="details1"/>
    <w:basedOn w:val="Normal"/>
    <w:rsid w:val="007269C2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jrnl">
    <w:name w:val="jrnl"/>
    <w:basedOn w:val="DefaultParagraphFont"/>
    <w:rsid w:val="007269C2"/>
  </w:style>
  <w:style w:type="paragraph" w:styleId="Revision">
    <w:name w:val="Revision"/>
    <w:hidden/>
    <w:uiPriority w:val="99"/>
    <w:semiHidden/>
    <w:rsid w:val="00D414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F9"/>
  </w:style>
  <w:style w:type="paragraph" w:styleId="Footer">
    <w:name w:val="footer"/>
    <w:basedOn w:val="Normal"/>
    <w:link w:val="FooterChar"/>
    <w:uiPriority w:val="99"/>
    <w:unhideWhenUsed/>
    <w:rsid w:val="0055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1F9"/>
  </w:style>
  <w:style w:type="character" w:customStyle="1" w:styleId="st">
    <w:name w:val="st"/>
    <w:basedOn w:val="DefaultParagraphFont"/>
    <w:rsid w:val="0001546E"/>
  </w:style>
  <w:style w:type="table" w:customStyle="1" w:styleId="LightShading-Accent12">
    <w:name w:val="Light Shading - Accent 12"/>
    <w:basedOn w:val="TableNormal"/>
    <w:uiPriority w:val="60"/>
    <w:rsid w:val="00F811E3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ms-sitemapdirectional">
    <w:name w:val="ms-sitemapdirectional"/>
    <w:basedOn w:val="DefaultParagraphFont"/>
    <w:rsid w:val="007E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778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74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08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43353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308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5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B9721FF2805439A44A2966F92F8D8" ma:contentTypeVersion="0" ma:contentTypeDescription="Create a new document." ma:contentTypeScope="" ma:versionID="9381d894918b851652c30326fe772e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89AD-2634-481C-9BEB-E515A2375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3D3ED7-D04C-4886-98C0-BAA1A6350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67D05-3EC3-41AC-B23D-FA026AAF03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03961A-295C-48AD-A021-BD533065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CSHS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JKahle</dc:creator>
  <cp:lastModifiedBy>JKahle</cp:lastModifiedBy>
  <cp:revision>2</cp:revision>
  <cp:lastPrinted>2014-08-12T12:40:00Z</cp:lastPrinted>
  <dcterms:created xsi:type="dcterms:W3CDTF">2015-01-26T15:11:00Z</dcterms:created>
  <dcterms:modified xsi:type="dcterms:W3CDTF">2015-01-26T15:11:00Z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0x0101006D0B9721FF2805439A44A2966F92F8D8</vt:lpwstr>
  </property>
</Properties>
</file>