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B23BE" w14:textId="77777777" w:rsidR="005F2DC2" w:rsidRPr="004A2281" w:rsidRDefault="004A2281">
      <w:pPr>
        <w:rPr>
          <w:b/>
          <w:sz w:val="24"/>
          <w:szCs w:val="24"/>
          <w:lang w:val="en-US"/>
        </w:rPr>
      </w:pPr>
      <w:r w:rsidRPr="004A2281">
        <w:rPr>
          <w:b/>
          <w:sz w:val="24"/>
          <w:szCs w:val="24"/>
          <w:lang w:val="en-US"/>
        </w:rPr>
        <w:t>SUPPLEMENTARY TEXT</w:t>
      </w:r>
    </w:p>
    <w:p w14:paraId="5EE0402C" w14:textId="77777777" w:rsidR="00F96DD7" w:rsidRDefault="00F96DD7">
      <w:pPr>
        <w:rPr>
          <w:b/>
          <w:sz w:val="24"/>
          <w:szCs w:val="24"/>
          <w:lang w:val="en-US"/>
        </w:rPr>
      </w:pPr>
    </w:p>
    <w:p w14:paraId="6D46DFC0" w14:textId="77777777" w:rsidR="006809CE" w:rsidRPr="004A2281" w:rsidRDefault="004A2281">
      <w:pPr>
        <w:rPr>
          <w:b/>
          <w:sz w:val="24"/>
          <w:szCs w:val="24"/>
          <w:lang w:val="en-US"/>
        </w:rPr>
      </w:pPr>
      <w:r w:rsidRPr="004A2281">
        <w:rPr>
          <w:b/>
          <w:sz w:val="24"/>
          <w:szCs w:val="24"/>
          <w:lang w:val="en-US"/>
        </w:rPr>
        <w:t>Determination of family history of psychosis</w:t>
      </w:r>
    </w:p>
    <w:p w14:paraId="2B31FDD8" w14:textId="67E7C02F" w:rsidR="004A2281" w:rsidRPr="00F8233B" w:rsidRDefault="005E5CB3" w:rsidP="0033026F">
      <w:pPr>
        <w:spacing w:line="360" w:lineRule="auto"/>
        <w:jc w:val="both"/>
        <w:rPr>
          <w:rFonts w:eastAsia="Times New Roman" w:cs="Times New Roman"/>
          <w:sz w:val="24"/>
          <w:szCs w:val="24"/>
          <w:shd w:val="clear" w:color="auto" w:fill="FFFFFF"/>
          <w:lang w:val="en-US"/>
        </w:rPr>
      </w:pPr>
      <w:r>
        <w:rPr>
          <w:sz w:val="24"/>
          <w:szCs w:val="24"/>
          <w:lang w:val="en-US"/>
        </w:rPr>
        <w:t>P</w:t>
      </w:r>
      <w:r w:rsidR="004A2281">
        <w:rPr>
          <w:sz w:val="24"/>
          <w:szCs w:val="24"/>
          <w:lang w:val="en-US"/>
        </w:rPr>
        <w:t>sychiatric diagnoses among bi</w:t>
      </w:r>
      <w:r w:rsidR="00E71CF3">
        <w:rPr>
          <w:sz w:val="24"/>
          <w:szCs w:val="24"/>
          <w:lang w:val="en-US"/>
        </w:rPr>
        <w:t xml:space="preserve">ological relatives </w:t>
      </w:r>
      <w:r>
        <w:rPr>
          <w:sz w:val="24"/>
          <w:szCs w:val="24"/>
          <w:lang w:val="en-US"/>
        </w:rPr>
        <w:t xml:space="preserve">were recorded </w:t>
      </w:r>
      <w:r w:rsidR="004A2281">
        <w:rPr>
          <w:sz w:val="24"/>
          <w:szCs w:val="24"/>
          <w:lang w:val="en-US"/>
        </w:rPr>
        <w:t>using t</w:t>
      </w:r>
      <w:r w:rsidR="004A2281" w:rsidRPr="004A2281">
        <w:rPr>
          <w:sz w:val="24"/>
          <w:szCs w:val="24"/>
          <w:lang w:val="en-US"/>
        </w:rPr>
        <w:t>he Family Interview for Genetic Studies (FIGS)</w:t>
      </w:r>
      <w:r w:rsidR="000D072B">
        <w:rPr>
          <w:sz w:val="24"/>
          <w:szCs w:val="24"/>
          <w:lang w:val="en-US"/>
        </w:rPr>
        <w:t xml:space="preserve">, which has been developed by the National Institute of Mental Health (NIMH) as a research oriented guide </w:t>
      </w:r>
      <w:r w:rsidR="000D072B" w:rsidRPr="000D072B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 xml:space="preserve">for systematically collecting information about relatives in </w:t>
      </w:r>
      <w:r w:rsidR="00F66D8B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 xml:space="preserve">family and </w:t>
      </w:r>
      <w:r w:rsidR="000D072B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 xml:space="preserve">genetic studies of psychiatric </w:t>
      </w:r>
      <w:r w:rsidR="000D072B" w:rsidRPr="000D072B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>disorders.</w:t>
      </w:r>
      <w:r w:rsidR="000D072B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E71CF3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>Ac</w:t>
      </w:r>
      <w:r w:rsidR="00D1717B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>cording to the FIGS, individuals</w:t>
      </w:r>
      <w:r w:rsidR="00E71CF3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 xml:space="preserve"> are </w:t>
      </w:r>
      <w:r w:rsidR="00E71CF3" w:rsidRPr="00E71CF3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 xml:space="preserve">asked to provide </w:t>
      </w:r>
      <w:r w:rsidR="00446523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 xml:space="preserve">lifetime </w:t>
      </w:r>
      <w:r w:rsidR="00E71CF3" w:rsidRPr="00E71CF3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>diagnostic information about relative</w:t>
      </w:r>
      <w:r w:rsidR="00BD546B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>s in the pedigrees under investigation</w:t>
      </w:r>
      <w:r w:rsidR="00E71CF3" w:rsidRPr="00E71CF3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>.</w:t>
      </w:r>
      <w:r w:rsidR="00BD546B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 xml:space="preserve"> Prim</w:t>
      </w:r>
      <w:r w:rsidR="00E6763E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 xml:space="preserve">arily, the interview focuses on </w:t>
      </w:r>
      <w:r w:rsidR="00BD546B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 xml:space="preserve">first-degree relatives and </w:t>
      </w:r>
      <w:r w:rsidR="00E6763E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 xml:space="preserve">offers </w:t>
      </w:r>
      <w:r w:rsidR="00BD546B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 xml:space="preserve">the option to </w:t>
      </w:r>
      <w:r w:rsidR="00E6763E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 xml:space="preserve">include information for affected </w:t>
      </w:r>
      <w:r w:rsidR="00BD546B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>second-degree relatives (</w:t>
      </w:r>
      <w:r w:rsidR="00D771F7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>extenders</w:t>
      </w:r>
      <w:r w:rsidR="00E6763E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>), provided that the proband</w:t>
      </w:r>
      <w:r w:rsidR="00D771F7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 xml:space="preserve"> or any </w:t>
      </w:r>
      <w:r w:rsidR="00DA4705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>available</w:t>
      </w:r>
      <w:r w:rsidR="00D771F7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 xml:space="preserve"> informant</w:t>
      </w:r>
      <w:r w:rsidR="00172869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 xml:space="preserve"> (</w:t>
      </w:r>
      <w:r w:rsidR="0041027C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 xml:space="preserve">i.e. </w:t>
      </w:r>
      <w:r w:rsidR="00172869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>parents, siblings</w:t>
      </w:r>
      <w:r w:rsidR="0041027C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="00912C47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>and spouse</w:t>
      </w:r>
      <w:r w:rsidR="00172869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>)</w:t>
      </w:r>
      <w:r w:rsidR="00E6763E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F66D8B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>could provi</w:t>
      </w:r>
      <w:r w:rsidR="00F96DD7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>de information for the presence</w:t>
      </w:r>
      <w:r w:rsidR="00F66D8B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 xml:space="preserve"> of mental disorders in</w:t>
      </w:r>
      <w:r w:rsidR="00E6763E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 xml:space="preserve"> those relatives (i.e. </w:t>
      </w:r>
      <w:r w:rsidR="00DA4705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>grandparents</w:t>
      </w:r>
      <w:r w:rsidR="00D771F7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>, uncle or aunt, niece, nephew, half-sibs</w:t>
      </w:r>
      <w:r w:rsidR="00E6763E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>).</w:t>
      </w:r>
      <w:r w:rsidR="009310D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9310DF" w:rsidRPr="009310DF">
        <w:rPr>
          <w:rFonts w:eastAsia="Times New Roman" w:cs="Times New Roman"/>
          <w:sz w:val="24"/>
          <w:szCs w:val="24"/>
          <w:lang w:val="en-US"/>
        </w:rPr>
        <w:t>The F</w:t>
      </w:r>
      <w:r w:rsidR="000D072B" w:rsidRPr="009310DF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>IGS</w:t>
      </w:r>
      <w:r w:rsidR="000D072B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E71CF3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 xml:space="preserve">includes </w:t>
      </w:r>
      <w:r w:rsidR="00F66D8B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>three parts: (a) the General Screening Q</w:t>
      </w:r>
      <w:r w:rsidR="00EA45C1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>uestions</w:t>
      </w:r>
      <w:r w:rsidR="00F66D8B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 xml:space="preserve"> which aim to gather general information about all known relatives in the pedigree, regardless of how </w:t>
      </w:r>
      <w:r w:rsidR="00F96DD7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>distantly related (b) the Face S</w:t>
      </w:r>
      <w:r w:rsidR="00F66D8B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>heet, which is completed for each affected relative for whom the informant can p</w:t>
      </w:r>
      <w:r w:rsidR="00F96DD7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>rovide information and (c) the Symptom C</w:t>
      </w:r>
      <w:r w:rsidR="00F66D8B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 xml:space="preserve">hecklists, which are designed to obtain diagnostic details that help make possible </w:t>
      </w:r>
      <w:r w:rsidR="003E6AF3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 xml:space="preserve">a best estimate diagnosis. Symptom checklists for depression, psychosis, </w:t>
      </w:r>
      <w:proofErr w:type="gramStart"/>
      <w:r w:rsidR="003E6AF3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>mania</w:t>
      </w:r>
      <w:proofErr w:type="gramEnd"/>
      <w:r w:rsidR="003E6AF3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>, alcohol or drug abuse and paranoid/schizoid/schizo</w:t>
      </w:r>
      <w:r w:rsidR="00F96DD7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>typal personality are available</w:t>
      </w:r>
      <w:r w:rsidR="003E6AF3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="00650E70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>In the present study,</w:t>
      </w:r>
      <w:r>
        <w:rPr>
          <w:rFonts w:eastAsia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650E70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 xml:space="preserve">the psychosis checklist was completed when there was evidence for </w:t>
      </w:r>
      <w:proofErr w:type="gramStart"/>
      <w:r w:rsidR="00650E70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>a</w:t>
      </w:r>
      <w:proofErr w:type="gramEnd"/>
      <w:r w:rsidR="00650E70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3F65C3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 xml:space="preserve">affective or non-affective psychotic </w:t>
      </w:r>
      <w:r w:rsidR="00650E70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>di</w:t>
      </w:r>
      <w:r w:rsidR="00D1717B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 xml:space="preserve">sorder </w:t>
      </w:r>
      <w:r w:rsidR="003E6AF3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>diagnosis among</w:t>
      </w:r>
      <w:r w:rsidR="00D1717B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3E6AF3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 xml:space="preserve">first or second degree </w:t>
      </w:r>
      <w:r w:rsidR="00D1717B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 xml:space="preserve">relatives </w:t>
      </w:r>
      <w:r w:rsidR="003E6AF3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>following the general screening questions</w:t>
      </w:r>
      <w:r w:rsidR="00F96DD7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>, thus designating positive family history of psychosis (FHP)</w:t>
      </w:r>
      <w:r w:rsidR="006F64B3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="00650E70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 xml:space="preserve">In cases where </w:t>
      </w:r>
      <w:r w:rsidR="00F8233B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 xml:space="preserve">a relative had been diagnosed with </w:t>
      </w:r>
      <w:r w:rsidR="006F64B3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 xml:space="preserve">a major psychiatric disorder, such as schizophrenia or </w:t>
      </w:r>
      <w:r w:rsidR="00F8233B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>bipolar disorder (type I)</w:t>
      </w:r>
      <w:r w:rsidR="006F64B3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>,</w:t>
      </w:r>
      <w:r w:rsidR="00F8233B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 xml:space="preserve"> the completion of the </w:t>
      </w:r>
      <w:r w:rsidR="006F64B3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>depression, mania and psychosis symptom checklists were</w:t>
      </w:r>
      <w:r w:rsidR="00F8233B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 xml:space="preserve"> omitted (FIGS manual</w:t>
      </w:r>
      <w:r w:rsidR="00890861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>, 1992</w:t>
      </w:r>
      <w:r w:rsidR="00F8233B">
        <w:rPr>
          <w:rFonts w:eastAsia="Times New Roman" w:cs="Times New Roman"/>
          <w:sz w:val="24"/>
          <w:szCs w:val="24"/>
          <w:shd w:val="clear" w:color="auto" w:fill="FFFFFF"/>
          <w:lang w:val="en-US"/>
        </w:rPr>
        <w:t xml:space="preserve">). </w:t>
      </w:r>
      <w:r w:rsidR="00F8233B">
        <w:rPr>
          <w:sz w:val="24"/>
          <w:szCs w:val="24"/>
          <w:lang w:val="en-US"/>
        </w:rPr>
        <w:t>T</w:t>
      </w:r>
      <w:r w:rsidR="00743414">
        <w:rPr>
          <w:sz w:val="24"/>
          <w:szCs w:val="24"/>
          <w:lang w:val="en-US"/>
        </w:rPr>
        <w:t>he FIGS was administered by trained psychiatris</w:t>
      </w:r>
      <w:r w:rsidR="004A2CD6">
        <w:rPr>
          <w:sz w:val="24"/>
          <w:szCs w:val="24"/>
          <w:lang w:val="en-US"/>
        </w:rPr>
        <w:t>ts</w:t>
      </w:r>
      <w:r w:rsidR="00F8233B">
        <w:rPr>
          <w:sz w:val="24"/>
          <w:szCs w:val="24"/>
          <w:lang w:val="en-US"/>
        </w:rPr>
        <w:t xml:space="preserve"> </w:t>
      </w:r>
      <w:r w:rsidR="004A2CD6">
        <w:rPr>
          <w:sz w:val="24"/>
          <w:szCs w:val="24"/>
          <w:lang w:val="en-US"/>
        </w:rPr>
        <w:t>using info</w:t>
      </w:r>
      <w:r w:rsidR="00F8233B">
        <w:rPr>
          <w:sz w:val="24"/>
          <w:szCs w:val="24"/>
          <w:lang w:val="en-US"/>
        </w:rPr>
        <w:t xml:space="preserve">rmation gathered from both </w:t>
      </w:r>
      <w:r w:rsidR="00DA4705">
        <w:rPr>
          <w:sz w:val="24"/>
          <w:szCs w:val="24"/>
          <w:lang w:val="en-US"/>
        </w:rPr>
        <w:t>the proband</w:t>
      </w:r>
      <w:r w:rsidR="004A2CD6">
        <w:rPr>
          <w:sz w:val="24"/>
          <w:szCs w:val="24"/>
          <w:lang w:val="en-US"/>
        </w:rPr>
        <w:t xml:space="preserve"> </w:t>
      </w:r>
      <w:r w:rsidR="00DA4705">
        <w:rPr>
          <w:sz w:val="24"/>
          <w:szCs w:val="24"/>
          <w:lang w:val="en-US"/>
        </w:rPr>
        <w:t>a</w:t>
      </w:r>
      <w:bookmarkStart w:id="0" w:name="_GoBack"/>
      <w:bookmarkEnd w:id="0"/>
      <w:r w:rsidR="00DA4705">
        <w:rPr>
          <w:sz w:val="24"/>
          <w:szCs w:val="24"/>
          <w:lang w:val="en-US"/>
        </w:rPr>
        <w:t xml:space="preserve">nd his/her </w:t>
      </w:r>
      <w:r w:rsidR="004A2CD6">
        <w:rPr>
          <w:sz w:val="24"/>
          <w:szCs w:val="24"/>
          <w:lang w:val="en-US"/>
        </w:rPr>
        <w:t xml:space="preserve">family members to ensure reliability. </w:t>
      </w:r>
      <w:r w:rsidR="004A2281">
        <w:rPr>
          <w:sz w:val="24"/>
          <w:szCs w:val="24"/>
          <w:lang w:val="en-US"/>
        </w:rPr>
        <w:t xml:space="preserve"> </w:t>
      </w:r>
    </w:p>
    <w:p w14:paraId="37E402F6" w14:textId="77777777" w:rsidR="004A2281" w:rsidRPr="004A2281" w:rsidRDefault="004A2281" w:rsidP="0033026F">
      <w:pPr>
        <w:spacing w:line="360" w:lineRule="auto"/>
        <w:jc w:val="both"/>
        <w:rPr>
          <w:sz w:val="24"/>
          <w:szCs w:val="24"/>
          <w:lang w:val="en-US"/>
        </w:rPr>
      </w:pPr>
    </w:p>
    <w:p w14:paraId="36D32FDF" w14:textId="77777777" w:rsidR="00F96DD7" w:rsidRDefault="00F96DD7" w:rsidP="00001C80">
      <w:pPr>
        <w:jc w:val="both"/>
        <w:rPr>
          <w:b/>
          <w:lang w:val="en-US"/>
        </w:rPr>
      </w:pPr>
    </w:p>
    <w:p w14:paraId="61EC5DF3" w14:textId="3D777084" w:rsidR="008023D5" w:rsidRPr="00A63C74" w:rsidRDefault="00B72E86" w:rsidP="00001C80">
      <w:pPr>
        <w:jc w:val="both"/>
        <w:rPr>
          <w:b/>
          <w:sz w:val="24"/>
          <w:szCs w:val="24"/>
          <w:lang w:val="en-US"/>
        </w:rPr>
      </w:pPr>
      <w:r w:rsidRPr="00A63C74">
        <w:rPr>
          <w:b/>
          <w:sz w:val="24"/>
          <w:szCs w:val="24"/>
          <w:lang w:val="en-US"/>
        </w:rPr>
        <w:lastRenderedPageBreak/>
        <w:t>SUPPLEMENTARY TABLES</w:t>
      </w:r>
    </w:p>
    <w:tbl>
      <w:tblPr>
        <w:tblW w:w="6440" w:type="dxa"/>
        <w:tblInd w:w="93" w:type="dxa"/>
        <w:tblLook w:val="04A0" w:firstRow="1" w:lastRow="0" w:firstColumn="1" w:lastColumn="0" w:noHBand="0" w:noVBand="1"/>
      </w:tblPr>
      <w:tblGrid>
        <w:gridCol w:w="4554"/>
        <w:gridCol w:w="1769"/>
        <w:gridCol w:w="266"/>
      </w:tblGrid>
      <w:tr w:rsidR="008023D5" w:rsidRPr="003F65C3" w14:paraId="72ACE548" w14:textId="77777777" w:rsidTr="008023D5">
        <w:trPr>
          <w:trHeight w:val="555"/>
        </w:trPr>
        <w:tc>
          <w:tcPr>
            <w:tcW w:w="6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412173" w14:textId="77777777" w:rsidR="008023D5" w:rsidRPr="008023D5" w:rsidRDefault="008023D5" w:rsidP="008023D5">
            <w:pPr>
              <w:spacing w:after="0" w:line="240" w:lineRule="auto"/>
              <w:ind w:left="-93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 w:rsidRPr="008023D5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 xml:space="preserve">Table S1: </w:t>
            </w:r>
            <w:r w:rsidRPr="008023D5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Details on medication status at baseline for FEP and SZ cases</w:t>
            </w:r>
          </w:p>
        </w:tc>
      </w:tr>
      <w:tr w:rsidR="008023D5" w:rsidRPr="008023D5" w14:paraId="190A6336" w14:textId="77777777" w:rsidTr="008023D5">
        <w:trPr>
          <w:trHeight w:val="495"/>
        </w:trPr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DE4F74F" w14:textId="77777777" w:rsidR="008023D5" w:rsidRPr="008023D5" w:rsidRDefault="008023D5" w:rsidP="008023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FEP patient group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3F09128" w14:textId="77777777" w:rsidR="008023D5" w:rsidRPr="008023D5" w:rsidRDefault="008023D5" w:rsidP="00802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Cases, n (%)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D5DF5" w14:textId="77777777" w:rsidR="008023D5" w:rsidRPr="008023D5" w:rsidRDefault="008023D5" w:rsidP="00802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023D5" w:rsidRPr="008023D5" w14:paraId="5F76B92A" w14:textId="77777777" w:rsidTr="008023D5">
        <w:trPr>
          <w:trHeight w:val="405"/>
        </w:trPr>
        <w:tc>
          <w:tcPr>
            <w:tcW w:w="45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CD4FA" w14:textId="77777777" w:rsidR="008023D5" w:rsidRPr="008023D5" w:rsidRDefault="008023D5" w:rsidP="00802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lang w:eastAsia="el-GR"/>
              </w:rPr>
              <w:t>drug-naïve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D343CD" w14:textId="77777777" w:rsidR="008023D5" w:rsidRPr="008023D5" w:rsidRDefault="008023D5" w:rsidP="00802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lang w:eastAsia="el-GR"/>
              </w:rPr>
              <w:t>60 (55.6)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CE62A" w14:textId="77777777" w:rsidR="008023D5" w:rsidRPr="008023D5" w:rsidRDefault="008023D5" w:rsidP="00802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023D5" w:rsidRPr="008023D5" w14:paraId="32CFBA13" w14:textId="77777777" w:rsidTr="008023D5">
        <w:trPr>
          <w:trHeight w:val="405"/>
        </w:trPr>
        <w:tc>
          <w:tcPr>
            <w:tcW w:w="45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A6D47" w14:textId="77777777" w:rsidR="008023D5" w:rsidRPr="008023D5" w:rsidRDefault="008023D5" w:rsidP="00802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lang w:eastAsia="el-GR"/>
              </w:rPr>
              <w:t>treated for 1 day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2F21A5" w14:textId="77777777" w:rsidR="008023D5" w:rsidRPr="008023D5" w:rsidRDefault="008023D5" w:rsidP="00802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lang w:eastAsia="el-GR"/>
              </w:rPr>
              <w:t>21 (19.4)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AA383" w14:textId="77777777" w:rsidR="008023D5" w:rsidRPr="008023D5" w:rsidRDefault="008023D5" w:rsidP="00802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023D5" w:rsidRPr="008023D5" w14:paraId="25850C24" w14:textId="77777777" w:rsidTr="008023D5">
        <w:trPr>
          <w:trHeight w:val="405"/>
        </w:trPr>
        <w:tc>
          <w:tcPr>
            <w:tcW w:w="45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22A71" w14:textId="77777777" w:rsidR="008023D5" w:rsidRPr="008023D5" w:rsidRDefault="008023D5" w:rsidP="00802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lang w:eastAsia="el-GR"/>
              </w:rPr>
              <w:t>treated for 2-10 days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C30C17" w14:textId="77777777" w:rsidR="008023D5" w:rsidRPr="008023D5" w:rsidRDefault="008023D5" w:rsidP="00802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lang w:eastAsia="el-GR"/>
              </w:rPr>
              <w:t>27 (25.0)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39C6F" w14:textId="77777777" w:rsidR="008023D5" w:rsidRPr="008023D5" w:rsidRDefault="008023D5" w:rsidP="00802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023D5" w:rsidRPr="008023D5" w14:paraId="307B3ADB" w14:textId="77777777" w:rsidTr="008023D5">
        <w:trPr>
          <w:trHeight w:val="405"/>
        </w:trPr>
        <w:tc>
          <w:tcPr>
            <w:tcW w:w="45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F954B" w14:textId="77777777" w:rsidR="008023D5" w:rsidRPr="008023D5" w:rsidRDefault="008023D5" w:rsidP="00802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lang w:eastAsia="el-GR"/>
              </w:rPr>
              <w:t>treatment with 1 antipsychotic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7F64BE" w14:textId="77777777" w:rsidR="008023D5" w:rsidRPr="008023D5" w:rsidRDefault="008023D5" w:rsidP="00802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lang w:eastAsia="el-GR"/>
              </w:rPr>
              <w:t>83 (76.9)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8A8A9" w14:textId="77777777" w:rsidR="008023D5" w:rsidRPr="008023D5" w:rsidRDefault="008023D5" w:rsidP="00802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023D5" w:rsidRPr="008023D5" w14:paraId="1DF5185D" w14:textId="77777777" w:rsidTr="008023D5">
        <w:trPr>
          <w:trHeight w:val="405"/>
        </w:trPr>
        <w:tc>
          <w:tcPr>
            <w:tcW w:w="45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DA6C6" w14:textId="77777777" w:rsidR="008023D5" w:rsidRPr="008023D5" w:rsidRDefault="008023D5" w:rsidP="00802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lang w:eastAsia="el-GR"/>
              </w:rPr>
              <w:t>treatment with &gt; 1 antipsychotics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43AAC9" w14:textId="77777777" w:rsidR="008023D5" w:rsidRPr="008023D5" w:rsidRDefault="008023D5" w:rsidP="00802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lang w:eastAsia="el-GR"/>
              </w:rPr>
              <w:t>25 (23.1)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BA4FC" w14:textId="77777777" w:rsidR="008023D5" w:rsidRPr="008023D5" w:rsidRDefault="008023D5" w:rsidP="00802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023D5" w:rsidRPr="008023D5" w14:paraId="3C677847" w14:textId="77777777" w:rsidTr="008023D5">
        <w:trPr>
          <w:trHeight w:val="405"/>
        </w:trPr>
        <w:tc>
          <w:tcPr>
            <w:tcW w:w="45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45FD4" w14:textId="77777777" w:rsidR="008023D5" w:rsidRPr="008023D5" w:rsidRDefault="008023D5" w:rsidP="00802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Non-remitters at follow-up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CD431F" w14:textId="77777777" w:rsidR="008023D5" w:rsidRPr="008023D5" w:rsidRDefault="008023D5" w:rsidP="00802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lang w:eastAsia="el-GR"/>
              </w:rPr>
              <w:t>36 (33.3)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4E6D0" w14:textId="77777777" w:rsidR="008023D5" w:rsidRPr="008023D5" w:rsidRDefault="008023D5" w:rsidP="00802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023D5" w:rsidRPr="008023D5" w14:paraId="06218B37" w14:textId="77777777" w:rsidTr="008023D5">
        <w:trPr>
          <w:trHeight w:val="495"/>
        </w:trPr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87E16E7" w14:textId="77777777" w:rsidR="008023D5" w:rsidRPr="008023D5" w:rsidRDefault="008023D5" w:rsidP="008023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SZ patient group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8419753" w14:textId="77777777" w:rsidR="008023D5" w:rsidRPr="008023D5" w:rsidRDefault="008023D5" w:rsidP="00802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Cases, n (%)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72B37" w14:textId="77777777" w:rsidR="008023D5" w:rsidRPr="008023D5" w:rsidRDefault="008023D5" w:rsidP="00802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023D5" w:rsidRPr="008023D5" w14:paraId="13FF6D64" w14:textId="77777777" w:rsidTr="008023D5">
        <w:trPr>
          <w:trHeight w:val="465"/>
        </w:trPr>
        <w:tc>
          <w:tcPr>
            <w:tcW w:w="45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6733A" w14:textId="77777777" w:rsidR="008023D5" w:rsidRPr="008023D5" w:rsidRDefault="008023D5" w:rsidP="00802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lang w:eastAsia="el-GR"/>
              </w:rPr>
              <w:t>treated for 1-2 years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DF6564" w14:textId="77777777" w:rsidR="008023D5" w:rsidRPr="008023D5" w:rsidRDefault="008023D5" w:rsidP="00802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lang w:eastAsia="el-GR"/>
              </w:rPr>
              <w:t>13 (12.5)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187B1" w14:textId="77777777" w:rsidR="008023D5" w:rsidRPr="008023D5" w:rsidRDefault="008023D5" w:rsidP="00802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023D5" w:rsidRPr="008023D5" w14:paraId="554F8028" w14:textId="77777777" w:rsidTr="008023D5">
        <w:trPr>
          <w:trHeight w:val="405"/>
        </w:trPr>
        <w:tc>
          <w:tcPr>
            <w:tcW w:w="45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451DF" w14:textId="77777777" w:rsidR="008023D5" w:rsidRPr="008023D5" w:rsidRDefault="008023D5" w:rsidP="00802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lang w:eastAsia="el-GR"/>
              </w:rPr>
              <w:t>treated for 3-5 years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95A8DC" w14:textId="77777777" w:rsidR="008023D5" w:rsidRPr="008023D5" w:rsidRDefault="008023D5" w:rsidP="00802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lang w:eastAsia="el-GR"/>
              </w:rPr>
              <w:t>11 (10.6)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BD963" w14:textId="77777777" w:rsidR="008023D5" w:rsidRPr="008023D5" w:rsidRDefault="008023D5" w:rsidP="00802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023D5" w:rsidRPr="008023D5" w14:paraId="7A7A73FF" w14:textId="77777777" w:rsidTr="008023D5">
        <w:trPr>
          <w:trHeight w:val="405"/>
        </w:trPr>
        <w:tc>
          <w:tcPr>
            <w:tcW w:w="45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46C86" w14:textId="77777777" w:rsidR="008023D5" w:rsidRPr="008023D5" w:rsidRDefault="008023D5" w:rsidP="00802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lang w:eastAsia="el-GR"/>
              </w:rPr>
              <w:t>treated for 6-10 years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F44364" w14:textId="77777777" w:rsidR="008023D5" w:rsidRPr="008023D5" w:rsidRDefault="008023D5" w:rsidP="00802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lang w:eastAsia="el-GR"/>
              </w:rPr>
              <w:t>29 (27.9)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A570D" w14:textId="77777777" w:rsidR="008023D5" w:rsidRPr="008023D5" w:rsidRDefault="008023D5" w:rsidP="00802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023D5" w:rsidRPr="008023D5" w14:paraId="55CC2C9B" w14:textId="77777777" w:rsidTr="008023D5">
        <w:trPr>
          <w:trHeight w:val="405"/>
        </w:trPr>
        <w:tc>
          <w:tcPr>
            <w:tcW w:w="45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0FB97" w14:textId="77777777" w:rsidR="008023D5" w:rsidRPr="008023D5" w:rsidRDefault="008023D5" w:rsidP="00802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lang w:eastAsia="el-GR"/>
              </w:rPr>
              <w:t>treated for &gt; 10 years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80B6BB" w14:textId="77777777" w:rsidR="008023D5" w:rsidRPr="008023D5" w:rsidRDefault="008023D5" w:rsidP="00802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lang w:eastAsia="el-GR"/>
              </w:rPr>
              <w:t>51 (49.0)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F0CD6" w14:textId="77777777" w:rsidR="008023D5" w:rsidRPr="008023D5" w:rsidRDefault="008023D5" w:rsidP="00802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023D5" w:rsidRPr="008023D5" w14:paraId="3FD8D581" w14:textId="77777777" w:rsidTr="008023D5">
        <w:trPr>
          <w:trHeight w:val="405"/>
        </w:trPr>
        <w:tc>
          <w:tcPr>
            <w:tcW w:w="45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81F5C" w14:textId="77777777" w:rsidR="008023D5" w:rsidRPr="008023D5" w:rsidRDefault="008023D5" w:rsidP="00802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lang w:eastAsia="el-GR"/>
              </w:rPr>
              <w:t>treatment with 1 antipsychotic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37D939" w14:textId="77777777" w:rsidR="008023D5" w:rsidRPr="008023D5" w:rsidRDefault="008023D5" w:rsidP="00802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lang w:eastAsia="el-GR"/>
              </w:rPr>
              <w:t>67 (64.4)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54083" w14:textId="77777777" w:rsidR="008023D5" w:rsidRPr="008023D5" w:rsidRDefault="008023D5" w:rsidP="00802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023D5" w:rsidRPr="008023D5" w14:paraId="6E5FAA1D" w14:textId="77777777" w:rsidTr="008023D5">
        <w:trPr>
          <w:trHeight w:val="405"/>
        </w:trPr>
        <w:tc>
          <w:tcPr>
            <w:tcW w:w="45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38FB3" w14:textId="77777777" w:rsidR="008023D5" w:rsidRPr="008023D5" w:rsidRDefault="008023D5" w:rsidP="00802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lang w:eastAsia="el-GR"/>
              </w:rPr>
              <w:t>treatment with &gt; 1 antipsychotics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2CBE10" w14:textId="77777777" w:rsidR="008023D5" w:rsidRPr="008023D5" w:rsidRDefault="008023D5" w:rsidP="00802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lang w:eastAsia="el-GR"/>
              </w:rPr>
              <w:t>37 (35.6)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44533" w14:textId="77777777" w:rsidR="008023D5" w:rsidRPr="008023D5" w:rsidRDefault="008023D5" w:rsidP="00802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023D5" w:rsidRPr="008023D5" w14:paraId="4659ED10" w14:textId="77777777" w:rsidTr="008023D5">
        <w:trPr>
          <w:trHeight w:val="405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0E0CA6" w14:textId="77777777" w:rsidR="008023D5" w:rsidRPr="008023D5" w:rsidRDefault="008023D5" w:rsidP="00802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lang w:eastAsia="el-GR"/>
              </w:rPr>
              <w:t>Resistant cases (clozapine treated)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082EB9" w14:textId="77777777" w:rsidR="008023D5" w:rsidRPr="008023D5" w:rsidRDefault="008023D5" w:rsidP="008023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lang w:eastAsia="el-GR"/>
              </w:rPr>
              <w:t>34 (32.7)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530B2" w14:textId="77777777" w:rsidR="008023D5" w:rsidRPr="008023D5" w:rsidRDefault="008023D5" w:rsidP="00802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023D5" w:rsidRPr="008023D5" w14:paraId="276A8B87" w14:textId="77777777" w:rsidTr="008023D5">
        <w:trPr>
          <w:trHeight w:val="405"/>
        </w:trPr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854D6" w14:textId="77777777" w:rsidR="008023D5" w:rsidRPr="008023D5" w:rsidRDefault="008023D5" w:rsidP="00802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B36F0" w14:textId="77777777" w:rsidR="008023D5" w:rsidRPr="008023D5" w:rsidRDefault="008023D5" w:rsidP="00802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75A94" w14:textId="77777777" w:rsidR="008023D5" w:rsidRPr="008023D5" w:rsidRDefault="008023D5" w:rsidP="00802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</w:tbl>
    <w:p w14:paraId="3745E76C" w14:textId="77777777" w:rsidR="008023D5" w:rsidRDefault="008023D5" w:rsidP="00001C80">
      <w:pPr>
        <w:jc w:val="both"/>
        <w:rPr>
          <w:b/>
          <w:sz w:val="20"/>
          <w:szCs w:val="20"/>
          <w:lang w:val="en-US"/>
        </w:rPr>
      </w:pPr>
    </w:p>
    <w:p w14:paraId="43DD0B18" w14:textId="77777777" w:rsidR="008023D5" w:rsidRDefault="008023D5" w:rsidP="00001C80">
      <w:pPr>
        <w:jc w:val="both"/>
        <w:rPr>
          <w:b/>
          <w:sz w:val="20"/>
          <w:szCs w:val="20"/>
          <w:lang w:val="en-US"/>
        </w:rPr>
      </w:pPr>
    </w:p>
    <w:p w14:paraId="0F07D462" w14:textId="77777777" w:rsidR="008023D5" w:rsidRDefault="008023D5" w:rsidP="00001C80">
      <w:pPr>
        <w:jc w:val="both"/>
        <w:rPr>
          <w:b/>
          <w:sz w:val="20"/>
          <w:szCs w:val="20"/>
          <w:lang w:val="en-US"/>
        </w:rPr>
      </w:pPr>
    </w:p>
    <w:p w14:paraId="3A6B77B6" w14:textId="77777777" w:rsidR="008023D5" w:rsidRDefault="008023D5" w:rsidP="00001C80">
      <w:pPr>
        <w:jc w:val="both"/>
        <w:rPr>
          <w:b/>
          <w:sz w:val="20"/>
          <w:szCs w:val="20"/>
          <w:lang w:val="en-US"/>
        </w:rPr>
      </w:pPr>
    </w:p>
    <w:p w14:paraId="47DC5F3A" w14:textId="77777777" w:rsidR="008023D5" w:rsidRDefault="008023D5" w:rsidP="00001C80">
      <w:pPr>
        <w:jc w:val="both"/>
        <w:rPr>
          <w:b/>
          <w:sz w:val="20"/>
          <w:szCs w:val="20"/>
          <w:lang w:val="en-US"/>
        </w:rPr>
      </w:pPr>
    </w:p>
    <w:p w14:paraId="6C3E134D" w14:textId="77777777" w:rsidR="008023D5" w:rsidRDefault="008023D5" w:rsidP="00001C80">
      <w:pPr>
        <w:jc w:val="both"/>
        <w:rPr>
          <w:b/>
          <w:sz w:val="20"/>
          <w:szCs w:val="20"/>
          <w:lang w:val="en-US"/>
        </w:rPr>
      </w:pPr>
    </w:p>
    <w:p w14:paraId="24776C02" w14:textId="77777777" w:rsidR="008023D5" w:rsidRDefault="008023D5" w:rsidP="00001C80">
      <w:pPr>
        <w:jc w:val="both"/>
        <w:rPr>
          <w:b/>
          <w:sz w:val="20"/>
          <w:szCs w:val="20"/>
          <w:lang w:val="en-US"/>
        </w:rPr>
      </w:pPr>
    </w:p>
    <w:p w14:paraId="147745F2" w14:textId="77777777" w:rsidR="008023D5" w:rsidRDefault="008023D5" w:rsidP="00001C80">
      <w:pPr>
        <w:jc w:val="both"/>
        <w:rPr>
          <w:b/>
          <w:sz w:val="20"/>
          <w:szCs w:val="20"/>
          <w:lang w:val="en-US"/>
        </w:rPr>
      </w:pPr>
    </w:p>
    <w:p w14:paraId="3EC317C0" w14:textId="77777777" w:rsidR="008023D5" w:rsidRDefault="008023D5" w:rsidP="00001C80">
      <w:pPr>
        <w:jc w:val="both"/>
        <w:rPr>
          <w:b/>
          <w:sz w:val="20"/>
          <w:szCs w:val="20"/>
          <w:lang w:val="en-US"/>
        </w:rPr>
      </w:pPr>
    </w:p>
    <w:p w14:paraId="5D72FB7D" w14:textId="77777777" w:rsidR="008023D5" w:rsidRDefault="008023D5" w:rsidP="00001C80">
      <w:pPr>
        <w:jc w:val="both"/>
        <w:rPr>
          <w:b/>
          <w:sz w:val="20"/>
          <w:szCs w:val="20"/>
          <w:lang w:val="en-US"/>
        </w:rPr>
      </w:pPr>
    </w:p>
    <w:p w14:paraId="1F26C2FA" w14:textId="77777777" w:rsidR="008023D5" w:rsidRDefault="008023D5" w:rsidP="00001C80">
      <w:pPr>
        <w:jc w:val="both"/>
        <w:rPr>
          <w:b/>
          <w:sz w:val="20"/>
          <w:szCs w:val="20"/>
          <w:lang w:val="en-US"/>
        </w:rPr>
      </w:pPr>
    </w:p>
    <w:p w14:paraId="2D12BF1F" w14:textId="77777777" w:rsidR="008023D5" w:rsidRDefault="008023D5" w:rsidP="00001C80">
      <w:pPr>
        <w:jc w:val="both"/>
        <w:rPr>
          <w:b/>
          <w:sz w:val="20"/>
          <w:szCs w:val="20"/>
          <w:lang w:val="en-US"/>
        </w:rPr>
      </w:pPr>
    </w:p>
    <w:p w14:paraId="433ADAFC" w14:textId="77777777" w:rsidR="008023D5" w:rsidRDefault="008023D5" w:rsidP="00001C80">
      <w:pPr>
        <w:jc w:val="both"/>
        <w:rPr>
          <w:b/>
          <w:sz w:val="20"/>
          <w:szCs w:val="20"/>
          <w:lang w:val="en-US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756"/>
        <w:gridCol w:w="102"/>
        <w:gridCol w:w="1276"/>
        <w:gridCol w:w="1417"/>
        <w:gridCol w:w="142"/>
        <w:gridCol w:w="1134"/>
        <w:gridCol w:w="1281"/>
        <w:gridCol w:w="987"/>
        <w:gridCol w:w="1701"/>
      </w:tblGrid>
      <w:tr w:rsidR="008023D5" w:rsidRPr="003F65C3" w14:paraId="597D61F4" w14:textId="77777777" w:rsidTr="008023D5">
        <w:trPr>
          <w:trHeight w:val="529"/>
        </w:trPr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B976F" w14:textId="77777777" w:rsidR="008023D5" w:rsidRPr="008023D5" w:rsidRDefault="008023D5" w:rsidP="004D2E72">
            <w:pPr>
              <w:spacing w:after="0"/>
              <w:ind w:left="-93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 w:rsidRPr="008023D5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lastRenderedPageBreak/>
              <w:t xml:space="preserve">Table S2: </w:t>
            </w:r>
            <w:r w:rsidRPr="008023D5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Association results between diagnostic status, gender and premorbid adjustment domains during childhood and early adolescence</w:t>
            </w:r>
          </w:p>
        </w:tc>
      </w:tr>
      <w:tr w:rsidR="008023D5" w:rsidRPr="003F65C3" w14:paraId="6B1AF8C8" w14:textId="77777777" w:rsidTr="008023D5">
        <w:trPr>
          <w:trHeight w:val="669"/>
        </w:trPr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A23A562" w14:textId="77777777" w:rsidR="008023D5" w:rsidRPr="008023D5" w:rsidRDefault="008023D5" w:rsidP="00802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29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D8A0858" w14:textId="77777777" w:rsidR="008023D5" w:rsidRPr="00413E4A" w:rsidRDefault="008023D5" w:rsidP="00802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8023D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FEP vs. SZ </w:t>
            </w:r>
          </w:p>
          <w:p w14:paraId="048C6EFB" w14:textId="336F0EE2" w:rsidR="008023D5" w:rsidRPr="008023D5" w:rsidRDefault="008023D5" w:rsidP="00802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8023D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(all cases, n=212)</w:t>
            </w:r>
          </w:p>
        </w:tc>
        <w:tc>
          <w:tcPr>
            <w:tcW w:w="24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9A4BD11" w14:textId="77777777" w:rsidR="008023D5" w:rsidRPr="00413E4A" w:rsidRDefault="008023D5" w:rsidP="00802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8023D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Females vs. Males </w:t>
            </w:r>
          </w:p>
          <w:p w14:paraId="1A8A4683" w14:textId="1FF614B6" w:rsidR="008023D5" w:rsidRPr="008023D5" w:rsidRDefault="008023D5" w:rsidP="00802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8023D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(all cases, n=212)</w:t>
            </w:r>
          </w:p>
        </w:tc>
        <w:tc>
          <w:tcPr>
            <w:tcW w:w="26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E85544C" w14:textId="77777777" w:rsidR="008023D5" w:rsidRPr="00413E4A" w:rsidRDefault="008023D5" w:rsidP="00802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8023D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Females vs. Males </w:t>
            </w:r>
          </w:p>
          <w:p w14:paraId="45BFD353" w14:textId="1BFFBAB5" w:rsidR="008023D5" w:rsidRPr="008023D5" w:rsidRDefault="008023D5" w:rsidP="00802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8023D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(FEP cases, n=108)</w:t>
            </w:r>
          </w:p>
        </w:tc>
      </w:tr>
      <w:tr w:rsidR="00413E4A" w:rsidRPr="008023D5" w14:paraId="755E1624" w14:textId="77777777" w:rsidTr="00413E4A">
        <w:trPr>
          <w:trHeight w:val="482"/>
        </w:trPr>
        <w:tc>
          <w:tcPr>
            <w:tcW w:w="1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4C70480" w14:textId="0C7A5A98" w:rsidR="008023D5" w:rsidRPr="008023D5" w:rsidRDefault="00413E4A" w:rsidP="008023D5">
            <w:pPr>
              <w:spacing w:after="0" w:line="240" w:lineRule="auto"/>
              <w:ind w:right="73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Childhood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2044EEE" w14:textId="77777777" w:rsidR="008023D5" w:rsidRPr="008023D5" w:rsidRDefault="008023D5" w:rsidP="00802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t-value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A54F5A6" w14:textId="77777777" w:rsidR="008023D5" w:rsidRPr="008023D5" w:rsidRDefault="008023D5" w:rsidP="00802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F (p-value)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860BE72" w14:textId="77777777" w:rsidR="008023D5" w:rsidRPr="008023D5" w:rsidRDefault="008023D5" w:rsidP="00802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t-value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276C66D" w14:textId="77777777" w:rsidR="008023D5" w:rsidRPr="008023D5" w:rsidRDefault="008023D5" w:rsidP="00802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F (p-value)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1A7011E" w14:textId="77777777" w:rsidR="008023D5" w:rsidRPr="008023D5" w:rsidRDefault="008023D5" w:rsidP="00802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t-value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EE29440" w14:textId="77777777" w:rsidR="008023D5" w:rsidRPr="008023D5" w:rsidRDefault="008023D5" w:rsidP="00802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F (p-value)</w:t>
            </w:r>
          </w:p>
        </w:tc>
      </w:tr>
      <w:tr w:rsidR="00413E4A" w:rsidRPr="008023D5" w14:paraId="264A958B" w14:textId="77777777" w:rsidTr="00413E4A">
        <w:trPr>
          <w:trHeight w:val="467"/>
        </w:trPr>
        <w:tc>
          <w:tcPr>
            <w:tcW w:w="18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845A71" w14:textId="77777777" w:rsidR="008023D5" w:rsidRPr="008023D5" w:rsidRDefault="008023D5" w:rsidP="00802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Academic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8E622A" w14:textId="77777777" w:rsidR="008023D5" w:rsidRPr="008023D5" w:rsidRDefault="008023D5" w:rsidP="00802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-1.26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58B92E" w14:textId="77777777" w:rsidR="008023D5" w:rsidRPr="008023D5" w:rsidRDefault="008023D5" w:rsidP="00802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1.59 (0.209)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4DDF8" w14:textId="77777777" w:rsidR="008023D5" w:rsidRPr="008023D5" w:rsidRDefault="008023D5" w:rsidP="00802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-1.03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845F24" w14:textId="77777777" w:rsidR="008023D5" w:rsidRPr="008023D5" w:rsidRDefault="008023D5" w:rsidP="00802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1.05 (0.306)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42BF13" w14:textId="77777777" w:rsidR="008023D5" w:rsidRPr="008023D5" w:rsidRDefault="008023D5" w:rsidP="00802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-1.03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A8EAF4" w14:textId="77777777" w:rsidR="008023D5" w:rsidRPr="008023D5" w:rsidRDefault="008023D5" w:rsidP="00802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0.25 (0.617)</w:t>
            </w:r>
          </w:p>
        </w:tc>
      </w:tr>
      <w:tr w:rsidR="00413E4A" w:rsidRPr="008023D5" w14:paraId="5C0F5BEA" w14:textId="77777777" w:rsidTr="00413E4A">
        <w:trPr>
          <w:trHeight w:val="467"/>
        </w:trPr>
        <w:tc>
          <w:tcPr>
            <w:tcW w:w="18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7B590" w14:textId="77777777" w:rsidR="008023D5" w:rsidRPr="008023D5" w:rsidRDefault="008023D5" w:rsidP="00802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Social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DD1467" w14:textId="77777777" w:rsidR="008023D5" w:rsidRPr="008023D5" w:rsidRDefault="008023D5" w:rsidP="00802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648B02" w14:textId="77777777" w:rsidR="008023D5" w:rsidRPr="008023D5" w:rsidRDefault="008023D5" w:rsidP="00802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1.22 (0.270)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35B287" w14:textId="77777777" w:rsidR="008023D5" w:rsidRPr="008023D5" w:rsidRDefault="008023D5" w:rsidP="00802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2.10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EC6F9" w14:textId="77777777" w:rsidR="008023D5" w:rsidRPr="008023D5" w:rsidRDefault="008023D5" w:rsidP="00802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4.41 (</w:t>
            </w:r>
            <w:r w:rsidRPr="008023D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0.037</w:t>
            </w:r>
            <w:r w:rsidRPr="008023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427CF" w14:textId="77777777" w:rsidR="008023D5" w:rsidRPr="008023D5" w:rsidRDefault="008023D5" w:rsidP="00802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1.77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A7F284" w14:textId="77777777" w:rsidR="008023D5" w:rsidRPr="008023D5" w:rsidRDefault="008023D5" w:rsidP="00802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3.12 (0.081)</w:t>
            </w:r>
          </w:p>
        </w:tc>
      </w:tr>
      <w:tr w:rsidR="00413E4A" w:rsidRPr="008023D5" w14:paraId="5442BDAC" w14:textId="77777777" w:rsidTr="00413E4A">
        <w:trPr>
          <w:trHeight w:val="482"/>
        </w:trPr>
        <w:tc>
          <w:tcPr>
            <w:tcW w:w="18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446060F" w14:textId="211AB449" w:rsidR="008023D5" w:rsidRPr="008023D5" w:rsidRDefault="00413E4A" w:rsidP="008023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Early Adolescense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D63566D" w14:textId="1883097F" w:rsidR="008023D5" w:rsidRPr="008023D5" w:rsidRDefault="00413E4A" w:rsidP="00802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t-value</w:t>
            </w:r>
            <w:r w:rsidR="008023D5" w:rsidRPr="008023D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6F7596F" w14:textId="77777777" w:rsidR="008023D5" w:rsidRPr="008023D5" w:rsidRDefault="008023D5" w:rsidP="00802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F (p-value)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A2EB5E3" w14:textId="615E5CE6" w:rsidR="008023D5" w:rsidRPr="008023D5" w:rsidRDefault="00413E4A" w:rsidP="00413E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t-value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D04B901" w14:textId="77777777" w:rsidR="008023D5" w:rsidRPr="008023D5" w:rsidRDefault="008023D5" w:rsidP="00802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F (p-value)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93A38A6" w14:textId="47792222" w:rsidR="008023D5" w:rsidRPr="008023D5" w:rsidRDefault="00413E4A" w:rsidP="00413E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t-value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99C179D" w14:textId="77777777" w:rsidR="008023D5" w:rsidRPr="008023D5" w:rsidRDefault="008023D5" w:rsidP="00802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F (p-value)</w:t>
            </w:r>
          </w:p>
        </w:tc>
      </w:tr>
      <w:tr w:rsidR="00413E4A" w:rsidRPr="008023D5" w14:paraId="741D7772" w14:textId="77777777" w:rsidTr="00413E4A">
        <w:trPr>
          <w:trHeight w:val="467"/>
        </w:trPr>
        <w:tc>
          <w:tcPr>
            <w:tcW w:w="18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734EF2" w14:textId="77777777" w:rsidR="008023D5" w:rsidRPr="008023D5" w:rsidRDefault="008023D5" w:rsidP="00802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Academic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A85D20" w14:textId="77777777" w:rsidR="008023D5" w:rsidRPr="008023D5" w:rsidRDefault="008023D5" w:rsidP="00802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-1.70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096BD7" w14:textId="77777777" w:rsidR="008023D5" w:rsidRPr="008023D5" w:rsidRDefault="008023D5" w:rsidP="00802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2.89 (0.091)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B016E" w14:textId="77777777" w:rsidR="008023D5" w:rsidRPr="008023D5" w:rsidRDefault="008023D5" w:rsidP="00802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-1.27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F2A922" w14:textId="77777777" w:rsidR="008023D5" w:rsidRPr="008023D5" w:rsidRDefault="008023D5" w:rsidP="00802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1.62 (0.205)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4F64D4" w14:textId="77777777" w:rsidR="008023D5" w:rsidRPr="008023D5" w:rsidRDefault="008023D5" w:rsidP="00802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-1.45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DBECF0" w14:textId="77777777" w:rsidR="008023D5" w:rsidRPr="008023D5" w:rsidRDefault="008023D5" w:rsidP="00802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2.11 (0.150)</w:t>
            </w:r>
          </w:p>
        </w:tc>
      </w:tr>
      <w:tr w:rsidR="00413E4A" w:rsidRPr="008023D5" w14:paraId="5B8AD80D" w14:textId="77777777" w:rsidTr="00413E4A">
        <w:trPr>
          <w:trHeight w:val="467"/>
        </w:trPr>
        <w:tc>
          <w:tcPr>
            <w:tcW w:w="1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7C3C76" w14:textId="77777777" w:rsidR="008023D5" w:rsidRPr="008023D5" w:rsidRDefault="008023D5" w:rsidP="00802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Social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2851DC" w14:textId="77777777" w:rsidR="008023D5" w:rsidRPr="008023D5" w:rsidRDefault="008023D5" w:rsidP="00802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0.40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D93A58" w14:textId="77777777" w:rsidR="008023D5" w:rsidRPr="008023D5" w:rsidRDefault="008023D5" w:rsidP="00802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0.16 (0.691)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9FF825" w14:textId="77777777" w:rsidR="008023D5" w:rsidRPr="008023D5" w:rsidRDefault="008023D5" w:rsidP="00802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1.01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FF636E" w14:textId="77777777" w:rsidR="008023D5" w:rsidRPr="008023D5" w:rsidRDefault="008023D5" w:rsidP="00802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1.01 (0.316)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965172" w14:textId="77777777" w:rsidR="008023D5" w:rsidRPr="008023D5" w:rsidRDefault="008023D5" w:rsidP="00802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0.94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BF5E21" w14:textId="77777777" w:rsidR="008023D5" w:rsidRPr="008023D5" w:rsidRDefault="008023D5" w:rsidP="008023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023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0.89 (0.348)</w:t>
            </w:r>
          </w:p>
        </w:tc>
      </w:tr>
    </w:tbl>
    <w:p w14:paraId="43EFBD67" w14:textId="77777777" w:rsidR="008023D5" w:rsidRDefault="008023D5" w:rsidP="00001C80">
      <w:pPr>
        <w:jc w:val="both"/>
        <w:rPr>
          <w:b/>
          <w:sz w:val="20"/>
          <w:szCs w:val="20"/>
          <w:lang w:val="en-US"/>
        </w:rPr>
      </w:pPr>
    </w:p>
    <w:p w14:paraId="5F41F9AC" w14:textId="77777777" w:rsidR="008023D5" w:rsidRDefault="008023D5" w:rsidP="00001C80">
      <w:pPr>
        <w:jc w:val="both"/>
        <w:rPr>
          <w:b/>
          <w:sz w:val="20"/>
          <w:szCs w:val="20"/>
          <w:lang w:val="en-US"/>
        </w:rPr>
      </w:pPr>
    </w:p>
    <w:p w14:paraId="011432D9" w14:textId="77777777" w:rsidR="008023D5" w:rsidRDefault="008023D5" w:rsidP="00001C80">
      <w:pPr>
        <w:jc w:val="both"/>
        <w:rPr>
          <w:b/>
          <w:sz w:val="20"/>
          <w:szCs w:val="20"/>
          <w:lang w:val="en-US"/>
        </w:rPr>
      </w:pPr>
    </w:p>
    <w:p w14:paraId="7EEF6FDE" w14:textId="77777777" w:rsidR="008023D5" w:rsidRDefault="008023D5" w:rsidP="00001C80">
      <w:pPr>
        <w:jc w:val="both"/>
        <w:rPr>
          <w:b/>
          <w:sz w:val="20"/>
          <w:szCs w:val="20"/>
          <w:lang w:val="en-US"/>
        </w:rPr>
      </w:pPr>
    </w:p>
    <w:p w14:paraId="3BDB1513" w14:textId="77777777" w:rsidR="004D2E72" w:rsidRDefault="004D2E72" w:rsidP="00001C80">
      <w:pPr>
        <w:jc w:val="both"/>
        <w:rPr>
          <w:b/>
          <w:sz w:val="20"/>
          <w:szCs w:val="20"/>
          <w:lang w:val="en-US"/>
        </w:rPr>
      </w:pPr>
    </w:p>
    <w:p w14:paraId="201AC1A2" w14:textId="6CB6C25E" w:rsidR="006809CE" w:rsidRPr="004D2E72" w:rsidRDefault="008023D5" w:rsidP="004D2E72">
      <w:pPr>
        <w:jc w:val="both"/>
        <w:rPr>
          <w:lang w:val="en-US"/>
        </w:rPr>
      </w:pPr>
      <w:r w:rsidRPr="004D2E72">
        <w:rPr>
          <w:b/>
          <w:lang w:val="en-US"/>
        </w:rPr>
        <w:t>Table S3</w:t>
      </w:r>
      <w:r w:rsidR="006809CE" w:rsidRPr="004D2E72">
        <w:rPr>
          <w:lang w:val="en-US"/>
        </w:rPr>
        <w:t xml:space="preserve">: </w:t>
      </w:r>
      <w:r w:rsidR="00001C80" w:rsidRPr="004D2E72">
        <w:rPr>
          <w:lang w:val="en-US"/>
        </w:rPr>
        <w:t>Results from linear regression analyses examining the main effects of family history of psychosis (FHP) and parental socioeconomic status (SES)</w:t>
      </w:r>
      <w:r w:rsidR="00061A70">
        <w:rPr>
          <w:lang w:val="en-US"/>
        </w:rPr>
        <w:t>,</w:t>
      </w:r>
      <w:r w:rsidR="00001C80" w:rsidRPr="004D2E72">
        <w:rPr>
          <w:lang w:val="en-US"/>
        </w:rPr>
        <w:t xml:space="preserve"> as well as their interaction on PA domain scores.  </w:t>
      </w:r>
    </w:p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2560"/>
        <w:gridCol w:w="2080"/>
        <w:gridCol w:w="2080"/>
        <w:gridCol w:w="2080"/>
      </w:tblGrid>
      <w:tr w:rsidR="009C6E76" w:rsidRPr="009C6E76" w14:paraId="77864186" w14:textId="77777777" w:rsidTr="009C6E76">
        <w:trPr>
          <w:trHeight w:val="61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FEDB9B4" w14:textId="77777777" w:rsidR="009C6E76" w:rsidRPr="009C6E76" w:rsidRDefault="009C6E76" w:rsidP="009C6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 w:rsidRPr="009C6E76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 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DF9EC6E" w14:textId="77777777" w:rsidR="009C6E76" w:rsidRPr="009C6E76" w:rsidRDefault="009C6E76" w:rsidP="009C6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C6E7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FHP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7F02117" w14:textId="77777777" w:rsidR="009C6E76" w:rsidRPr="009C6E76" w:rsidRDefault="009C6E76" w:rsidP="009C6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C6E7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SES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2321CC4" w14:textId="77777777" w:rsidR="009C6E76" w:rsidRPr="009C6E76" w:rsidRDefault="009C6E76" w:rsidP="009C6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C6E7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FHP x SES</w:t>
            </w:r>
          </w:p>
        </w:tc>
      </w:tr>
      <w:tr w:rsidR="009C6E76" w:rsidRPr="009C6E76" w14:paraId="10641C6E" w14:textId="77777777" w:rsidTr="009C6E76">
        <w:trPr>
          <w:trHeight w:val="43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48CA5F7" w14:textId="77777777" w:rsidR="009C6E76" w:rsidRPr="009C6E76" w:rsidRDefault="009C6E76" w:rsidP="009C6E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C6E7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Childhood PA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2C7F156" w14:textId="77777777" w:rsidR="009C6E76" w:rsidRPr="009C6E76" w:rsidRDefault="009C6E76" w:rsidP="009C6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C6E7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β (</w:t>
            </w:r>
            <w:r w:rsidRPr="009C6E7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l-GR"/>
              </w:rPr>
              <w:t>p</w:t>
            </w:r>
            <w:r w:rsidRPr="009C6E7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-value)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B824CC7" w14:textId="77777777" w:rsidR="009C6E76" w:rsidRPr="009C6E76" w:rsidRDefault="009C6E76" w:rsidP="009C6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C6E7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β (</w:t>
            </w:r>
            <w:r w:rsidRPr="009C6E7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l-GR"/>
              </w:rPr>
              <w:t>p</w:t>
            </w:r>
            <w:r w:rsidRPr="009C6E7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-value)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0C854A5" w14:textId="77777777" w:rsidR="009C6E76" w:rsidRPr="009C6E76" w:rsidRDefault="009C6E76" w:rsidP="009C6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C6E7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β (</w:t>
            </w:r>
            <w:r w:rsidRPr="009C6E7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l-GR"/>
              </w:rPr>
              <w:t>p</w:t>
            </w:r>
            <w:r w:rsidRPr="009C6E7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-value*)</w:t>
            </w:r>
          </w:p>
        </w:tc>
      </w:tr>
      <w:tr w:rsidR="009C6E76" w:rsidRPr="009C6E76" w14:paraId="747A571E" w14:textId="77777777" w:rsidTr="009C6E76">
        <w:trPr>
          <w:trHeight w:val="39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35D4F" w14:textId="77777777" w:rsidR="009C6E76" w:rsidRPr="009C6E76" w:rsidRDefault="009C6E76" w:rsidP="009C6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C6E76">
              <w:rPr>
                <w:rFonts w:ascii="Calibri" w:eastAsia="Times New Roman" w:hAnsi="Calibri" w:cs="Times New Roman"/>
                <w:color w:val="000000"/>
                <w:lang w:eastAsia="el-GR"/>
              </w:rPr>
              <w:t>Academic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3F8620" w14:textId="77777777" w:rsidR="009C6E76" w:rsidRPr="009C6E76" w:rsidRDefault="009C6E76" w:rsidP="009C6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C6E76">
              <w:rPr>
                <w:rFonts w:ascii="Calibri" w:eastAsia="Times New Roman" w:hAnsi="Calibri" w:cs="Times New Roman"/>
                <w:color w:val="000000"/>
                <w:lang w:eastAsia="el-GR"/>
              </w:rPr>
              <w:t>0.155 (</w:t>
            </w:r>
            <w:r w:rsidRPr="009C6E7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0.034</w:t>
            </w:r>
            <w:r w:rsidRPr="009C6E76">
              <w:rPr>
                <w:rFonts w:ascii="Calibri" w:eastAsia="Times New Roman" w:hAnsi="Calibri" w:cs="Times New Roman"/>
                <w:color w:val="000000"/>
                <w:lang w:eastAsia="el-GR"/>
              </w:rPr>
              <w:t>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095F28" w14:textId="77777777" w:rsidR="009C6E76" w:rsidRPr="009C6E76" w:rsidRDefault="009C6E76" w:rsidP="009C6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C6E76">
              <w:rPr>
                <w:rFonts w:ascii="Calibri" w:eastAsia="Times New Roman" w:hAnsi="Calibri" w:cs="Times New Roman"/>
                <w:color w:val="000000"/>
                <w:lang w:eastAsia="el-GR"/>
              </w:rPr>
              <w:t>0.131 (0.070)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9439CD" w14:textId="77777777" w:rsidR="009C6E76" w:rsidRPr="009C6E76" w:rsidRDefault="009C6E76" w:rsidP="009C6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C6E76">
              <w:rPr>
                <w:rFonts w:ascii="Calibri" w:eastAsia="Times New Roman" w:hAnsi="Calibri" w:cs="Times New Roman"/>
                <w:color w:val="000000"/>
                <w:lang w:eastAsia="el-GR"/>
              </w:rPr>
              <w:t>0.106 (0.218)</w:t>
            </w:r>
          </w:p>
        </w:tc>
      </w:tr>
      <w:tr w:rsidR="009C6E76" w:rsidRPr="009C6E76" w14:paraId="76E42F87" w14:textId="77777777" w:rsidTr="009C6E76">
        <w:trPr>
          <w:trHeight w:val="39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6D1E73" w14:textId="77777777" w:rsidR="009C6E76" w:rsidRPr="009C6E76" w:rsidRDefault="009C6E76" w:rsidP="009C6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C6E76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Social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35E1B1" w14:textId="77777777" w:rsidR="009C6E76" w:rsidRPr="009C6E76" w:rsidRDefault="009C6E76" w:rsidP="009C6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C6E76">
              <w:rPr>
                <w:rFonts w:ascii="Calibri" w:eastAsia="Times New Roman" w:hAnsi="Calibri" w:cs="Times New Roman"/>
                <w:color w:val="000000"/>
                <w:lang w:eastAsia="el-GR"/>
              </w:rPr>
              <w:t>0.030 (0.683)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201AD1" w14:textId="77777777" w:rsidR="009C6E76" w:rsidRPr="009C6E76" w:rsidRDefault="009C6E76" w:rsidP="009C6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C6E76">
              <w:rPr>
                <w:rFonts w:ascii="Calibri" w:eastAsia="Times New Roman" w:hAnsi="Calibri" w:cs="Times New Roman"/>
                <w:color w:val="000000"/>
                <w:lang w:eastAsia="el-GR"/>
              </w:rPr>
              <w:t>0.039 (0.586)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B1A3C2" w14:textId="77777777" w:rsidR="009C6E76" w:rsidRPr="009C6E76" w:rsidRDefault="009C6E76" w:rsidP="009C6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C6E76">
              <w:rPr>
                <w:rFonts w:ascii="Calibri" w:eastAsia="Times New Roman" w:hAnsi="Calibri" w:cs="Times New Roman"/>
                <w:color w:val="000000"/>
                <w:lang w:eastAsia="el-GR"/>
              </w:rPr>
              <w:t>0.194 (</w:t>
            </w:r>
            <w:r w:rsidRPr="009C6E7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0.024</w:t>
            </w:r>
            <w:r w:rsidRPr="009C6E76">
              <w:rPr>
                <w:rFonts w:ascii="Calibri" w:eastAsia="Times New Roman" w:hAnsi="Calibri" w:cs="Times New Roman"/>
                <w:color w:val="000000"/>
                <w:lang w:eastAsia="el-GR"/>
              </w:rPr>
              <w:t>)</w:t>
            </w:r>
          </w:p>
        </w:tc>
      </w:tr>
      <w:tr w:rsidR="009C6E76" w:rsidRPr="009C6E76" w14:paraId="26F70CF3" w14:textId="77777777" w:rsidTr="009C6E76">
        <w:trPr>
          <w:trHeight w:val="43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B003705" w14:textId="77777777" w:rsidR="009C6E76" w:rsidRPr="009C6E76" w:rsidRDefault="009C6E76" w:rsidP="009C6E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C6E7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Early adolescence PA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24B80BA" w14:textId="77777777" w:rsidR="009C6E76" w:rsidRPr="009C6E76" w:rsidRDefault="009C6E76" w:rsidP="009C6E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C6E7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596251A" w14:textId="77777777" w:rsidR="009C6E76" w:rsidRPr="009C6E76" w:rsidRDefault="009C6E76" w:rsidP="009C6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C6E7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C1A45DD" w14:textId="77777777" w:rsidR="009C6E76" w:rsidRPr="009C6E76" w:rsidRDefault="009C6E76" w:rsidP="009C6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C6E7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C6E76" w:rsidRPr="009C6E76" w14:paraId="1AE23BDC" w14:textId="77777777" w:rsidTr="009C6E76">
        <w:trPr>
          <w:trHeight w:val="39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B87BB3" w14:textId="77777777" w:rsidR="009C6E76" w:rsidRPr="009C6E76" w:rsidRDefault="009C6E76" w:rsidP="009C6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C6E76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Academic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E6F6C" w14:textId="77777777" w:rsidR="009C6E76" w:rsidRPr="009C6E76" w:rsidRDefault="009C6E76" w:rsidP="009C6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C6E76">
              <w:rPr>
                <w:rFonts w:ascii="Calibri" w:eastAsia="Times New Roman" w:hAnsi="Calibri" w:cs="Times New Roman"/>
                <w:color w:val="000000"/>
                <w:lang w:eastAsia="el-GR"/>
              </w:rPr>
              <w:t>0.142 (0.062)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B56391" w14:textId="77777777" w:rsidR="009C6E76" w:rsidRPr="009C6E76" w:rsidRDefault="009C6E76" w:rsidP="009C6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C6E76">
              <w:rPr>
                <w:rFonts w:ascii="Calibri" w:eastAsia="Times New Roman" w:hAnsi="Calibri" w:cs="Times New Roman"/>
                <w:color w:val="000000"/>
                <w:lang w:eastAsia="el-GR"/>
              </w:rPr>
              <w:t>0.104 (0.167)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B989A4" w14:textId="77777777" w:rsidR="009C6E76" w:rsidRPr="009C6E76" w:rsidRDefault="009C6E76" w:rsidP="009C6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C6E76">
              <w:rPr>
                <w:rFonts w:ascii="Calibri" w:eastAsia="Times New Roman" w:hAnsi="Calibri" w:cs="Times New Roman"/>
                <w:color w:val="000000"/>
                <w:lang w:eastAsia="el-GR"/>
              </w:rPr>
              <w:t>0.060 (0.508)</w:t>
            </w:r>
          </w:p>
        </w:tc>
      </w:tr>
      <w:tr w:rsidR="009C6E76" w:rsidRPr="009C6E76" w14:paraId="5E236E09" w14:textId="77777777" w:rsidTr="009C6E76">
        <w:trPr>
          <w:trHeight w:val="39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1F343F" w14:textId="77777777" w:rsidR="009C6E76" w:rsidRPr="009C6E76" w:rsidRDefault="009C6E76" w:rsidP="009C6E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C6E76">
              <w:rPr>
                <w:rFonts w:ascii="Calibri" w:eastAsia="Times New Roman" w:hAnsi="Calibri" w:cs="Times New Roman"/>
                <w:color w:val="000000"/>
                <w:lang w:eastAsia="el-GR"/>
              </w:rPr>
              <w:t>Social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24401B" w14:textId="77777777" w:rsidR="009C6E76" w:rsidRPr="009C6E76" w:rsidRDefault="009C6E76" w:rsidP="009C6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C6E76">
              <w:rPr>
                <w:rFonts w:ascii="Calibri" w:eastAsia="Times New Roman" w:hAnsi="Calibri" w:cs="Times New Roman"/>
                <w:color w:val="000000"/>
                <w:lang w:eastAsia="el-GR"/>
              </w:rPr>
              <w:t>0.068 (0.363)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BC4950" w14:textId="77777777" w:rsidR="009C6E76" w:rsidRPr="009C6E76" w:rsidRDefault="009C6E76" w:rsidP="009C6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C6E76">
              <w:rPr>
                <w:rFonts w:ascii="Calibri" w:eastAsia="Times New Roman" w:hAnsi="Calibri" w:cs="Times New Roman"/>
                <w:color w:val="000000"/>
                <w:lang w:eastAsia="el-GR"/>
              </w:rPr>
              <w:t>0.027 (0.721)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55657E" w14:textId="77777777" w:rsidR="009C6E76" w:rsidRPr="009C6E76" w:rsidRDefault="009C6E76" w:rsidP="009C6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C6E76">
              <w:rPr>
                <w:rFonts w:ascii="Calibri" w:eastAsia="Times New Roman" w:hAnsi="Calibri" w:cs="Times New Roman"/>
                <w:color w:val="000000"/>
                <w:lang w:eastAsia="el-GR"/>
              </w:rPr>
              <w:t>0.052 (0.570)</w:t>
            </w:r>
          </w:p>
        </w:tc>
      </w:tr>
    </w:tbl>
    <w:p w14:paraId="4FED190D" w14:textId="77777777" w:rsidR="006809CE" w:rsidRPr="006809CE" w:rsidRDefault="006809CE" w:rsidP="001361B8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*</w:t>
      </w:r>
      <w:r w:rsidRPr="009C6E76">
        <w:rPr>
          <w:sz w:val="18"/>
          <w:szCs w:val="18"/>
          <w:lang w:val="en-US"/>
        </w:rPr>
        <w:t xml:space="preserve">Results from multiple linear </w:t>
      </w:r>
      <w:r w:rsidR="001361B8" w:rsidRPr="009C6E76">
        <w:rPr>
          <w:sz w:val="18"/>
          <w:szCs w:val="18"/>
          <w:lang w:val="en-US"/>
        </w:rPr>
        <w:t>regression analyses, adjusting for gender, age, psychiatric site, diagnosis status (FEP, SZ) and the main effects of FHP, SES.</w:t>
      </w:r>
    </w:p>
    <w:p w14:paraId="55E6EC80" w14:textId="77777777" w:rsidR="006809CE" w:rsidRDefault="006809CE" w:rsidP="006809CE">
      <w:pPr>
        <w:spacing w:line="240" w:lineRule="auto"/>
        <w:rPr>
          <w:lang w:val="en-US"/>
        </w:rPr>
      </w:pPr>
    </w:p>
    <w:p w14:paraId="170BD01B" w14:textId="77777777" w:rsidR="006809CE" w:rsidRDefault="006809CE">
      <w:pPr>
        <w:rPr>
          <w:lang w:val="en-US"/>
        </w:rPr>
      </w:pPr>
    </w:p>
    <w:p w14:paraId="5F5CD19D" w14:textId="77777777" w:rsidR="007677DB" w:rsidRDefault="007677DB">
      <w:pPr>
        <w:rPr>
          <w:lang w:val="en-US"/>
        </w:rPr>
      </w:pPr>
    </w:p>
    <w:p w14:paraId="03810AAD" w14:textId="77777777" w:rsidR="007677DB" w:rsidRDefault="007677DB">
      <w:pPr>
        <w:rPr>
          <w:lang w:val="en-US"/>
        </w:rPr>
      </w:pPr>
    </w:p>
    <w:p w14:paraId="4B69FF40" w14:textId="77777777" w:rsidR="00197B5F" w:rsidRDefault="00197B5F">
      <w:pPr>
        <w:rPr>
          <w:lang w:val="en-US"/>
        </w:rPr>
      </w:pPr>
    </w:p>
    <w:tbl>
      <w:tblPr>
        <w:tblW w:w="9914" w:type="dxa"/>
        <w:tblInd w:w="-176" w:type="dxa"/>
        <w:tblLook w:val="04A0" w:firstRow="1" w:lastRow="0" w:firstColumn="1" w:lastColumn="0" w:noHBand="0" w:noVBand="1"/>
      </w:tblPr>
      <w:tblGrid>
        <w:gridCol w:w="1590"/>
        <w:gridCol w:w="1177"/>
        <w:gridCol w:w="83"/>
        <w:gridCol w:w="766"/>
        <w:gridCol w:w="1387"/>
        <w:gridCol w:w="639"/>
        <w:gridCol w:w="312"/>
        <w:gridCol w:w="1075"/>
        <w:gridCol w:w="201"/>
        <w:gridCol w:w="438"/>
        <w:gridCol w:w="285"/>
        <w:gridCol w:w="1102"/>
        <w:gridCol w:w="160"/>
        <w:gridCol w:w="699"/>
      </w:tblGrid>
      <w:tr w:rsidR="00A865EB" w:rsidRPr="003F65C3" w14:paraId="59399C7B" w14:textId="77777777" w:rsidTr="00FA15F3">
        <w:trPr>
          <w:trHeight w:val="490"/>
        </w:trPr>
        <w:tc>
          <w:tcPr>
            <w:tcW w:w="905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2C34CE" w14:textId="44135B3B" w:rsidR="00A865EB" w:rsidRPr="00A865EB" w:rsidRDefault="00A865EB" w:rsidP="008E76F6">
            <w:pPr>
              <w:spacing w:after="0"/>
              <w:ind w:left="-93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 w:rsidRPr="00A865EB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lastRenderedPageBreak/>
              <w:t xml:space="preserve">Table S4: </w:t>
            </w:r>
            <w:r w:rsidRPr="00A865EB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Association resul</w:t>
            </w:r>
            <w:r w:rsidR="00DF0264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 xml:space="preserve">ts between PA domain scores, age at onset </w:t>
            </w:r>
            <w:r w:rsidRPr="00A865EB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 xml:space="preserve">and treatment response </w:t>
            </w:r>
            <w:r w:rsidR="008E76F6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 xml:space="preserve">status </w:t>
            </w:r>
            <w:r w:rsidR="00277745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in FEP and SZ patient groups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F2C9EF" w14:textId="77777777" w:rsidR="00A865EB" w:rsidRPr="00A865EB" w:rsidRDefault="00A865EB" w:rsidP="00A86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l-GR"/>
              </w:rPr>
            </w:pPr>
            <w:r w:rsidRPr="00A865E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l-GR"/>
              </w:rPr>
              <w:t> </w:t>
            </w:r>
          </w:p>
        </w:tc>
      </w:tr>
      <w:tr w:rsidR="00A865EB" w:rsidRPr="00A865EB" w14:paraId="67C1284E" w14:textId="77777777" w:rsidTr="005F088A">
        <w:trPr>
          <w:trHeight w:val="64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234FF8A" w14:textId="77777777" w:rsidR="00A865EB" w:rsidRPr="00A865EB" w:rsidRDefault="00A865EB" w:rsidP="00A86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l-GR"/>
              </w:rPr>
            </w:pPr>
            <w:r w:rsidRPr="00A865E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l-GR"/>
              </w:rPr>
              <w:t> 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63C1758" w14:textId="77777777" w:rsidR="00A865EB" w:rsidRPr="00A865EB" w:rsidRDefault="00A865E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865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FEP Cases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A584604" w14:textId="77777777" w:rsidR="00A865EB" w:rsidRPr="00A865EB" w:rsidRDefault="00A865E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865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SZ Cases</w:t>
            </w: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782C006" w14:textId="77777777" w:rsidR="00A865EB" w:rsidRPr="00A865EB" w:rsidRDefault="00A865E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865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All Cases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0D8556" w14:textId="77777777" w:rsidR="00A865EB" w:rsidRPr="00A865EB" w:rsidRDefault="00A865E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865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All Cases (adjusted*) </w:t>
            </w:r>
          </w:p>
        </w:tc>
      </w:tr>
      <w:tr w:rsidR="00B062CC" w:rsidRPr="00A865EB" w14:paraId="1959B95B" w14:textId="77777777" w:rsidTr="00FA15F3">
        <w:trPr>
          <w:trHeight w:val="474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834201C" w14:textId="77777777" w:rsidR="00A865EB" w:rsidRPr="00A865EB" w:rsidRDefault="00A865EB" w:rsidP="00A86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A865E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E4FF38F" w14:textId="77777777" w:rsidR="005F088A" w:rsidRDefault="005F088A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</w:pPr>
          </w:p>
          <w:p w14:paraId="611AD391" w14:textId="77777777" w:rsidR="00B062CC" w:rsidRPr="00FB2935" w:rsidRDefault="00A865E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A865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OR </w:t>
            </w:r>
          </w:p>
          <w:p w14:paraId="02C0C1F8" w14:textId="5D3356A3" w:rsidR="00A865EB" w:rsidRPr="00A865EB" w:rsidRDefault="00A865E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865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(95% CI)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7DDFADF" w14:textId="77777777" w:rsidR="00A865EB" w:rsidRPr="00A865EB" w:rsidRDefault="00A865E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865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p-value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C3F8068" w14:textId="77777777" w:rsidR="005F088A" w:rsidRDefault="005F088A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</w:pPr>
          </w:p>
          <w:p w14:paraId="158F99D0" w14:textId="77777777" w:rsidR="00B062CC" w:rsidRPr="00FB2935" w:rsidRDefault="00A865E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A865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OR </w:t>
            </w:r>
          </w:p>
          <w:p w14:paraId="59EE0432" w14:textId="410C77EF" w:rsidR="00A865EB" w:rsidRPr="00A865EB" w:rsidRDefault="00A865E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865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(95% CI)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B23D213" w14:textId="77777777" w:rsidR="00A865EB" w:rsidRPr="00A865EB" w:rsidRDefault="00A865E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865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p-value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B2DC5E3" w14:textId="77777777" w:rsidR="005F088A" w:rsidRDefault="005F088A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</w:pPr>
          </w:p>
          <w:p w14:paraId="1661EE95" w14:textId="77777777" w:rsidR="00B062CC" w:rsidRPr="00FB2935" w:rsidRDefault="00A865E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A865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OR </w:t>
            </w:r>
          </w:p>
          <w:p w14:paraId="483EE98F" w14:textId="460A8D0A" w:rsidR="00A865EB" w:rsidRPr="00A865EB" w:rsidRDefault="00A865E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865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(95% CI)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092F7CE" w14:textId="77777777" w:rsidR="00A865EB" w:rsidRPr="00A865EB" w:rsidRDefault="00A865E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865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p-value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60D6078" w14:textId="77777777" w:rsidR="005F088A" w:rsidRDefault="005F088A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</w:pPr>
          </w:p>
          <w:p w14:paraId="1DD19A57" w14:textId="77777777" w:rsidR="00B062CC" w:rsidRPr="00FB2935" w:rsidRDefault="00A865E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A865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OR </w:t>
            </w:r>
          </w:p>
          <w:p w14:paraId="1139600C" w14:textId="0D1AD00E" w:rsidR="00A865EB" w:rsidRPr="00A865EB" w:rsidRDefault="00A865E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865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(95% CI)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266767" w14:textId="77777777" w:rsidR="00A865EB" w:rsidRPr="00A865EB" w:rsidRDefault="00A865E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865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p-value</w:t>
            </w:r>
          </w:p>
        </w:tc>
      </w:tr>
      <w:tr w:rsidR="00B062CC" w:rsidRPr="00A865EB" w14:paraId="3E09311F" w14:textId="77777777" w:rsidTr="00FB2935">
        <w:trPr>
          <w:trHeight w:val="557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2890DB" w14:textId="2EA721FE" w:rsidR="00A865EB" w:rsidRPr="00A865EB" w:rsidRDefault="00FA15F3" w:rsidP="00FA15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Childhood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49EF43" w14:textId="77777777" w:rsidR="00A865EB" w:rsidRPr="00A865EB" w:rsidRDefault="00A865EB" w:rsidP="00A86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A865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6C9EAD" w14:textId="77777777" w:rsidR="00A865EB" w:rsidRPr="00A865EB" w:rsidRDefault="00A865EB" w:rsidP="00A86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A865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103BAD" w14:textId="77777777" w:rsidR="00A865EB" w:rsidRPr="00A865EB" w:rsidRDefault="00A865EB" w:rsidP="00A86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A865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CE13D2" w14:textId="77777777" w:rsidR="00A865EB" w:rsidRPr="00A865EB" w:rsidRDefault="00A865EB" w:rsidP="00A86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A865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DB2D10" w14:textId="77777777" w:rsidR="00A865EB" w:rsidRPr="00A865EB" w:rsidRDefault="00A865EB" w:rsidP="00A86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A865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5CAD7C" w14:textId="77777777" w:rsidR="00A865EB" w:rsidRPr="00A865EB" w:rsidRDefault="00A865EB" w:rsidP="00A86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A865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782C77" w14:textId="77777777" w:rsidR="00A865EB" w:rsidRPr="00A865EB" w:rsidRDefault="00A865EB" w:rsidP="00A86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A865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E9079" w14:textId="77777777" w:rsidR="00A865EB" w:rsidRPr="00A865EB" w:rsidRDefault="00A865EB" w:rsidP="00A86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A865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062CC" w:rsidRPr="00A865EB" w14:paraId="1C8605D0" w14:textId="77777777" w:rsidTr="00FA15F3">
        <w:trPr>
          <w:trHeight w:val="52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E50D4" w14:textId="77777777" w:rsidR="00A865EB" w:rsidRPr="00A865EB" w:rsidRDefault="00A865EB" w:rsidP="00A865E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l-GR"/>
              </w:rPr>
            </w:pPr>
            <w:r w:rsidRPr="00A865E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l-GR"/>
              </w:rPr>
              <w:t>Academic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82F200" w14:textId="77777777" w:rsidR="00B062CC" w:rsidRDefault="00B062CC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  <w:p w14:paraId="2E99B379" w14:textId="77777777" w:rsidR="00B062CC" w:rsidRPr="00B062CC" w:rsidRDefault="00A865E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A865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0.79 </w:t>
            </w:r>
          </w:p>
          <w:p w14:paraId="175F7670" w14:textId="5986F409" w:rsidR="00A865EB" w:rsidRPr="00A865EB" w:rsidRDefault="00A865E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A865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(0.48 - 1.30)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4F5A9D" w14:textId="77777777" w:rsidR="00A865EB" w:rsidRPr="00A865EB" w:rsidRDefault="00A865E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A865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0.347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51B0F6" w14:textId="77777777" w:rsidR="00B062CC" w:rsidRDefault="00B062CC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  <w:p w14:paraId="65F3E83A" w14:textId="77777777" w:rsidR="00B062CC" w:rsidRPr="00B062CC" w:rsidRDefault="00A865E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A865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0.93 </w:t>
            </w:r>
          </w:p>
          <w:p w14:paraId="33542528" w14:textId="5920DC33" w:rsidR="00A865EB" w:rsidRPr="00A865EB" w:rsidRDefault="00A865E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A865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(0.59 - 1.45)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224D7E" w14:textId="77777777" w:rsidR="00A865EB" w:rsidRPr="00A865EB" w:rsidRDefault="00A865E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A865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0.740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35B490" w14:textId="77777777" w:rsidR="00B062CC" w:rsidRDefault="00B062CC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  <w:p w14:paraId="294CD743" w14:textId="77777777" w:rsidR="00B062CC" w:rsidRPr="00B062CC" w:rsidRDefault="00A865E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A865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0.83 </w:t>
            </w:r>
          </w:p>
          <w:p w14:paraId="4503AC12" w14:textId="03EADE97" w:rsidR="00A865EB" w:rsidRPr="00A865EB" w:rsidRDefault="00A865E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A865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(0.61 - 1.14)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ED0B73" w14:textId="77777777" w:rsidR="00A865EB" w:rsidRPr="00A865EB" w:rsidRDefault="00A865E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A865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0.258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5CC57E" w14:textId="77777777" w:rsidR="00B062CC" w:rsidRDefault="00B062CC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  <w:p w14:paraId="485DCB55" w14:textId="77777777" w:rsidR="00B062CC" w:rsidRPr="00B062CC" w:rsidRDefault="00A865E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A865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0.84 </w:t>
            </w:r>
          </w:p>
          <w:p w14:paraId="78DD1D9B" w14:textId="514E6108" w:rsidR="00A865EB" w:rsidRPr="00A865EB" w:rsidRDefault="00A865E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A865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(0.64 - 1.09)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5B38D" w14:textId="77777777" w:rsidR="00A865EB" w:rsidRPr="00A865EB" w:rsidRDefault="00A865E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A865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0.270</w:t>
            </w:r>
          </w:p>
        </w:tc>
      </w:tr>
      <w:tr w:rsidR="00B062CC" w:rsidRPr="00A865EB" w14:paraId="1516B5B6" w14:textId="77777777" w:rsidTr="00FA15F3">
        <w:trPr>
          <w:trHeight w:val="52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99AB04" w14:textId="77777777" w:rsidR="00A865EB" w:rsidRPr="00A865EB" w:rsidRDefault="00A865EB" w:rsidP="00A865E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l-GR"/>
              </w:rPr>
            </w:pPr>
            <w:r w:rsidRPr="00A865E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l-GR"/>
              </w:rPr>
              <w:t>Social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8AB801" w14:textId="77777777" w:rsidR="00B062CC" w:rsidRDefault="00B062CC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  <w:p w14:paraId="6BCF23FB" w14:textId="77777777" w:rsidR="00B062CC" w:rsidRPr="00B062CC" w:rsidRDefault="00A865E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A865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1.36 </w:t>
            </w:r>
          </w:p>
          <w:p w14:paraId="0E42A9F9" w14:textId="04A44FE5" w:rsidR="00A865EB" w:rsidRPr="00A865EB" w:rsidRDefault="00A865E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A865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(0.84 - 2.19)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7F700D" w14:textId="77777777" w:rsidR="00A865EB" w:rsidRPr="00A865EB" w:rsidRDefault="00A865E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A865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0.208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FE86D7" w14:textId="77777777" w:rsidR="00B062CC" w:rsidRDefault="00B062CC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  <w:p w14:paraId="5CAC7647" w14:textId="77777777" w:rsidR="00B062CC" w:rsidRPr="00B062CC" w:rsidRDefault="00A865E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A865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1.39 </w:t>
            </w:r>
          </w:p>
          <w:p w14:paraId="69FA7E35" w14:textId="5F427542" w:rsidR="00A865EB" w:rsidRPr="00A865EB" w:rsidRDefault="00A865E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A865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(0.85 - 2.27)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C8AF24" w14:textId="77777777" w:rsidR="00A865EB" w:rsidRPr="00A865EB" w:rsidRDefault="00A865E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A865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0.188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AF900A" w14:textId="77777777" w:rsidR="00B062CC" w:rsidRDefault="00B062CC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  <w:p w14:paraId="6469F1A3" w14:textId="77777777" w:rsidR="00B062CC" w:rsidRPr="00B062CC" w:rsidRDefault="00A865E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A865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1.37 </w:t>
            </w:r>
          </w:p>
          <w:p w14:paraId="32F3C388" w14:textId="4F67EF8D" w:rsidR="00A865EB" w:rsidRPr="00A865EB" w:rsidRDefault="00A865E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A865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(0.99 - 1.89)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A10EE0" w14:textId="77777777" w:rsidR="00A865EB" w:rsidRPr="00A865EB" w:rsidRDefault="00A865E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A865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0.059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1129B3" w14:textId="77777777" w:rsidR="00B062CC" w:rsidRDefault="00B062CC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  <w:p w14:paraId="1A5378A2" w14:textId="77777777" w:rsidR="00B062CC" w:rsidRPr="00B062CC" w:rsidRDefault="00A865E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A865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1.37 </w:t>
            </w:r>
          </w:p>
          <w:p w14:paraId="59C47261" w14:textId="0F47964D" w:rsidR="00A865EB" w:rsidRPr="00A865EB" w:rsidRDefault="00A865E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A865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(0.99 - 1.90)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4C642" w14:textId="77777777" w:rsidR="00A865EB" w:rsidRPr="00A865EB" w:rsidRDefault="00A865E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A865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0.057</w:t>
            </w:r>
          </w:p>
        </w:tc>
      </w:tr>
      <w:tr w:rsidR="00FA15F3" w:rsidRPr="00A865EB" w14:paraId="6C8BEE60" w14:textId="77777777" w:rsidTr="00FB2935">
        <w:trPr>
          <w:trHeight w:val="628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CA1B778" w14:textId="4F44C30C" w:rsidR="00FA15F3" w:rsidRPr="00FA15F3" w:rsidRDefault="00FA15F3" w:rsidP="00FA15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Early adolescence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3085946" w14:textId="77777777" w:rsidR="00FA15F3" w:rsidRDefault="00FA15F3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255B4BD" w14:textId="77777777" w:rsidR="00FA15F3" w:rsidRPr="00A865EB" w:rsidRDefault="00FA15F3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D037620" w14:textId="77777777" w:rsidR="00FA15F3" w:rsidRDefault="00FA15F3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8D77DB2" w14:textId="77777777" w:rsidR="00FA15F3" w:rsidRPr="00A865EB" w:rsidRDefault="00FA15F3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DFDE7DD" w14:textId="77777777" w:rsidR="00FA15F3" w:rsidRDefault="00FA15F3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0B4C6BA" w14:textId="77777777" w:rsidR="00FA15F3" w:rsidRPr="00A865EB" w:rsidRDefault="00FA15F3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238A550" w14:textId="77777777" w:rsidR="00FA15F3" w:rsidRDefault="00FA15F3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2ABC6F" w14:textId="77777777" w:rsidR="00FA15F3" w:rsidRPr="00A865EB" w:rsidRDefault="00FA15F3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A15F3" w:rsidRPr="00A865EB" w14:paraId="2420A553" w14:textId="77777777" w:rsidTr="00FA15F3">
        <w:trPr>
          <w:trHeight w:val="52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1C5C7C3" w14:textId="5CCFE876" w:rsidR="00FA15F3" w:rsidRPr="00FA15F3" w:rsidRDefault="00FA15F3" w:rsidP="00A865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Academic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CF34E27" w14:textId="77777777" w:rsidR="00237E75" w:rsidRDefault="00237E75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  <w:p w14:paraId="3DB07B36" w14:textId="1FDA2C95" w:rsidR="00FA15F3" w:rsidRDefault="00237E75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1.09</w:t>
            </w:r>
          </w:p>
          <w:p w14:paraId="4B8D6625" w14:textId="170B70CE" w:rsidR="00237E75" w:rsidRDefault="00237E75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(0.68-1.72)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A947F46" w14:textId="15CB9219" w:rsidR="00FA15F3" w:rsidRPr="00237E75" w:rsidRDefault="00237E75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0.729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7E21580" w14:textId="77777777" w:rsidR="004662FD" w:rsidRDefault="004662FD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  <w:p w14:paraId="43927B53" w14:textId="77777777" w:rsidR="00FA15F3" w:rsidRDefault="004662FD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0.87</w:t>
            </w:r>
          </w:p>
          <w:p w14:paraId="7DE34E22" w14:textId="17EBB095" w:rsidR="004662FD" w:rsidRDefault="004662FD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(0.57-1.33)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43966EA" w14:textId="55BCB5AC" w:rsidR="00FA15F3" w:rsidRPr="004662FD" w:rsidRDefault="004662FD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0.515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1CD8AFE" w14:textId="77777777" w:rsidR="00C35128" w:rsidRDefault="00C35128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  <w:p w14:paraId="450FBACC" w14:textId="77777777" w:rsidR="00FA15F3" w:rsidRDefault="00C35128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0.97</w:t>
            </w:r>
          </w:p>
          <w:p w14:paraId="792DDC85" w14:textId="695876AC" w:rsidR="00C35128" w:rsidRDefault="00C35128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(0.71-1.32)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F71DF63" w14:textId="53217198" w:rsidR="00FA15F3" w:rsidRPr="00C35128" w:rsidRDefault="00C35128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0.821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E07431B" w14:textId="77777777" w:rsidR="007A0085" w:rsidRDefault="007A0085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  <w:p w14:paraId="56306468" w14:textId="77777777" w:rsidR="00FA15F3" w:rsidRDefault="007A0085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0.97</w:t>
            </w:r>
          </w:p>
          <w:p w14:paraId="7E93C994" w14:textId="1E4090FF" w:rsidR="007A0085" w:rsidRDefault="007A0085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(0.71-1.32)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93345" w14:textId="27828B8D" w:rsidR="00FA15F3" w:rsidRPr="007A0085" w:rsidRDefault="007A0085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0.835</w:t>
            </w:r>
          </w:p>
        </w:tc>
      </w:tr>
      <w:tr w:rsidR="00FA15F3" w:rsidRPr="00A865EB" w14:paraId="700A225C" w14:textId="77777777" w:rsidTr="00C85B17">
        <w:trPr>
          <w:trHeight w:val="520"/>
        </w:trPr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A13ED7E" w14:textId="36738DF3" w:rsidR="00FA15F3" w:rsidRPr="00FA15F3" w:rsidRDefault="00FA15F3" w:rsidP="00A865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Social</w:t>
            </w:r>
          </w:p>
        </w:tc>
        <w:tc>
          <w:tcPr>
            <w:tcW w:w="126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0C06449" w14:textId="77777777" w:rsidR="00237E75" w:rsidRDefault="00237E75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  <w:p w14:paraId="51EE0869" w14:textId="77777777" w:rsidR="00FA15F3" w:rsidRDefault="00237E75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1.25</w:t>
            </w:r>
          </w:p>
          <w:p w14:paraId="598AB212" w14:textId="3BE08E50" w:rsidR="00237E75" w:rsidRDefault="00237E75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(0.81-1.94)</w:t>
            </w:r>
          </w:p>
        </w:tc>
        <w:tc>
          <w:tcPr>
            <w:tcW w:w="766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8DE3854" w14:textId="0D09F44E" w:rsidR="00FA15F3" w:rsidRPr="00237E75" w:rsidRDefault="00237E75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0.322</w:t>
            </w:r>
          </w:p>
        </w:tc>
        <w:tc>
          <w:tcPr>
            <w:tcW w:w="1387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069B3DD" w14:textId="77777777" w:rsidR="00B957FD" w:rsidRDefault="00B957FD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  <w:p w14:paraId="46F0A403" w14:textId="77777777" w:rsidR="00FA15F3" w:rsidRDefault="00B957FD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1.12</w:t>
            </w:r>
          </w:p>
          <w:p w14:paraId="4023B58C" w14:textId="30F4F50D" w:rsidR="00B957FD" w:rsidRDefault="00B957FD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(0.73-1.70)</w:t>
            </w:r>
          </w:p>
        </w:tc>
        <w:tc>
          <w:tcPr>
            <w:tcW w:w="95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4F89D31" w14:textId="59204B2B" w:rsidR="00FA15F3" w:rsidRPr="00B957FD" w:rsidRDefault="00B957FD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0.605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9DDD6B4" w14:textId="77777777" w:rsidR="00C35128" w:rsidRDefault="00C35128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  <w:p w14:paraId="21D8EA92" w14:textId="77777777" w:rsidR="00FA15F3" w:rsidRDefault="00C35128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1.18</w:t>
            </w:r>
          </w:p>
          <w:p w14:paraId="40B338C4" w14:textId="6ABC0377" w:rsidR="00C35128" w:rsidRDefault="00C35128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(0.87-1.59)</w:t>
            </w:r>
          </w:p>
        </w:tc>
        <w:tc>
          <w:tcPr>
            <w:tcW w:w="72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6959A7C" w14:textId="4559D1F8" w:rsidR="00FA15F3" w:rsidRPr="00C35128" w:rsidRDefault="00C35128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0.286</w:t>
            </w:r>
          </w:p>
        </w:tc>
        <w:tc>
          <w:tcPr>
            <w:tcW w:w="126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8859164" w14:textId="77777777" w:rsidR="0075270B" w:rsidRDefault="0075270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  <w:p w14:paraId="0EABD883" w14:textId="77777777" w:rsidR="00FA15F3" w:rsidRDefault="0075270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1.18</w:t>
            </w:r>
          </w:p>
          <w:p w14:paraId="24545460" w14:textId="1C976EE2" w:rsidR="0075270B" w:rsidRDefault="0075270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(0.87-1.60)</w:t>
            </w:r>
          </w:p>
        </w:tc>
        <w:tc>
          <w:tcPr>
            <w:tcW w:w="6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35ABBC" w14:textId="0543A209" w:rsidR="00FA15F3" w:rsidRPr="0075270B" w:rsidRDefault="0075270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  <w:t>0.281</w:t>
            </w:r>
          </w:p>
        </w:tc>
      </w:tr>
      <w:tr w:rsidR="00B062CC" w:rsidRPr="00A865EB" w14:paraId="29990B5F" w14:textId="77777777" w:rsidTr="000B0EC5">
        <w:trPr>
          <w:trHeight w:val="898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45B187" w14:textId="33C58733" w:rsidR="00A865EB" w:rsidRPr="00A865EB" w:rsidRDefault="00A865EB" w:rsidP="00A865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865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Age at onset (AAO)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C1B535" w14:textId="77777777" w:rsidR="00B062CC" w:rsidRDefault="00B062CC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  <w:p w14:paraId="1088BB1D" w14:textId="77777777" w:rsidR="00B062CC" w:rsidRPr="00B062CC" w:rsidRDefault="00A865E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A865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0.50 </w:t>
            </w:r>
          </w:p>
          <w:p w14:paraId="43B85A8A" w14:textId="687F0426" w:rsidR="00A865EB" w:rsidRPr="00A865EB" w:rsidRDefault="00A865E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A865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(0.17 - 1.51)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763973" w14:textId="77777777" w:rsidR="00A865EB" w:rsidRPr="00A865EB" w:rsidRDefault="00A865E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A865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0.221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87A5CC" w14:textId="77777777" w:rsidR="00B062CC" w:rsidRDefault="00B062CC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  <w:p w14:paraId="13993B4C" w14:textId="77777777" w:rsidR="00B062CC" w:rsidRPr="00B062CC" w:rsidRDefault="00A865E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A865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0.43 </w:t>
            </w:r>
          </w:p>
          <w:p w14:paraId="5C86B808" w14:textId="78848FAC" w:rsidR="00A865EB" w:rsidRPr="00A865EB" w:rsidRDefault="00A865E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A865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(0.11 - 1.76)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4F0125" w14:textId="77777777" w:rsidR="00A865EB" w:rsidRPr="00A865EB" w:rsidRDefault="00A865E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A865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0.240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F045B8" w14:textId="77777777" w:rsidR="00B062CC" w:rsidRDefault="00B062CC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  <w:p w14:paraId="615DDF4B" w14:textId="77777777" w:rsidR="00B062CC" w:rsidRPr="00B062CC" w:rsidRDefault="00A865E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A865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0.47 </w:t>
            </w:r>
          </w:p>
          <w:p w14:paraId="6CEBB40B" w14:textId="694C2FBD" w:rsidR="00A865EB" w:rsidRPr="00A865EB" w:rsidRDefault="00A865E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A865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(0.21 - 1.08)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66EE67" w14:textId="77777777" w:rsidR="00A865EB" w:rsidRPr="00A865EB" w:rsidRDefault="00A865E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A865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0.075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7970F9" w14:textId="77777777" w:rsidR="00B062CC" w:rsidRDefault="00B062CC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</w:p>
          <w:p w14:paraId="2AD04A4A" w14:textId="77777777" w:rsidR="00B062CC" w:rsidRPr="00B062CC" w:rsidRDefault="00A865E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l-GR"/>
              </w:rPr>
            </w:pPr>
            <w:r w:rsidRPr="00A865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0.45 </w:t>
            </w:r>
          </w:p>
          <w:p w14:paraId="6CD4A82D" w14:textId="13BED08D" w:rsidR="00A865EB" w:rsidRPr="00A865EB" w:rsidRDefault="00A865E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A865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(0.19 - 1.08)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4C07B" w14:textId="77777777" w:rsidR="00A865EB" w:rsidRPr="00A865EB" w:rsidRDefault="00A865EB" w:rsidP="00A86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A865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0.074</w:t>
            </w:r>
          </w:p>
        </w:tc>
      </w:tr>
      <w:tr w:rsidR="00A865EB" w:rsidRPr="003F65C3" w14:paraId="0098FE00" w14:textId="77777777" w:rsidTr="00FA15F3">
        <w:trPr>
          <w:trHeight w:val="398"/>
        </w:trPr>
        <w:tc>
          <w:tcPr>
            <w:tcW w:w="905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17670" w14:textId="77777777" w:rsidR="00972578" w:rsidRDefault="00972578" w:rsidP="00A86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l-GR"/>
              </w:rPr>
            </w:pPr>
          </w:p>
          <w:p w14:paraId="6F56096F" w14:textId="70E2667E" w:rsidR="00A865EB" w:rsidRPr="00A865EB" w:rsidRDefault="00A865EB" w:rsidP="00A86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l-GR"/>
              </w:rPr>
            </w:pPr>
            <w:r w:rsidRPr="00A865E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l-GR"/>
              </w:rPr>
              <w:t>* Adjusted for treatment status at baseline (dru</w:t>
            </w:r>
            <w:r w:rsidR="00B062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l-GR"/>
              </w:rPr>
              <w:t>g naïve FEP, treated FEP for 1 day</w:t>
            </w:r>
            <w:r w:rsidRPr="00A865E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l-GR"/>
              </w:rPr>
              <w:t>, treated FEP</w:t>
            </w:r>
            <w:r w:rsidR="00B062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l-GR"/>
              </w:rPr>
              <w:t xml:space="preserve"> for 2-10 days, treated SZ for &gt;</w:t>
            </w:r>
            <w:r w:rsidRPr="00A865E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l-GR"/>
              </w:rPr>
              <w:t xml:space="preserve"> 1 year)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4E3EE" w14:textId="77777777" w:rsidR="00A865EB" w:rsidRPr="00A865EB" w:rsidRDefault="00A865EB" w:rsidP="00A86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l-GR"/>
              </w:rPr>
            </w:pPr>
            <w:r w:rsidRPr="00A865E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l-GR"/>
              </w:rPr>
              <w:t> </w:t>
            </w:r>
          </w:p>
        </w:tc>
      </w:tr>
    </w:tbl>
    <w:p w14:paraId="39C40E5D" w14:textId="77777777" w:rsidR="00A865EB" w:rsidRPr="006809CE" w:rsidRDefault="00A865EB">
      <w:pPr>
        <w:rPr>
          <w:lang w:val="en-US"/>
        </w:rPr>
      </w:pPr>
    </w:p>
    <w:sectPr w:rsidR="00A865EB" w:rsidRPr="006809CE" w:rsidSect="00714D13">
      <w:pgSz w:w="11907" w:h="16839" w:code="9"/>
      <w:pgMar w:top="1400" w:right="1503" w:bottom="1240" w:left="1700" w:header="0" w:footer="1043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CE"/>
    <w:rsid w:val="00001C80"/>
    <w:rsid w:val="00061A70"/>
    <w:rsid w:val="00087421"/>
    <w:rsid w:val="000B0EC5"/>
    <w:rsid w:val="000D072B"/>
    <w:rsid w:val="00113DF9"/>
    <w:rsid w:val="00114783"/>
    <w:rsid w:val="001361B8"/>
    <w:rsid w:val="00172869"/>
    <w:rsid w:val="00197B5F"/>
    <w:rsid w:val="001B0061"/>
    <w:rsid w:val="00237E75"/>
    <w:rsid w:val="00277745"/>
    <w:rsid w:val="0033026F"/>
    <w:rsid w:val="003703E4"/>
    <w:rsid w:val="003E6AF3"/>
    <w:rsid w:val="003F65C3"/>
    <w:rsid w:val="0041027C"/>
    <w:rsid w:val="00413E4A"/>
    <w:rsid w:val="00446523"/>
    <w:rsid w:val="004662FD"/>
    <w:rsid w:val="004A2281"/>
    <w:rsid w:val="004A2CD6"/>
    <w:rsid w:val="004C512A"/>
    <w:rsid w:val="004D2E72"/>
    <w:rsid w:val="004D5EE7"/>
    <w:rsid w:val="00504998"/>
    <w:rsid w:val="00594A32"/>
    <w:rsid w:val="005E5CB3"/>
    <w:rsid w:val="005F088A"/>
    <w:rsid w:val="005F2DC2"/>
    <w:rsid w:val="00650E70"/>
    <w:rsid w:val="006809CE"/>
    <w:rsid w:val="00691539"/>
    <w:rsid w:val="006F64B3"/>
    <w:rsid w:val="00714D13"/>
    <w:rsid w:val="00743414"/>
    <w:rsid w:val="0075270B"/>
    <w:rsid w:val="007677DB"/>
    <w:rsid w:val="007A0085"/>
    <w:rsid w:val="007D7CD1"/>
    <w:rsid w:val="008023D5"/>
    <w:rsid w:val="00890861"/>
    <w:rsid w:val="008E76F6"/>
    <w:rsid w:val="00912C47"/>
    <w:rsid w:val="009310DF"/>
    <w:rsid w:val="00972578"/>
    <w:rsid w:val="009C6E76"/>
    <w:rsid w:val="00A25F1B"/>
    <w:rsid w:val="00A63C74"/>
    <w:rsid w:val="00A865EB"/>
    <w:rsid w:val="00B062CC"/>
    <w:rsid w:val="00B72E86"/>
    <w:rsid w:val="00B957FD"/>
    <w:rsid w:val="00BD546B"/>
    <w:rsid w:val="00C35128"/>
    <w:rsid w:val="00C85B17"/>
    <w:rsid w:val="00CE3B18"/>
    <w:rsid w:val="00D1717B"/>
    <w:rsid w:val="00D771F7"/>
    <w:rsid w:val="00DA2F91"/>
    <w:rsid w:val="00DA4705"/>
    <w:rsid w:val="00DF0264"/>
    <w:rsid w:val="00E57948"/>
    <w:rsid w:val="00E6763E"/>
    <w:rsid w:val="00E71CF3"/>
    <w:rsid w:val="00EA45C1"/>
    <w:rsid w:val="00F66D8B"/>
    <w:rsid w:val="00F8233B"/>
    <w:rsid w:val="00F96DD7"/>
    <w:rsid w:val="00FA15F3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F1DE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819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69</cp:revision>
  <dcterms:created xsi:type="dcterms:W3CDTF">2020-03-07T09:19:00Z</dcterms:created>
  <dcterms:modified xsi:type="dcterms:W3CDTF">2020-03-10T10:53:00Z</dcterms:modified>
</cp:coreProperties>
</file>