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C7C9" w14:textId="293B76C6" w:rsidR="002F2D37" w:rsidRDefault="002F2D37" w:rsidP="002F2D37">
      <w:pPr>
        <w:pStyle w:val="Body"/>
        <w:outlineLvl w:val="0"/>
        <w:rPr>
          <w:b/>
          <w:bCs/>
          <w:color w:val="000000" w:themeColor="text1"/>
        </w:rPr>
      </w:pPr>
      <w:r w:rsidRPr="00546CCA">
        <w:rPr>
          <w:b/>
          <w:bCs/>
          <w:color w:val="000000" w:themeColor="text1"/>
          <w:lang w:val="en-US"/>
        </w:rPr>
        <w:t xml:space="preserve">Supplementary table 2: Post-operative vascular surgery outcomes for patients with depression compared with those from the general population by type of vascular surgery with </w:t>
      </w:r>
      <w:proofErr w:type="gramStart"/>
      <w:r w:rsidRPr="00546CCA">
        <w:rPr>
          <w:b/>
          <w:bCs/>
          <w:color w:val="000000" w:themeColor="text1"/>
          <w:lang w:val="en-US"/>
        </w:rPr>
        <w:t>adjustments</w:t>
      </w:r>
      <w:proofErr w:type="gramEnd"/>
    </w:p>
    <w:p w14:paraId="694862B8" w14:textId="77777777" w:rsidR="002F2D37" w:rsidRPr="002F2D37" w:rsidRDefault="002F2D37" w:rsidP="002F2D37">
      <w:pPr>
        <w:pStyle w:val="Body"/>
        <w:outlineLvl w:val="0"/>
        <w:rPr>
          <w:b/>
          <w:bCs/>
          <w:color w:val="000000" w:themeColor="text1"/>
        </w:rPr>
      </w:pPr>
    </w:p>
    <w:tbl>
      <w:tblPr>
        <w:tblW w:w="148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45"/>
        <w:gridCol w:w="90"/>
        <w:gridCol w:w="2604"/>
        <w:gridCol w:w="2749"/>
        <w:gridCol w:w="2560"/>
        <w:gridCol w:w="2618"/>
        <w:gridCol w:w="2619"/>
      </w:tblGrid>
      <w:tr w:rsidR="002F2D37" w:rsidRPr="00546CCA" w14:paraId="73E2FF01" w14:textId="77777777" w:rsidTr="00420D42">
        <w:trPr>
          <w:trHeight w:val="310"/>
        </w:trPr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0265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 </w:t>
            </w:r>
          </w:p>
        </w:tc>
        <w:tc>
          <w:tcPr>
            <w:tcW w:w="80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938D" w14:textId="77777777" w:rsidR="002F2D37" w:rsidRPr="00546CCA" w:rsidRDefault="002F2D37" w:rsidP="00420D42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i/>
                <w:iCs/>
                <w:color w:val="000000" w:themeColor="text1"/>
                <w:lang w:val="en-US"/>
              </w:rPr>
              <w:t>Index vascular surgery hospitalisation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47AF" w14:textId="77777777" w:rsidR="002F2D37" w:rsidRPr="00546CCA" w:rsidRDefault="002F2D37" w:rsidP="00420D42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Subsequent readmission </w:t>
            </w:r>
          </w:p>
        </w:tc>
      </w:tr>
      <w:tr w:rsidR="002F2D37" w:rsidRPr="00546CCA" w14:paraId="5761BAF1" w14:textId="77777777" w:rsidTr="00420D42">
        <w:trPr>
          <w:trHeight w:val="1510"/>
        </w:trPr>
        <w:tc>
          <w:tcPr>
            <w:tcW w:w="164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C21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Type of vascular surgery/ Adjustments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B1E5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i/>
                <w:iCs/>
                <w:color w:val="000000" w:themeColor="text1"/>
                <w:lang w:val="en-US"/>
              </w:rPr>
              <w:t>Odds ratio for emergency route of admission</w:t>
            </w:r>
          </w:p>
        </w:tc>
        <w:tc>
          <w:tcPr>
            <w:tcW w:w="274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5F8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i/>
                <w:iCs/>
                <w:color w:val="000000" w:themeColor="text1"/>
                <w:lang w:val="en-US"/>
              </w:rPr>
              <w:t xml:space="preserve">Incidence rate ratio for length of stay 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5890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i/>
                <w:iCs/>
                <w:color w:val="000000" w:themeColor="text1"/>
                <w:lang w:val="en-US"/>
              </w:rPr>
              <w:t>Odds Ratio for mortality during index admission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646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i/>
                <w:iCs/>
                <w:color w:val="000000" w:themeColor="text1"/>
                <w:lang w:val="en-US"/>
              </w:rPr>
              <w:t>Odds Ratio for emergency readmission within 30 days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C0F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i/>
                <w:iCs/>
                <w:color w:val="000000" w:themeColor="text1"/>
                <w:lang w:val="en-US"/>
              </w:rPr>
              <w:t>Incidence Rate Ratio for length of stay of 30-day readmission</w:t>
            </w:r>
          </w:p>
        </w:tc>
      </w:tr>
      <w:tr w:rsidR="002F2D37" w:rsidRPr="00546CCA" w14:paraId="488E33A5" w14:textId="77777777" w:rsidTr="00420D42">
        <w:trPr>
          <w:trHeight w:val="300"/>
        </w:trPr>
        <w:tc>
          <w:tcPr>
            <w:tcW w:w="148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D890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u w:val="single"/>
                <w:lang w:val="en-US"/>
              </w:rPr>
              <w:t>Aortic/visceral endovascular (n= 933)</w:t>
            </w:r>
          </w:p>
        </w:tc>
      </w:tr>
      <w:tr w:rsidR="002F2D37" w:rsidRPr="00546CCA" w14:paraId="19F47938" w14:textId="77777777" w:rsidTr="00420D42">
        <w:trPr>
          <w:trHeight w:val="28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02EF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Univariate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798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2.00 (1.03, 4.01), 0.04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4807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2.09 (1.88, 2.33),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2480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0.97 (0.13, 7.38), 0.98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F25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3.05 (1.28, 7.27), 0.01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CDD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2.43 (1.98, 2.98), &lt;0.001</w:t>
            </w:r>
          </w:p>
        </w:tc>
      </w:tr>
      <w:tr w:rsidR="002F2D37" w:rsidRPr="00546CCA" w14:paraId="32C9B2C5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1C5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AB3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2.00 (1.01, 4.03), 0.04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471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2.08 (1.86, 2.32),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65A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0.99 (0.13, 7.56), 0.99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699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3.11 (1.29, 7.49), 0.01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004E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2.61 (2.12, 3.20), &lt;0.001</w:t>
            </w:r>
          </w:p>
        </w:tc>
      </w:tr>
      <w:tr w:rsidR="002F2D37" w:rsidRPr="00546CCA" w14:paraId="6A006602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BEBA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96C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1.96 (1.02, 3.96), 0.04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F93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2.00 (1.79, 2.23),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469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0.92 (0.12, 7.10), 0.94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058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3.27 (1.34, 7.97), 0.01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B4E8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2.67 (2.17, 3.28), &lt;0.001</w:t>
            </w:r>
          </w:p>
        </w:tc>
      </w:tr>
      <w:tr w:rsidR="002F2D37" w:rsidRPr="00546CCA" w14:paraId="40F9C7F2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5A2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6F6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1.88 (0.87, 4.07), 0.09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584D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1.83 (1.63, 2.06),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D03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0.98 (0.11, 8.69), 0.98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E34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2.78 (1.08, 7.16), 0.03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A4E4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2.41 (1.81, 3.20), &lt;0.001</w:t>
            </w:r>
          </w:p>
        </w:tc>
      </w:tr>
      <w:tr w:rsidR="002F2D37" w:rsidRPr="00546CCA" w14:paraId="4C3027B1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53B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CA2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1.36 (0.89, 2.84), 0.74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A0E2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1.32 (1.16, 1.49),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066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1.27 (0.14, 11.52), 0.83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B149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2.45 (1.04, 6.93), 0.04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3AF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1.51 (1.12, 2.29), 0.03</w:t>
            </w:r>
          </w:p>
        </w:tc>
      </w:tr>
      <w:tr w:rsidR="002F2D37" w:rsidRPr="00546CCA" w14:paraId="39EE6065" w14:textId="77777777" w:rsidTr="00420D42">
        <w:trPr>
          <w:trHeight w:val="605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F84D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409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3A17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1.33 (1.18, 1.50), &lt;0.001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820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0.94 (0.10, 8.54), 0.95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8BE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2.42 (1.02, 6.72), 0.05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0E1A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1.34 (1.02, 2.03), 0.04</w:t>
            </w:r>
          </w:p>
        </w:tc>
      </w:tr>
      <w:tr w:rsidR="002F2D37" w:rsidRPr="00546CCA" w14:paraId="0987A5B5" w14:textId="77777777" w:rsidTr="00420D42">
        <w:trPr>
          <w:trHeight w:val="595"/>
        </w:trPr>
        <w:tc>
          <w:tcPr>
            <w:tcW w:w="148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4E587" w14:textId="77777777" w:rsidR="002F2D37" w:rsidRPr="00546CCA" w:rsidRDefault="002F2D37" w:rsidP="00420D42">
            <w:pPr>
              <w:pStyle w:val="Body"/>
              <w:rPr>
                <w:color w:val="000000" w:themeColor="text1"/>
                <w:u w:val="single"/>
              </w:rPr>
            </w:pPr>
            <w:r w:rsidRPr="00546CCA">
              <w:rPr>
                <w:color w:val="000000" w:themeColor="text1"/>
                <w:u w:val="single"/>
                <w:lang w:val="en-US"/>
              </w:rPr>
              <w:t>Major open vascular (n=1,420)</w:t>
            </w:r>
          </w:p>
          <w:p w14:paraId="36161DF2" w14:textId="77777777" w:rsidR="002F2D37" w:rsidRPr="00546CCA" w:rsidRDefault="002F2D37" w:rsidP="00420D42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 </w:t>
            </w:r>
          </w:p>
        </w:tc>
      </w:tr>
      <w:tr w:rsidR="002F2D37" w:rsidRPr="00546CCA" w14:paraId="2D2AF551" w14:textId="77777777" w:rsidTr="00420D42">
        <w:trPr>
          <w:trHeight w:val="60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CCD9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Univariate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82CF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1.19 (0.70, 2.01), 0.52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E28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1.59 (1.49, 1.70),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F521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1.73 (0.6</w:t>
            </w:r>
            <w:r>
              <w:rPr>
                <w:rFonts w:eastAsia="Arial Unicode MS" w:cs="Arial Unicode MS"/>
                <w:color w:val="000000" w:themeColor="text1"/>
                <w:lang w:val="en-US"/>
              </w:rPr>
              <w:t>0</w:t>
            </w: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, 4.94), 0.31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D68F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1.61 (0.77, 3.34), 0.2</w:t>
            </w:r>
            <w:r>
              <w:rPr>
                <w:rFonts w:eastAsia="Arial Unicode MS" w:cs="Arial Unicode MS"/>
                <w:color w:val="000000" w:themeColor="text1"/>
                <w:lang w:val="en-US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9EE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1.16 (0.94, 1.43), 0.16</w:t>
            </w:r>
          </w:p>
        </w:tc>
      </w:tr>
      <w:tr w:rsidR="002F2D37" w:rsidRPr="00546CCA" w14:paraId="6243746B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1EAA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2A4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1.16 (0.68, 1.96), 0.58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04E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1.63 (1.53, 1.74),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E3DC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1.82 (0.63, 5.21), 0.27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5D58A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1.65 (0.79, 3.44), 0.18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DD07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0.84 (0.67, 1.04), 0.10</w:t>
            </w:r>
          </w:p>
        </w:tc>
      </w:tr>
      <w:tr w:rsidR="002F2D37" w:rsidRPr="00546CCA" w14:paraId="588998DF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60B2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5DE2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1.26 (0.74, 2.15), 0.40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8975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1.65 (1.54, 1.76),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091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1.82 (0.63, 5.23), 0.27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A60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1.38 (0.64, 3.00), 0.41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33F2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0.98 (0.79, 1.22), 0.88</w:t>
            </w:r>
          </w:p>
        </w:tc>
      </w:tr>
      <w:tr w:rsidR="002F2D37" w:rsidRPr="00546CCA" w14:paraId="0F3E0655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929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6235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1.15 (0.66, 2.01), 0.61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7A5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1.46 (1.36, 1.56),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D6A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1.13 (0.37, 3.46), 0.84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3EBA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1.10 (0.50, 2.43), 0.82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6DB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1.06 (0.85, 1.33), 0.60</w:t>
            </w:r>
          </w:p>
        </w:tc>
      </w:tr>
      <w:tr w:rsidR="002F2D37" w:rsidRPr="00546CCA" w14:paraId="2AAE9BD4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94F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18AE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1.04 (0.62, 1.78), 0.62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5CF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1.20 (1.12, 1.29),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E420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0.84 (0.24, 2.96), 0.79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0AD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1.11 (0.48, 2.53), 0.81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5B7F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0.79 (0.62, 1.02), 0.07</w:t>
            </w:r>
          </w:p>
        </w:tc>
      </w:tr>
      <w:tr w:rsidR="002F2D37" w:rsidRPr="00546CCA" w14:paraId="0A68F617" w14:textId="77777777" w:rsidTr="00420D42">
        <w:trPr>
          <w:trHeight w:val="605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CD07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EEE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8D7B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1.24 (1.15, 1.33), &lt;0.001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7296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0.89 (0.25, 3.09), 0.85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D2D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1.10 (0.48, 2.51), 0.82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896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0.79 (0.61, 1.02), 0.07</w:t>
            </w:r>
          </w:p>
        </w:tc>
      </w:tr>
      <w:tr w:rsidR="002F2D37" w:rsidRPr="00546CCA" w14:paraId="0A106654" w14:textId="77777777" w:rsidTr="00420D42">
        <w:trPr>
          <w:trHeight w:val="212"/>
        </w:trPr>
        <w:tc>
          <w:tcPr>
            <w:tcW w:w="148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7B83" w14:textId="77777777" w:rsidR="002F2D37" w:rsidRPr="00546CCA" w:rsidRDefault="002F2D37" w:rsidP="00420D42">
            <w:pPr>
              <w:pStyle w:val="Body"/>
              <w:rPr>
                <w:color w:val="000000" w:themeColor="text1"/>
                <w:u w:val="single"/>
              </w:rPr>
            </w:pPr>
            <w:r w:rsidRPr="00546CCA">
              <w:rPr>
                <w:color w:val="000000" w:themeColor="text1"/>
                <w:u w:val="single"/>
                <w:lang w:val="en-US"/>
              </w:rPr>
              <w:t>Peripheral endovascular (n=3,984)</w:t>
            </w:r>
          </w:p>
          <w:p w14:paraId="08504269" w14:textId="77777777" w:rsidR="002F2D37" w:rsidRPr="00546CCA" w:rsidRDefault="002F2D37" w:rsidP="00420D42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i/>
                <w:iCs/>
                <w:color w:val="000000" w:themeColor="text1"/>
                <w:lang w:val="en-US"/>
              </w:rPr>
              <w:t> </w:t>
            </w:r>
          </w:p>
        </w:tc>
      </w:tr>
      <w:tr w:rsidR="002F2D37" w:rsidRPr="00546CCA" w14:paraId="1DAF2FE9" w14:textId="77777777" w:rsidTr="00420D42">
        <w:trPr>
          <w:trHeight w:val="2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502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Univariate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AA8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2.05 (1.55, 2.71), &lt;0.001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BAC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2.39 (2.30, 2.48),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7E4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1.28 (0.80, 2.04), 0.30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D015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2.90 (2.01, 4.20), &lt;0.001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881F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0.93 (0.85, 1.03), 0.19</w:t>
            </w:r>
          </w:p>
        </w:tc>
      </w:tr>
      <w:tr w:rsidR="002F2D37" w:rsidRPr="00546CCA" w14:paraId="09BC656D" w14:textId="77777777" w:rsidTr="00420D42">
        <w:trPr>
          <w:trHeight w:val="197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DBA2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C944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2.29 (1.71, 3.06), &lt;0.001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18DF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2.44 (2.35, 2.53),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D1B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1.35 (0.84, 2.17), 0.21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2DA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3.03 (2.09, 4.40), &lt;0.001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3526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1.13 (1.03, 1.25), 0.01</w:t>
            </w:r>
          </w:p>
        </w:tc>
      </w:tr>
      <w:tr w:rsidR="002F2D37" w:rsidRPr="00546CCA" w14:paraId="7455024B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C8B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EC35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2.13 (1.59, 2.86), &lt;0.001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9557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2.64 (2.46, 2.83),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CD8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1.31 (0.81, 2.10), 0.27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EA2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2.96 (2.03, 4.32), &lt;0.001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235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1.14 (1.03, 1.26), 0.01</w:t>
            </w:r>
          </w:p>
        </w:tc>
      </w:tr>
      <w:tr w:rsidR="002F2D37" w:rsidRPr="00546CCA" w14:paraId="2884189C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E5E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226CA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1.58 (1.16, 2.18), 0.01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6D2B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2.07 (1.99, 2.16),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E32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0.97 (0.58, 1.65), 0.92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0765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2.53 (1.71, 3.74), &lt;0.001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7DF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0.96 (0.86, 1.07), 0.42</w:t>
            </w:r>
          </w:p>
        </w:tc>
      </w:tr>
      <w:tr w:rsidR="002F2D37" w:rsidRPr="00546CCA" w14:paraId="5E82ACA5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0E9E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9CC2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1.32 (1.01, 1.87), 0.05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1B6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1.37 (1.31, 1.44),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28B6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0.54 (0.30, 0.99), 0.05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AB1A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2.28 (1.48, 3.50), &lt;0.001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AEE3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0.76 (0.66, 0.87), &lt;0.001</w:t>
            </w:r>
          </w:p>
        </w:tc>
      </w:tr>
      <w:tr w:rsidR="002F2D37" w:rsidRPr="00546CCA" w14:paraId="7500C529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613E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Model 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563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658E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1.47 (1.41, 1.53), &lt;0.001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D05A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0.66 (0.37, 1.18), 0.16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EEE5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2.32 (1.52, 3.55), &lt;0.001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AB0E3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0.77 (0.67, 0.88), &lt;0.001</w:t>
            </w:r>
          </w:p>
        </w:tc>
      </w:tr>
      <w:tr w:rsidR="002F2D37" w:rsidRPr="00546CCA" w14:paraId="11177B5D" w14:textId="77777777" w:rsidTr="00420D42">
        <w:trPr>
          <w:trHeight w:val="287"/>
        </w:trPr>
        <w:tc>
          <w:tcPr>
            <w:tcW w:w="1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A7C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Other (n=2,925)</w:t>
            </w:r>
          </w:p>
        </w:tc>
        <w:tc>
          <w:tcPr>
            <w:tcW w:w="791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A775" w14:textId="77777777" w:rsidR="002F2D37" w:rsidRPr="00546CCA" w:rsidRDefault="002F2D37" w:rsidP="00420D42">
            <w:pPr>
              <w:rPr>
                <w:color w:val="000000" w:themeColor="text1"/>
              </w:rPr>
            </w:pP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9FA62" w14:textId="77777777" w:rsidR="002F2D37" w:rsidRPr="00546CCA" w:rsidRDefault="002F2D37" w:rsidP="00420D42">
            <w:pPr>
              <w:pStyle w:val="Body"/>
              <w:jc w:val="center"/>
              <w:rPr>
                <w:color w:val="000000" w:themeColor="text1"/>
              </w:rPr>
            </w:pPr>
            <w:r w:rsidRPr="00546CCA">
              <w:rPr>
                <w:b/>
                <w:bCs/>
                <w:i/>
                <w:iCs/>
                <w:color w:val="000000" w:themeColor="text1"/>
                <w:lang w:val="en-US"/>
              </w:rPr>
              <w:t> </w:t>
            </w:r>
          </w:p>
        </w:tc>
      </w:tr>
      <w:tr w:rsidR="002F2D37" w:rsidRPr="00546CCA" w14:paraId="3640EE53" w14:textId="77777777" w:rsidTr="00420D42">
        <w:trPr>
          <w:trHeight w:val="610"/>
        </w:trPr>
        <w:tc>
          <w:tcPr>
            <w:tcW w:w="16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458A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Univariate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FB0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1.60 (1.12, 2.28), 0.01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C33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2.64 (2.46, 2.82),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D04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2.35 (0.82, 6.71), 0.11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1AE8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1.81 (1.08, 3.02), 0.02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5BD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0.73 (0.59, 0.90), &lt;0.001</w:t>
            </w:r>
          </w:p>
        </w:tc>
      </w:tr>
      <w:tr w:rsidR="002F2D37" w:rsidRPr="00546CCA" w14:paraId="0E789C18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3B31A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DB3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1.49 (1.04, 2.13), 0.03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AC4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2.72 (2.54, 2.92),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486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2.70 (0.93, 7.79), 0.07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F5F62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2.02 (1.20, 3.41), 0.01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AE7B9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0.83 (0.67, 1.03), 0.09</w:t>
            </w:r>
          </w:p>
        </w:tc>
      </w:tr>
      <w:tr w:rsidR="002F2D37" w:rsidRPr="00546CCA" w14:paraId="3E46168E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102C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3E7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1.34 (0.93, 1.94), 0.12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B324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2.44 (2.34, 2.53),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657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2.52 (0.86, 7.34), 0.09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439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2.10 (1.24, 3.57), 0.01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155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0.81 (0.65, 1.01), 0.06</w:t>
            </w:r>
          </w:p>
        </w:tc>
      </w:tr>
      <w:tr w:rsidR="002F2D37" w:rsidRPr="00546CCA" w14:paraId="1430D2B4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1EE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4B2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1.18 (0.80, 1.74), 0.42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CD3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1.44 (1.33, 1.56), &lt;0.001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CF4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1.39 (0.39, 4.95), 0.61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EE2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1.68 (0.95, 2.95), 0.07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2470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0.90 (0.72, 1.12), 0.35</w:t>
            </w:r>
          </w:p>
        </w:tc>
      </w:tr>
      <w:tr w:rsidR="002F2D37" w:rsidRPr="00546CCA" w14:paraId="2A29DAED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FFA2A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EEA1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0.75 (0.49, 1.16), 0.20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7A5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0.90 (0.82, 0.99), 0.03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46EF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1.19 (0.30, 4.72), 0.81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100D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1.45 (0.78, 2.67), 0.24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724E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1.06 (0.83, 1.36), 0.64</w:t>
            </w:r>
          </w:p>
        </w:tc>
      </w:tr>
      <w:tr w:rsidR="002F2D37" w:rsidRPr="00546CCA" w14:paraId="1A2548CC" w14:textId="77777777" w:rsidTr="00420D42">
        <w:trPr>
          <w:trHeight w:val="610"/>
        </w:trPr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7F9B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Model 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180D" w14:textId="77777777" w:rsidR="002F2D37" w:rsidRPr="00546CCA" w:rsidRDefault="002F2D37" w:rsidP="00420D42">
            <w:pPr>
              <w:rPr>
                <w:color w:val="000000" w:themeColor="text1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942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1.10 (1.01, 1.20), 0.04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73F17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1.51 (0.39, 5.81), 0.55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FB58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1.47 (0.80, 2.70), 0.22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3C55" w14:textId="77777777" w:rsidR="002F2D37" w:rsidRPr="00546CCA" w:rsidRDefault="002F2D37" w:rsidP="00420D42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0.95 (0.74, 1.22), 0.69</w:t>
            </w:r>
          </w:p>
        </w:tc>
      </w:tr>
    </w:tbl>
    <w:p w14:paraId="77D7A547" w14:textId="2B2DC92D" w:rsidR="002738FE" w:rsidRPr="00546CCA" w:rsidRDefault="002F2D37" w:rsidP="002738FE">
      <w:pPr>
        <w:pStyle w:val="Body"/>
        <w:rPr>
          <w:color w:val="000000" w:themeColor="text1"/>
        </w:rPr>
      </w:pPr>
      <w:r w:rsidRPr="00546CCA">
        <w:rPr>
          <w:rStyle w:val="ref-vol"/>
          <w:rFonts w:eastAsia="Arial Unicode MS"/>
          <w:color w:val="000000" w:themeColor="text1"/>
        </w:rPr>
        <w:t>Univariate is the unadjusted model; Model 1 (Adjusted for age and gender); Model 2 (Model 1+ ethnicity and IMD score); Model 3 (Model 2+ CVD hospital admission); Model 4 (Model 3+ physical disability related hospitalisation); Model 5 (Model 4</w:t>
      </w:r>
      <w:proofErr w:type="gramStart"/>
      <w:r w:rsidRPr="00546CCA">
        <w:rPr>
          <w:rStyle w:val="ref-vol"/>
          <w:rFonts w:eastAsia="Arial Unicode MS"/>
          <w:color w:val="000000" w:themeColor="text1"/>
        </w:rPr>
        <w:t>+  emergency</w:t>
      </w:r>
      <w:proofErr w:type="gramEnd"/>
      <w:r w:rsidRPr="00546CCA">
        <w:rPr>
          <w:rStyle w:val="ref-vol"/>
          <w:rFonts w:eastAsia="Arial Unicode MS"/>
          <w:color w:val="000000" w:themeColor="text1"/>
        </w:rPr>
        <w:t xml:space="preserve"> vascular hospital admission)</w:t>
      </w:r>
    </w:p>
    <w:p w14:paraId="26EC833D" w14:textId="77777777" w:rsidR="002738FE" w:rsidRDefault="002738FE" w:rsidP="002738FE">
      <w:pPr>
        <w:pStyle w:val="Body"/>
        <w:spacing w:after="160" w:line="259" w:lineRule="auto"/>
        <w:rPr>
          <w:rFonts w:eastAsia="Arial Unicode MS" w:cs="Arial Unicode MS"/>
          <w:b/>
          <w:bCs/>
          <w:color w:val="000000" w:themeColor="text1"/>
          <w:lang w:val="en-US"/>
        </w:rPr>
      </w:pPr>
    </w:p>
    <w:p w14:paraId="5A738B1B" w14:textId="77777777" w:rsidR="002738FE" w:rsidRDefault="002738FE" w:rsidP="002738FE">
      <w:pPr>
        <w:pStyle w:val="Body"/>
        <w:spacing w:after="160" w:line="259" w:lineRule="auto"/>
        <w:rPr>
          <w:rFonts w:eastAsia="Arial Unicode MS" w:cs="Arial Unicode MS"/>
          <w:b/>
          <w:bCs/>
          <w:color w:val="000000" w:themeColor="text1"/>
          <w:lang w:val="en-US"/>
        </w:rPr>
      </w:pPr>
    </w:p>
    <w:p w14:paraId="1DAC83BF" w14:textId="77777777" w:rsidR="002738FE" w:rsidRDefault="002738FE" w:rsidP="002738FE">
      <w:pPr>
        <w:pStyle w:val="Body"/>
        <w:spacing w:after="160" w:line="259" w:lineRule="auto"/>
        <w:rPr>
          <w:rFonts w:eastAsia="Arial Unicode MS" w:cs="Arial Unicode MS"/>
          <w:b/>
          <w:bCs/>
          <w:color w:val="000000" w:themeColor="text1"/>
          <w:lang w:val="en-US"/>
        </w:rPr>
      </w:pPr>
    </w:p>
    <w:sectPr w:rsidR="002738FE" w:rsidSect="002F2D3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1DFF" w14:textId="77777777" w:rsidR="003E39C7" w:rsidRDefault="003E39C7">
      <w:r>
        <w:separator/>
      </w:r>
    </w:p>
  </w:endnote>
  <w:endnote w:type="continuationSeparator" w:id="0">
    <w:p w14:paraId="31D8ED2F" w14:textId="77777777" w:rsidR="003E39C7" w:rsidRDefault="003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E10F" w14:textId="77777777" w:rsidR="003E39C7" w:rsidRDefault="003E39C7">
      <w:r>
        <w:separator/>
      </w:r>
    </w:p>
  </w:footnote>
  <w:footnote w:type="continuationSeparator" w:id="0">
    <w:p w14:paraId="70C6104F" w14:textId="77777777" w:rsidR="003E39C7" w:rsidRDefault="003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A37" w14:textId="77777777" w:rsidR="001B777B" w:rsidRDefault="00D9742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47C"/>
    <w:multiLevelType w:val="multilevel"/>
    <w:tmpl w:val="FE8625E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B0D"/>
    <w:multiLevelType w:val="hybridMultilevel"/>
    <w:tmpl w:val="92729ED2"/>
    <w:numStyleLink w:val="ImportedStyle2"/>
  </w:abstractNum>
  <w:abstractNum w:abstractNumId="2" w15:restartNumberingAfterBreak="0">
    <w:nsid w:val="13BF3C9C"/>
    <w:multiLevelType w:val="hybridMultilevel"/>
    <w:tmpl w:val="F45859C8"/>
    <w:numStyleLink w:val="ImportedStyle1"/>
  </w:abstractNum>
  <w:abstractNum w:abstractNumId="3" w15:restartNumberingAfterBreak="0">
    <w:nsid w:val="1C756AEE"/>
    <w:multiLevelType w:val="hybridMultilevel"/>
    <w:tmpl w:val="7C4AA8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310"/>
    <w:multiLevelType w:val="hybridMultilevel"/>
    <w:tmpl w:val="F45859C8"/>
    <w:styleLink w:val="ImportedStyle1"/>
    <w:lvl w:ilvl="0" w:tplc="C51651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C82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EED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63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449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81A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AC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5287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675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004AA7"/>
    <w:multiLevelType w:val="multilevel"/>
    <w:tmpl w:val="F7CE4DC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ED4E88"/>
    <w:multiLevelType w:val="hybridMultilevel"/>
    <w:tmpl w:val="75FEF576"/>
    <w:lvl w:ilvl="0" w:tplc="7D161D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2FCB"/>
    <w:multiLevelType w:val="multilevel"/>
    <w:tmpl w:val="A6FCB524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7B2394"/>
    <w:multiLevelType w:val="multilevel"/>
    <w:tmpl w:val="4F587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136DA5"/>
    <w:multiLevelType w:val="hybridMultilevel"/>
    <w:tmpl w:val="723A7B76"/>
    <w:numStyleLink w:val="ImportedStyle3"/>
  </w:abstractNum>
  <w:abstractNum w:abstractNumId="10" w15:restartNumberingAfterBreak="0">
    <w:nsid w:val="7CF10E5D"/>
    <w:multiLevelType w:val="hybridMultilevel"/>
    <w:tmpl w:val="723A7B76"/>
    <w:styleLink w:val="ImportedStyle3"/>
    <w:lvl w:ilvl="0" w:tplc="E86615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A9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419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6A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6B5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0D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4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C2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EC9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32360D"/>
    <w:multiLevelType w:val="hybridMultilevel"/>
    <w:tmpl w:val="92729ED2"/>
    <w:styleLink w:val="ImportedStyle2"/>
    <w:lvl w:ilvl="0" w:tplc="6F4E6D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66B02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A868F0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B636E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2D2F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B0278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7E6B9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C0BA9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41A7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FE"/>
    <w:rsid w:val="002738FE"/>
    <w:rsid w:val="002F2D37"/>
    <w:rsid w:val="00303BB4"/>
    <w:rsid w:val="00366935"/>
    <w:rsid w:val="003E39C7"/>
    <w:rsid w:val="009E6842"/>
    <w:rsid w:val="00AE1624"/>
    <w:rsid w:val="00D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BA6C"/>
  <w15:chartTrackingRefBased/>
  <w15:docId w15:val="{DAA9C606-D56C-40D7-852F-9EC452C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8FE"/>
    <w:rPr>
      <w:u w:val="single"/>
    </w:rPr>
  </w:style>
  <w:style w:type="paragraph" w:customStyle="1" w:styleId="HeaderFooter">
    <w:name w:val="Header &amp; Foote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2738FE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ref-vol">
    <w:name w:val="ref-vol"/>
    <w:rsid w:val="002738FE"/>
    <w:rPr>
      <w:lang w:val="en-US"/>
    </w:rPr>
  </w:style>
  <w:style w:type="paragraph" w:customStyle="1" w:styleId="Body">
    <w:name w:val="Body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2738F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2738FE"/>
    <w:pPr>
      <w:numPr>
        <w:numId w:val="1"/>
      </w:numPr>
    </w:pPr>
  </w:style>
  <w:style w:type="numbering" w:customStyle="1" w:styleId="ImportedStyle2">
    <w:name w:val="Imported Style 2"/>
    <w:rsid w:val="002738FE"/>
    <w:pPr>
      <w:numPr>
        <w:numId w:val="3"/>
      </w:numPr>
    </w:pPr>
  </w:style>
  <w:style w:type="numbering" w:customStyle="1" w:styleId="ImportedStyle3">
    <w:name w:val="Imported Style 3"/>
    <w:rsid w:val="002738FE"/>
    <w:pPr>
      <w:numPr>
        <w:numId w:val="5"/>
      </w:numPr>
    </w:pPr>
  </w:style>
  <w:style w:type="character" w:customStyle="1" w:styleId="Link">
    <w:name w:val="Link"/>
    <w:rsid w:val="002738FE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2738FE"/>
    <w:rPr>
      <w:outline w:val="0"/>
      <w:color w:val="000000"/>
      <w:u w:val="single" w:color="000000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8F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8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E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8F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UnresolvedMention">
    <w:name w:val="Unresolved Mention"/>
    <w:basedOn w:val="DefaultParagraphFont"/>
    <w:uiPriority w:val="99"/>
    <w:rsid w:val="0027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4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 Perera</dc:creator>
  <cp:keywords/>
  <dc:description/>
  <cp:lastModifiedBy>Jodie Elgey</cp:lastModifiedBy>
  <cp:revision>2</cp:revision>
  <dcterms:created xsi:type="dcterms:W3CDTF">2021-01-12T09:36:00Z</dcterms:created>
  <dcterms:modified xsi:type="dcterms:W3CDTF">2021-01-12T09:36:00Z</dcterms:modified>
</cp:coreProperties>
</file>